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Legal Guidance - Research Notes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Collect New York legal, regulatory, NYSED, SEDREF, Open Meetings Law, and counsel guidance relevant to the project.</w:t>
      </w:r>
    </w:p>
    <w:p>
      <w:pPr>
        <w:pStyle w:val="Heading1"/>
      </w:pPr>
      <w:r>
        <w:t>Research Targets</w:t>
      </w:r>
    </w:p>
    <w:p>
      <w:r>
        <w:t xml:space="preserve">Open Meetings Law and executive session limits.</w:t>
      </w:r>
    </w:p>
    <w:p>
      <w:r>
        <w:t xml:space="preserve">NYSED Public School Registration and SEDREF requirements.</w:t>
      </w:r>
    </w:p>
    <w:p>
      <w:r>
        <w:t xml:space="preserve">Board resolution requirements.</w:t>
      </w:r>
    </w:p>
    <w:p>
      <w:r>
        <w:t xml:space="preserve">Official records, minutes, and filing requirements.</w:t>
      </w:r>
    </w:p>
    <w:p>
      <w:r>
        <w:t xml:space="preserve">Signage, procurement, and facilities approval considerations.</w:t>
      </w:r>
    </w:p>
    <w:p>
      <w:pPr>
        <w:pStyle w:val="Heading1"/>
      </w:pPr>
      <w:r>
        <w:t>Status</w:t>
      </w:r>
    </w:p>
    <w:p>
      <w:r>
        <w:t xml:space="preserve">Stub - do not rely on this document until verified and counsel-reviewed.</w:t>
      </w:r>
    </w:p>
    <w:sectPr>
      <w:pgSz w:w="12240" w:h="15840"/>
      <w:pgMar w:top="1080" w:right="1080" w:bottom="1080" w:left="1080" w:header="720" w:footer="720" w:gutter="0"/>
    </w:sectPr>
  </w:body>
</w:document>
</file>