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Objection and Response Planning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Track possible concerns from board members and community members and prepare respectful, fact-based responses.</w:t>
      </w:r>
    </w:p>
    <w:p>
      <w:pPr>
        <w:pStyle w:val="Heading1"/>
      </w:pPr>
      <w:r>
        <w:t>Guiding Frame</w:t>
      </w:r>
    </w:p>
    <w:p>
      <w:r>
        <w:t xml:space="preserve">This is an institutional act, not a personal campaign.</w:t>
      </w:r>
    </w:p>
    <w:p>
      <w:r>
        <w:t xml:space="preserve">The board should own the process collectively.</w:t>
      </w:r>
    </w:p>
    <w:p>
      <w:r>
        <w:t xml:space="preserve">The question is not whether every decision in a long tenure was universally loved; it is whether the scale and character of service warrant permanent recognition.</w:t>
      </w:r>
    </w:p>
    <w:p>
      <w:pPr>
        <w:pStyle w:val="Heading1"/>
      </w:pPr>
      <w:r>
        <w:t>Possible Objections to Develop</w:t>
      </w:r>
    </w:p>
    <w:p>
      <w:r>
        <w:t xml:space="preserve">Concern that renaming a school is too large an honor.</w:t>
      </w:r>
    </w:p>
    <w:p>
      <w:r>
        <w:t xml:space="preserve">Concern that the superintendent may prefer the athletic facility.</w:t>
      </w:r>
    </w:p>
    <w:p>
      <w:r>
        <w:t xml:space="preserve">Concern about cost and signage.</w:t>
      </w:r>
    </w:p>
    <w:p>
      <w:r>
        <w:t xml:space="preserve">Concern about name confusion during transition.</w:t>
      </w:r>
    </w:p>
    <w:p>
      <w:r>
        <w:t xml:space="preserve">Concern that public input should come first.</w:t>
      </w:r>
    </w:p>
    <w:p>
      <w:r>
        <w:t xml:space="preserve">Concern from board members with past conflict.</w:t>
      </w:r>
    </w:p>
    <w:p>
      <w:pPr>
        <w:pStyle w:val="Heading1"/>
      </w:pPr>
      <w:r>
        <w:t>Stub Response Table</w:t>
      </w:r>
    </w:p>
    <w:p>
      <w:r>
        <w:t xml:space="preserve">Add issue, source, risk level, response language, required evidence, owner, and status as planning progresses.</w:t>
      </w:r>
    </w:p>
    <w:sectPr>
      <w:pgSz w:w="12240" w:h="15840"/>
      <w:pgMar w:top="1080" w:right="1080" w:bottom="1080" w:left="1080" w:header="720" w:footer="720" w:gutter="0"/>
    </w:sectPr>
  </w:body>
</w:document>
</file>