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Implementation Notes - Naming Transition</w:t>
      </w:r>
    </w:p>
    <w:p>
      <w:r>
        <w:t xml:space="preserve">Prepared as a working project-control document for the Broadalbin-Perth Central School District Board of Education.</w:t>
      </w:r>
    </w:p>
    <w:p>
      <w:pPr>
        <w:pStyle w:val="Heading1"/>
      </w:pPr>
      <w:r>
        <w:t>Purpose</w:t>
      </w:r>
    </w:p>
    <w:p>
      <w:r>
        <w:t xml:space="preserve">Track practical implementation requirements if the Board renames the Junior/Senior High School or names another district asset.</w:t>
      </w:r>
    </w:p>
    <w:p>
      <w:pPr>
        <w:pStyle w:val="Heading1"/>
      </w:pPr>
      <w:r>
        <w:t>Items to Verify</w:t>
      </w:r>
    </w:p>
    <w:p>
      <w:r>
        <w:t xml:space="preserve">NYSED / SEDREF / Public School Registration implications.</w:t>
      </w:r>
    </w:p>
    <w:p>
      <w:r>
        <w:t xml:space="preserve">Board resolution wording and effective date.</w:t>
      </w:r>
    </w:p>
    <w:p>
      <w:r>
        <w:t xml:space="preserve">Signage procurement and installation timeline.</w:t>
      </w:r>
    </w:p>
    <w:p>
      <w:r>
        <w:t xml:space="preserve">Website, maps, Google/Apple maps, directories, athletics, forms, letterhead, transcripts, student information systems, and public communications.</w:t>
      </w:r>
    </w:p>
    <w:p>
      <w:r>
        <w:t xml:space="preserve">Budget line and procurement approach.</w:t>
      </w:r>
    </w:p>
    <w:p>
      <w:r>
        <w:t xml:space="preserve">Whether campus naming has different implications from school renaming.</w:t>
      </w:r>
    </w:p>
    <w:p>
      <w:pPr>
        <w:pStyle w:val="Heading1"/>
      </w:pPr>
      <w:r>
        <w:t>Stub</w:t>
      </w:r>
    </w:p>
    <w:p>
      <w:r>
        <w:t xml:space="preserve">Add verified steps, owners, due dates, and dependencies after legal/policy research and counsel review.</w:t>
      </w:r>
    </w:p>
    <w:sectPr>
      <w:pgSz w:w="12240" w:h="15840"/>
      <w:pgMar w:top="1080" w:right="1080" w:bottom="1080" w:left="1080" w:header="720" w:footer="720" w:gutter="0"/>
    </w:sectPr>
  </w:body>
</w:document>
</file>