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Naming Criteria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Define the criteria the Board may use to determine whether naming the Junior/Senior High School, campus, athletic facility, or another asset is appropriate.</w:t>
      </w:r>
    </w:p>
    <w:p>
      <w:pPr>
        <w:pStyle w:val="Heading1"/>
      </w:pPr>
      <w:r>
        <w:t>Draft Criteria</w:t>
      </w:r>
    </w:p>
    <w:p>
      <w:r>
        <w:t xml:space="preserve">Scale of service to the district.</w:t>
      </w:r>
    </w:p>
    <w:p>
      <w:r>
        <w:t xml:space="preserve">Sustained contribution over time.</w:t>
      </w:r>
    </w:p>
    <w:p>
      <w:r>
        <w:t xml:space="preserve">Connection to district history and community identity.</w:t>
      </w:r>
    </w:p>
    <w:p>
      <w:r>
        <w:t xml:space="preserve">Fit between the honor and the asset named.</w:t>
      </w:r>
    </w:p>
    <w:p>
      <w:r>
        <w:t xml:space="preserve">Legal and policy feasibility.</w:t>
      </w:r>
    </w:p>
    <w:p>
      <w:r>
        <w:t xml:space="preserve">Clarity for families, students, staff, alumni, and state reporting.</w:t>
      </w:r>
    </w:p>
    <w:p>
      <w:r>
        <w:t xml:space="preserve">Implementation cost and practicality.</w:t>
      </w:r>
    </w:p>
    <w:p>
      <w:r>
        <w:t xml:space="preserve">Potential for broad community acceptance.</w:t>
      </w:r>
    </w:p>
    <w:p>
      <w:r>
        <w:t xml:space="preserve">Dignity, permanence, and educational value.</w:t>
      </w:r>
    </w:p>
    <w:p>
      <w:pPr>
        <w:pStyle w:val="Heading1"/>
      </w:pPr>
      <w:r>
        <w:t>Working Preferred Option</w:t>
      </w:r>
    </w:p>
    <w:p>
      <w:r>
        <w:t xml:space="preserve">The current leading option is Stephen Tomlinson Junior/Senior High School. This remains subject to policy review, counsel review, Board discussion, and implementation analysis.</w:t>
      </w:r>
    </w:p>
    <w:sectPr>
      <w:pgSz w:w="12240" w:h="15840"/>
      <w:pgMar w:top="1080" w:right="1080" w:bottom="1080" w:left="1080" w:header="720" w:footer="720" w:gutter="0"/>
    </w:sectPr>
  </w:body>
</w:document>
</file>