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Reserved FAQ - Superintendent Retirement Recognition and Naming</w:t>
      </w:r>
    </w:p>
    <w:p>
      <w:r>
        <w:t xml:space="preserve">Prepared as a working project-control document for the Broadalbin-Perth Central School District Board of Education.</w:t>
      </w:r>
    </w:p>
    <w:p>
      <w:pPr>
        <w:pStyle w:val="Heading1"/>
      </w:pPr>
      <w:r>
        <w:t>Purpose</w:t>
      </w:r>
    </w:p>
    <w:p>
      <w:r>
        <w:t xml:space="preserve">Reserved FAQ for possible use if public questions or social media objections require consistent messaging. Hold in reserve unless the Board decides to publish it.</w:t>
      </w:r>
    </w:p>
    <w:p>
      <w:pPr>
        <w:pStyle w:val="Heading1"/>
      </w:pPr>
      <w:r>
        <w:t>Draft Questions</w:t>
      </w:r>
    </w:p>
    <w:p>
      <w:r>
        <w:t xml:space="preserve">Why name the Junior/Senior High School for Stephen Tomlinson?</w:t>
      </w:r>
    </w:p>
    <w:p>
      <w:r>
        <w:t xml:space="preserve">Why now?</w:t>
      </w:r>
    </w:p>
    <w:p>
      <w:r>
        <w:t xml:space="preserve">Was public input required or invited?</w:t>
      </w:r>
    </w:p>
    <w:p>
      <w:r>
        <w:t xml:space="preserve">What will the change cost?</w:t>
      </w:r>
    </w:p>
    <w:p>
      <w:r>
        <w:t xml:space="preserve">Will the school’s programs, traditions, or identity change?</w:t>
      </w:r>
    </w:p>
    <w:p>
      <w:r>
        <w:t xml:space="preserve">How will the transition to the new name work?</w:t>
      </w:r>
    </w:p>
    <w:p>
      <w:r>
        <w:t xml:space="preserve">Why not name only the athletic facility?</w:t>
      </w:r>
    </w:p>
    <w:p>
      <w:r>
        <w:t xml:space="preserve">How were students and staff included?</w:t>
      </w:r>
    </w:p>
    <w:p>
      <w:pPr>
        <w:pStyle w:val="Heading1"/>
      </w:pPr>
      <w:r>
        <w:t>Tone</w:t>
      </w:r>
    </w:p>
    <w:p>
      <w:r>
        <w:t xml:space="preserve">Responses should be calm, factual, grateful, and institutional. Avoid arguing with critics or personalizing the decision.</w:t>
      </w:r>
    </w:p>
    <w:sectPr>
      <w:pgSz w:w="12240" w:h="15840"/>
      <w:pgMar w:top="1080" w:right="1080" w:bottom="1080" w:left="1080" w:header="720" w:footer="720" w:gutter="0"/>
    </w:sectPr>
  </w:body>
</w:document>
</file>