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Event Plan - Retirement Recognition</w:t>
      </w:r>
    </w:p>
    <w:p>
      <w:r>
        <w:t xml:space="preserve">Prepared as a working project-control document for the Broadalbin-Perth Central School District Board of Education.</w:t>
      </w:r>
    </w:p>
    <w:p>
      <w:pPr>
        <w:pStyle w:val="Heading1"/>
      </w:pPr>
      <w:r>
        <w:t>Purpose</w:t>
      </w:r>
    </w:p>
    <w:p>
      <w:r>
        <w:t xml:space="preserve">Plan a district-wide, board-hosted event honoring Superintendent Stephen Tomlinson while avoiding conflict with senior class of 2027 celebrations.</w:t>
      </w:r>
    </w:p>
    <w:p>
      <w:pPr>
        <w:pStyle w:val="Heading1"/>
      </w:pPr>
      <w:r>
        <w:t>Open Venue and Structure Options</w:t>
      </w:r>
    </w:p>
    <w:p>
      <w:r>
        <w:t xml:space="preserve">Auditorium ceremony</w:t>
      </w:r>
    </w:p>
    <w:p>
      <w:r>
        <w:t xml:space="preserve">District-wide community reception</w:t>
      </w:r>
    </w:p>
    <w:p>
      <w:r>
        <w:t xml:space="preserve">Board meeting recognition plus separate reception</w:t>
      </w:r>
    </w:p>
    <w:p>
      <w:r>
        <w:t xml:space="preserve">Student/staff tribute component</w:t>
      </w:r>
    </w:p>
    <w:p>
      <w:r>
        <w:t xml:space="preserve">Hybrid event with video tribute</w:t>
      </w:r>
    </w:p>
    <w:p>
      <w:pPr>
        <w:pStyle w:val="Heading1"/>
      </w:pPr>
      <w:r>
        <w:t>Planning Principles</w:t>
      </w:r>
    </w:p>
    <w:p>
      <w:r>
        <w:t xml:space="preserve">Warm and personal without becoming excessive.</w:t>
      </w:r>
    </w:p>
    <w:p>
      <w:r>
        <w:t xml:space="preserve">Include meaningful former and current students.</w:t>
      </w:r>
    </w:p>
    <w:p>
      <w:r>
        <w:t xml:space="preserve">Invite testimonials that support historical record and public recognition.</w:t>
      </w:r>
    </w:p>
    <w:p>
      <w:r>
        <w:t xml:space="preserve">Use video input to broaden participation.</w:t>
      </w:r>
    </w:p>
    <w:p>
      <w:r>
        <w:t xml:space="preserve">Keep formal naming action separate or clearly sequenced if counsel recommends.</w:t>
      </w:r>
    </w:p>
    <w:p>
      <w:pPr>
        <w:pStyle w:val="Heading1"/>
      </w:pPr>
      <w:r>
        <w:t>Open Items</w:t>
      </w:r>
    </w:p>
    <w:p>
      <w:r>
        <w:t xml:space="preserve">Venue</w:t>
      </w:r>
    </w:p>
    <w:p>
      <w:r>
        <w:t xml:space="preserve">Date</w:t>
      </w:r>
    </w:p>
    <w:p>
      <w:r>
        <w:t xml:space="preserve">Program length</w:t>
      </w:r>
    </w:p>
    <w:p>
      <w:r>
        <w:t xml:space="preserve">Speaker list</w:t>
      </w:r>
    </w:p>
    <w:p>
      <w:r>
        <w:t xml:space="preserve">Student involvement</w:t>
      </w:r>
    </w:p>
    <w:p>
      <w:r>
        <w:t xml:space="preserve">Video collection method</w:t>
      </w:r>
    </w:p>
    <w:p>
      <w:r>
        <w:t xml:space="preserve">Budget and refreshments</w:t>
      </w:r>
    </w:p>
    <w:p>
      <w:r>
        <w:t xml:space="preserve">Invitation list</w:t>
      </w:r>
    </w:p>
    <w:sectPr>
      <w:pgSz w:w="12240" w:h="15840"/>
      <w:pgMar w:top="1080" w:right="1080" w:bottom="1080" w:left="1080" w:header="720" w:footer="720" w:gutter="0"/>
    </w:sectPr>
  </w:body>
</w:document>
</file>