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DEFENCE GATEWAY DEMO — FICTITIOUS DOCUMENT</w:t>
      </w:r>
    </w:p>
    <w:p>
      <w:pPr>
        <w:pStyle w:val="Heading1"/>
      </w:pPr>
      <w:r>
        <w:t>Training Directive TD-2026-07</w:t>
      </w:r>
    </w:p>
    <w:p>
      <w:pPr>
        <w:pStyle w:val="Heading2"/>
      </w:pPr>
      <w:r>
        <w:t>1. Purpose</w:t>
      </w:r>
    </w:p>
    <w:p>
      <w:r>
        <w:t>This directive establishes mandatory training requirements for operational certification across Stratoc Site Team 4. It applies to all personnel regardless of appointment.</w:t>
      </w:r>
    </w:p>
    <w:p>
      <w:r>
        <w:t>Training is a management responsibility and is delivered on the site training programme.</w:t>
      </w:r>
    </w:p>
    <w:p>
      <w:pPr>
        <w:pStyle w:val="Heading2"/>
      </w:pPr>
      <w:r>
        <w:t>2. Annual requirements</w:t>
      </w:r>
    </w:p>
    <w:p>
      <w:r>
        <w:t>All personnel must complete annual weapons qualification and safety refreshers. Maintenance certification is required for personnel assigned to vehicle handling duties.</w:t>
      </w:r>
    </w:p>
    <w:p>
      <w:r>
        <w:t>Units must submit a quarterly readiness report to Group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