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76" w:lineRule="auto"/>
        <w:ind w:left="1080" w:hanging="720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  <w:rtl w:val="0"/>
        </w:rPr>
        <w:t xml:space="preserve">DESARROLLO </w:t>
      </w:r>
    </w:p>
    <w:p w:rsidR="00000000" w:rsidDel="00000000" w:rsidP="00000000" w:rsidRDefault="00000000" w:rsidRPr="00000000" w14:paraId="00000004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Este registro se genera en una hoja de cálculo de Google, el almacenamiento es de forma electrónica y se identifican por fecha.    </w:t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Es accesible en cualquier momento y tiene un período de retención de doce meses.</w:t>
      </w:r>
    </w:p>
    <w:p w:rsidR="00000000" w:rsidDel="00000000" w:rsidP="00000000" w:rsidRDefault="00000000" w:rsidRPr="00000000" w14:paraId="00000006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Ubicación: [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rtl w:val="0"/>
        </w:rPr>
        <w:t xml:space="preserve">Colocar link de carpeta de archivo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El Registro de Soporte debe de contener lo siguiente: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Monitoreo Enlace: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Realizar ping hacia los router de cada enlace.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Corroborar si está activo o tiene alguna falla.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Colocar pantalla de resultado.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3425190" cy="2601961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601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Imagen 1: Registro de verificación de enlace.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Monitoreo de servidores: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Realizar ping para </w:t>
      </w:r>
      <w:r w:rsidDel="00000000" w:rsidR="00000000" w:rsidRPr="00000000">
        <w:rPr>
          <w:rtl w:val="0"/>
        </w:rPr>
        <w:t xml:space="preserve">validar</w:t>
      </w:r>
      <w:r w:rsidDel="00000000" w:rsidR="00000000" w:rsidRPr="00000000">
        <w:rPr>
          <w:color w:val="000000"/>
          <w:rtl w:val="0"/>
        </w:rPr>
        <w:t xml:space="preserve"> la conectividad con los servidores de aplicaciones y servicios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colocar pantallazo de resultado.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 Narrow" w:cs="Arial Narrow" w:eastAsia="Arial Narrow" w:hAnsi="Arial Narrow"/>
          <w:b w:val="1"/>
          <w:i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3887297" cy="1853664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4" l="0" r="3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297" cy="1853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2"/>
          <w:szCs w:val="22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Imagen 2: Registro de monitoreo de servidores.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Monitoreo de backups: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Tomar pantallazo de lo realizado en el backup del día.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4938492" cy="2082382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5504" l="1" r="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492" cy="2082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3962954" cy="1533738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7390" l="0" r="476" t="48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4" cy="15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Imagen 3: Registro Monitoreo de backups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Monitoreo de Radios: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Cada lunes se verifica que estén funcionando correctamente las frecuencias de los radios.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 Narrow" w:cs="Arial Narrow" w:eastAsia="Arial Narrow" w:hAnsi="Arial Narrow"/>
          <w:b w:val="1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810" w:left="1080" w:right="1080" w:header="144" w:footer="11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858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45"/>
      <w:gridCol w:w="2146"/>
      <w:gridCol w:w="2146"/>
      <w:gridCol w:w="2146"/>
      <w:tblGridChange w:id="0">
        <w:tblGrid>
          <w:gridCol w:w="2145"/>
          <w:gridCol w:w="2146"/>
          <w:gridCol w:w="2146"/>
          <w:gridCol w:w="2146"/>
        </w:tblGrid>
      </w:tblGridChange>
    </w:tblGrid>
    <w:tr>
      <w:trPr>
        <w:trHeight w:val="216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F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Creado Por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0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Revisado Por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1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Aprobado Por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2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Versión No: 01</w:t>
          </w:r>
        </w:p>
      </w:tc>
    </w:tr>
    <w:tr>
      <w:trPr>
        <w:trHeight w:val="216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3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Coordinador de Infraestructura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4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Gerente de Tecnología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5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One Consulting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Fecha Mod: --</w:t>
          </w:r>
        </w:p>
      </w:tc>
    </w:tr>
    <w:tr>
      <w:trPr>
        <w:trHeight w:val="302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7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José Ramos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8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Cristian Martínez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9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Ing. Oscar Quan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" w:hRule="atLeast"/>
      </w:trPr>
      <w:tc>
        <w:tcPr>
          <w:gridSpan w:val="4"/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tabs>
              <w:tab w:val="left" w:pos="810"/>
            </w:tabs>
            <w:jc w:val="center"/>
            <w:rPr>
              <w:rFonts w:ascii="Arial" w:cs="Arial" w:eastAsia="Arial" w:hAnsi="Arial"/>
              <w:sz w:val="10"/>
              <w:szCs w:val="1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0"/>
              <w:szCs w:val="10"/>
              <w:rtl w:val="0"/>
            </w:rPr>
            <w:t xml:space="preserve">Queda rigurosamente prohibida, sin la autorización escrita de las autoridades administrativas de GRUPO SION, la reproducción parcial o total de este documento.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tbl>
    <w:tblPr>
      <w:tblStyle w:val="Table1"/>
      <w:tblW w:w="10260.0" w:type="dxa"/>
      <w:jc w:val="left"/>
      <w:tblInd w:w="0.0" w:type="dxa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1663"/>
      <w:gridCol w:w="3197"/>
      <w:gridCol w:w="5400"/>
      <w:tblGridChange w:id="0">
        <w:tblGrid>
          <w:gridCol w:w="1663"/>
          <w:gridCol w:w="3197"/>
          <w:gridCol w:w="5400"/>
        </w:tblGrid>
      </w:tblGridChange>
    </w:tblGrid>
    <w:tr>
      <w:tc>
        <w:tcPr>
          <w:vMerge w:val="restart"/>
        </w:tcPr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108587</wp:posOffset>
                </wp:positionH>
                <wp:positionV relativeFrom="paragraph">
                  <wp:posOffset>41656</wp:posOffset>
                </wp:positionV>
                <wp:extent cx="647700" cy="607060"/>
                <wp:effectExtent b="0" l="0" r="0" t="0"/>
                <wp:wrapNone/>
                <wp:docPr descr="A picture containing drawing&#10;&#10;Description automatically generated" id="21" name="image4.pn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76" w:lineRule="auto"/>
            <w:jc w:val="center"/>
            <w:rPr>
              <w:rFonts w:ascii="Arial Narrow" w:cs="Arial Narrow" w:eastAsia="Arial Narrow" w:hAnsi="Arial Narrow"/>
              <w:b w:val="1"/>
              <w:color w:val="0070c0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70c0"/>
              <w:sz w:val="22"/>
              <w:szCs w:val="22"/>
              <w:rtl w:val="0"/>
            </w:rPr>
            <w:t xml:space="preserve">REGISTRO DE MONITOREO DIARIO</w:t>
          </w:r>
        </w:p>
      </w:tc>
    </w:tr>
    <w:tr>
      <w:trPr>
        <w:trHeight w:val="259" w:hRule="atLeast"/>
      </w:trPr>
      <w:tc>
        <w:tcPr>
          <w:vMerge w:val="continue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color w:val="0070c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Código:</w:t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highlight w:val="yellow"/>
              <w:rtl w:val="0"/>
            </w:rPr>
            <w:t xml:space="preserve">IT-RG-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highlight w:val="green"/>
              <w:rtl w:val="0"/>
            </w:rPr>
            <w:t xml:space="preserve">0001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9" w:hRule="atLeast"/>
      </w:trPr>
      <w:tc>
        <w:tcPr>
          <w:vMerge w:val="continue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Fecha de Aprobación:</w:t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highlight w:val="green"/>
              <w:rtl w:val="0"/>
            </w:rPr>
            <w:t xml:space="preserve">Mes</w:t>
          </w: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 2020</w:t>
          </w:r>
        </w:p>
      </w:tc>
    </w:tr>
    <w:tr>
      <w:trPr>
        <w:trHeight w:val="259" w:hRule="atLeast"/>
      </w:trPr>
      <w:tc>
        <w:tcPr>
          <w:vMerge w:val="continue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sz w:val="20"/>
              <w:szCs w:val="20"/>
              <w:rtl w:val="0"/>
            </w:rPr>
            <w:t xml:space="preserve">Sub-proceso:</w:t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rtl w:val="0"/>
            </w:rPr>
            <w:t xml:space="preserve">INFORMÁTICA</w:t>
          </w:r>
        </w:p>
      </w:tc>
    </w:tr>
  </w:tbl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 Black" w:cs="Arial Black" w:eastAsia="Arial Black" w:hAnsi="Arial Black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BA7"/>
    <w:rPr>
      <w:lang w:eastAsia="es-ES" w:val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237F0"/>
    <w:pPr>
      <w:keepNext w:val="1"/>
      <w:spacing w:after="60" w:before="240"/>
      <w:jc w:val="both"/>
      <w:outlineLvl w:val="0"/>
    </w:pPr>
    <w:rPr>
      <w:rFonts w:cs="Arial"/>
      <w:b w:val="1"/>
      <w:bCs w:val="1"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nhideWhenUsed w:val="1"/>
    <w:rsid w:val="00E63AF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E63AF3"/>
  </w:style>
  <w:style w:type="paragraph" w:styleId="Footer">
    <w:name w:val="footer"/>
    <w:basedOn w:val="Normal"/>
    <w:link w:val="FooterChar"/>
    <w:uiPriority w:val="99"/>
    <w:unhideWhenUsed w:val="1"/>
    <w:rsid w:val="00E63AF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3AF3"/>
  </w:style>
  <w:style w:type="paragraph" w:styleId="Default" w:customStyle="1">
    <w:name w:val="Default"/>
    <w:rsid w:val="002B4BA7"/>
    <w:pPr>
      <w:autoSpaceDE w:val="0"/>
      <w:autoSpaceDN w:val="0"/>
      <w:adjustRightInd w:val="0"/>
    </w:pPr>
    <w:rPr>
      <w:rFonts w:cs="Arial"/>
      <w:color w:val="000000"/>
      <w:lang w:eastAsia="es-GT" w:val="es-GT"/>
    </w:rPr>
  </w:style>
  <w:style w:type="table" w:styleId="TableGrid">
    <w:name w:val="Table Grid"/>
    <w:basedOn w:val="TableNormal"/>
    <w:uiPriority w:val="59"/>
    <w:rsid w:val="002B4BA7"/>
    <w:rPr>
      <w:rFonts w:asciiTheme="minorHAnsi" w:hAnsi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9287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62179"/>
    <w:pPr>
      <w:spacing w:after="100" w:afterAutospacing="1" w:before="100" w:beforeAutospacing="1"/>
    </w:pPr>
    <w:rPr>
      <w:lang w:eastAsia="es-GT" w:val="es-GT"/>
    </w:rPr>
  </w:style>
  <w:style w:type="paragraph" w:styleId="NoSpacing">
    <w:name w:val="No Spacing"/>
    <w:uiPriority w:val="1"/>
    <w:qFormat w:val="1"/>
    <w:rsid w:val="007469AA"/>
    <w:rPr>
      <w:lang w:eastAsia="es-ES" w:val="es-E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B7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B72"/>
    <w:rPr>
      <w:rFonts w:ascii="Tahoma" w:cs="Tahoma" w:eastAsia="Times New Roman" w:hAnsi="Tahoma"/>
      <w:sz w:val="16"/>
      <w:szCs w:val="16"/>
      <w:lang w:eastAsia="es-ES" w:val="es-ES"/>
    </w:rPr>
  </w:style>
  <w:style w:type="character" w:styleId="Heading1Char" w:customStyle="1">
    <w:name w:val="Heading 1 Char"/>
    <w:basedOn w:val="DefaultParagraphFont"/>
    <w:link w:val="Heading1"/>
    <w:rsid w:val="002237F0"/>
    <w:rPr>
      <w:rFonts w:ascii="Times New Roman" w:cs="Arial" w:eastAsia="Times New Roman" w:hAnsi="Times New Roman"/>
      <w:b w:val="1"/>
      <w:bCs w:val="1"/>
      <w:kern w:val="32"/>
      <w:sz w:val="28"/>
      <w:szCs w:val="32"/>
      <w:lang w:eastAsia="es-ES" w:val="es-ES"/>
    </w:rPr>
  </w:style>
  <w:style w:type="paragraph" w:styleId="xl35" w:customStyle="1">
    <w:name w:val="xl35"/>
    <w:basedOn w:val="Normal"/>
    <w:rsid w:val="002237F0"/>
    <w:pPr>
      <w:spacing w:after="100" w:afterAutospacing="1" w:before="100" w:beforeAutospacing="1"/>
      <w:jc w:val="center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A1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A1BE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A1BEB"/>
    <w:rPr>
      <w:rFonts w:ascii="Times New Roman" w:cs="Times New Roman" w:eastAsia="Times New Roman" w:hAnsi="Times New Roman"/>
      <w:lang w:eastAsia="es-ES"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A1BE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A1BEB"/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Strong">
    <w:name w:val="Strong"/>
    <w:basedOn w:val="DefaultParagraphFont"/>
    <w:uiPriority w:val="22"/>
    <w:qFormat w:val="1"/>
    <w:rsid w:val="00A23C2D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mbria" w:cs="Cambria" w:eastAsia="Cambria" w:hAnsi="Cambria"/>
    </w:rPr>
    <w:tblPr>
      <w:tblStyleRowBandSize w:val="1"/>
      <w:tblStyleColBandSize w:val="1"/>
    </w:tblPr>
  </w:style>
  <w:style w:type="table" w:styleId="a0" w:customStyle="1">
    <w:basedOn w:val="TableNormal"/>
    <w:rPr>
      <w:rFonts w:ascii="Cambria" w:cs="Cambria" w:eastAsia="Cambria" w:hAnsi="Cambria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sx0hSQTlYhkMBi16R9u/BUsFKQ==">AMUW2mX2oshwCSBa0uZiJuCg+CSaj9TAAdi/tmVbel8XmGEJWWempmKFU1XoK8eXxc+rFVrbI6MMdIwCuRGYNMFxcCu0/S4UxRDUVz9/LxbJKnfgyAhnwnM5O8zC1IWmgijJIlJGbqLo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2020-05-21T23:35:00Z</dcterms:created>
  <dc:creator>Lissa Arriaza</dc:creator>
</cp:coreProperties>
</file>