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Notes de version</w:t>
      </w:r>
    </w:p>
    <w:p>
      <w:pPr>
        <w:jc w:val="center"/>
      </w:pPr>
      <w:r>
        <w:rPr>
          <w:b/>
          <w:color w:val="404040"/>
          <w:sz w:val="26"/>
        </w:rPr>
        <w:t>Version 4.2</w:t>
      </w:r>
    </w:p>
    <w:p/>
    <w:p>
      <w:pPr>
        <w:jc w:val="center"/>
      </w:pPr>
      <w:r>
        <w:rPr>
          <w:color w:val="808080"/>
          <w:sz w:val="22"/>
        </w:rPr>
        <w:t>KeyIT — 02/10/2026</w:t>
      </w:r>
    </w:p>
    <w:p>
      <w:r>
        <w:br w:type="page"/>
      </w:r>
    </w:p>
    <w:p>
      <w:pPr>
        <w:pStyle w:val="Heading1"/>
        <w:jc w:val="left"/>
      </w:pPr>
      <w:r>
        <w:rPr>
          <w:color w:val="1F497D"/>
        </w:rPr>
        <w:t>1. En résumé</w:t>
      </w:r>
    </w:p>
    <w:p>
      <w:r>
        <w:t>Cette version élargit le périmètre sauvegardé aux volumes et aux fonctions Unity Catalog, corrige l'échec quotidien du premier run du backup et ajoute un rapport qui indique, objet par objet, ce qui est restaurable et par quel moyen.</w:t>
      </w:r>
    </w:p>
    <w:p>
      <w:pPr>
        <w:ind w:left="283"/>
      </w:pPr>
      <w:r>
        <w:rPr>
          <w:i/>
          <w:color w:val="707070"/>
          <w:sz w:val="20"/>
        </w:rPr>
        <w:t>Note : aucun impact sur vos données ni sur le backup existant. La mise à jour touche les notebooks, le dossier lib/ et la définition du cluster du job quotidien. Aucun re-clonage, aucune perte de fenêtre de restauration.</w:t>
      </w:r>
    </w:p>
    <w:p>
      <w:pPr>
        <w:pStyle w:val="Heading2"/>
        <w:jc w:val="left"/>
      </w:pPr>
      <w:r>
        <w:rPr>
          <w:color w:val="1F497D"/>
        </w:rPr>
        <w:t>1.1 Ce que vous allez constater</w:t>
      </w:r>
    </w:p>
    <w:tbl>
      <w:tblPr>
        <w:tblStyle w:val="TableGrid"/>
        <w:tblW w:type="auto" w:w="0"/>
        <w:jc w:val="left"/>
        <w:tblLook w:firstColumn="1" w:firstRow="1" w:lastColumn="0" w:lastRow="0" w:noHBand="0" w:noVBand="1" w:val="04A0"/>
      </w:tblPr>
      <w:tblGrid>
        <w:gridCol w:w="4320"/>
        <w:gridCol w:w="4320"/>
      </w:tblGrid>
      <w:tr>
        <w:tc>
          <w:tcPr>
            <w:tcW w:type="dxa" w:w="3685"/>
            <w:shd w:val="clear" w:color="auto" w:fill="1F497D"/>
          </w:tcPr>
          <w:p>
            <w:r>
              <w:rPr>
                <w:b/>
                <w:color w:val="FFFFFF"/>
              </w:rPr>
              <w:t>Constat</w:t>
            </w:r>
          </w:p>
        </w:tc>
        <w:tc>
          <w:tcPr>
            <w:tcW w:type="dxa" w:w="5386"/>
            <w:shd w:val="clear" w:color="auto" w:fill="1F497D"/>
          </w:tcPr>
          <w:p>
            <w:r>
              <w:rPr>
                <w:b/>
                <w:color w:val="FFFFFF"/>
              </w:rPr>
              <w:t>Explication</w:t>
            </w:r>
          </w:p>
        </w:tc>
      </w:tr>
      <w:tr>
        <w:tc>
          <w:tcPr>
            <w:tcW w:type="dxa" w:w="3685"/>
          </w:tcPr>
          <w:p>
            <w:r>
              <w:t>Le backup quotidien réussit dès la première tentative</w:t>
            </w:r>
          </w:p>
        </w:tc>
        <w:tc>
          <w:tcPr>
            <w:tcW w:type="dxa" w:w="5386"/>
          </w:tcPr>
          <w:p>
            <w:r>
              <w:t>Le driver du cluster passe en Standard_E8s_v3 : sa mémoire ne sature plus (§2.1)</w:t>
            </w:r>
          </w:p>
        </w:tc>
      </w:tr>
      <w:tr>
        <w:tc>
          <w:tcPr>
            <w:tcW w:type="dxa" w:w="3685"/>
          </w:tcPr>
          <w:p>
            <w:r>
              <w:t>Deux nouveaux fichiers dans uc_metadata/ : 05_volumes.sql, 06_functions.sql</w:t>
            </w:r>
          </w:p>
        </w:tc>
        <w:tc>
          <w:tcPr>
            <w:tcW w:type="dxa" w:w="5386"/>
          </w:tcPr>
          <w:p>
            <w:r>
              <w:t>Définitions des volumes et des fonctions (§3.1)</w:t>
            </w:r>
          </w:p>
        </w:tc>
      </w:tr>
      <w:tr>
        <w:tc>
          <w:tcPr>
            <w:tcW w:type="dxa" w:w="3685"/>
          </w:tcPr>
          <w:p>
            <w:r>
              <w:t>Des lignes [SKIP] Catalog … (FOREIGN_CATALOG) dans la sortie de 01_uc_metadata</w:t>
            </w:r>
          </w:p>
        </w:tc>
        <w:tc>
          <w:tcPr>
            <w:tcW w:type="dxa" w:w="5386"/>
          </w:tcPr>
          <w:p>
            <w:r>
              <w:t>Catalogs fédérés et Delta Sharing désormais exclus par conception (§2.2)</w:t>
            </w:r>
          </w:p>
        </w:tc>
      </w:tr>
      <w:tr>
        <w:tc>
          <w:tcPr>
            <w:tcW w:type="dxa" w:w="3685"/>
          </w:tcPr>
          <w:p>
            <w:r>
              <w:t>Plus de traces Java de plusieurs centaines de lignes dans les sorties</w:t>
            </w:r>
          </w:p>
        </w:tc>
        <w:tc>
          <w:tcPr>
            <w:tcW w:type="dxa" w:w="5386"/>
          </w:tcPr>
          <w:p>
            <w:r>
              <w:t>Les avertissements n'affichent plus que le message utile (§2.3)</w:t>
            </w:r>
          </w:p>
        </w:tc>
      </w:tr>
      <w:tr>
        <w:tc>
          <w:tcPr>
            <w:tcW w:type="dxa" w:w="3685"/>
          </w:tcPr>
          <w:p>
            <w:r>
              <w:t>Un nouveau périmètre uc_objects dans l'orchestrateur de restauration</w:t>
            </w:r>
          </w:p>
        </w:tc>
        <w:tc>
          <w:tcPr>
            <w:tcW w:type="dxa" w:w="5386"/>
          </w:tcPr>
          <w:p>
            <w:r>
              <w:t>Restauration des volumes et fonctions (§3.2)</w:t>
            </w:r>
          </w:p>
        </w:tc>
      </w:tr>
    </w:tbl>
    <w:p/>
    <w:p>
      <w:r>
        <w:br w:type="page"/>
      </w:r>
    </w:p>
    <w:p>
      <w:pPr>
        <w:pStyle w:val="Heading1"/>
        <w:jc w:val="left"/>
      </w:pPr>
      <w:r>
        <w:rPr>
          <w:color w:val="1F497D"/>
        </w:rPr>
        <w:t>2. Corrections</w:t>
      </w:r>
    </w:p>
    <w:p>
      <w:pPr>
        <w:pStyle w:val="Heading2"/>
        <w:jc w:val="left"/>
      </w:pPr>
      <w:r>
        <w:rPr>
          <w:color w:val="1F497D"/>
        </w:rPr>
        <w:t>2.1 Échec quotidien du premier run (mémoire du driver)</w:t>
      </w:r>
    </w:p>
    <w:p>
      <w:r>
        <w:t>Chaque nuit, la première tentative du job dr-backup-daily s'arrêtait avec l'erreur GC overhead limit exceeded après environ deux heures, et seule une seconde tentative terminait le backup. Les métriques montrent une mémoire Java du driver saturée (16,8 Go sur Standard_DS4_v2) peu après le début de la copie des tables.</w:t>
      </w:r>
    </w:p>
    <w:p>
      <w:r>
        <w:t>La mémoire du driver croît avec le nombre de tables traitées dans un même run, pas avec leur volume : la seconde tentative aboutissait parce qu'elle repartait d'un driver neuf avec seulement les tables restantes. Le driver passe en Standard_E8s_v3 (64 Go, environ 40 Go de mémoire Java) ; les workers restent inchangés.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497D"/>
          </w:tcPr>
          <w:p>
            <w:r>
              <w:rPr>
                <w:b/>
                <w:color w:val="FFFFFF"/>
              </w:rPr>
              <w:t>Élément</w:t>
            </w:r>
          </w:p>
        </w:tc>
        <w:tc>
          <w:tcPr>
            <w:tcW w:type="dxa" w:w="3402"/>
            <w:shd w:val="clear" w:color="auto" w:fill="1F497D"/>
          </w:tcPr>
          <w:p>
            <w:r>
              <w:rPr>
                <w:b/>
                <w:color w:val="FFFFFF"/>
              </w:rPr>
              <w:t>Avant</w:t>
            </w:r>
          </w:p>
        </w:tc>
        <w:tc>
          <w:tcPr>
            <w:tcW w:type="dxa" w:w="3685"/>
            <w:shd w:val="clear" w:color="auto" w:fill="1F497D"/>
          </w:tcPr>
          <w:p>
            <w:r>
              <w:rPr>
                <w:b/>
                <w:color w:val="FFFFFF"/>
              </w:rPr>
              <w:t>Après</w:t>
            </w:r>
          </w:p>
        </w:tc>
      </w:tr>
      <w:tr>
        <w:tc>
          <w:tcPr>
            <w:tcW w:type="dxa" w:w="1984"/>
          </w:tcPr>
          <w:p>
            <w:r>
              <w:t>Driver</w:t>
            </w:r>
          </w:p>
        </w:tc>
        <w:tc>
          <w:tcPr>
            <w:tcW w:type="dxa" w:w="3402"/>
          </w:tcPr>
          <w:p>
            <w:r>
              <w:t>Standard_DS4_v2 (28 Go)</w:t>
            </w:r>
          </w:p>
        </w:tc>
        <w:tc>
          <w:tcPr>
            <w:tcW w:type="dxa" w:w="3685"/>
          </w:tcPr>
          <w:p>
            <w:r>
              <w:t>Standard_E8s_v3 (64 Go)</w:t>
            </w:r>
          </w:p>
        </w:tc>
      </w:tr>
      <w:tr>
        <w:tc>
          <w:tcPr>
            <w:tcW w:type="dxa" w:w="1984"/>
          </w:tcPr>
          <w:p>
            <w:r>
              <w:t>Workers</w:t>
            </w:r>
          </w:p>
        </w:tc>
        <w:tc>
          <w:tcPr>
            <w:tcW w:type="dxa" w:w="3402"/>
          </w:tcPr>
          <w:p>
            <w:r>
              <w:t>4 × Standard_DS4_v2</w:t>
            </w:r>
          </w:p>
        </w:tc>
        <w:tc>
          <w:tcPr>
            <w:tcW w:type="dxa" w:w="3685"/>
          </w:tcPr>
          <w:p>
            <w:r>
              <w:t>inchangé</w:t>
            </w:r>
          </w:p>
        </w:tc>
      </w:tr>
      <w:tr>
        <w:tc>
          <w:tcPr>
            <w:tcW w:type="dxa" w:w="1984"/>
          </w:tcPr>
          <w:p>
            <w:r>
              <w:t>Coût du driver</w:t>
            </w:r>
          </w:p>
        </w:tc>
        <w:tc>
          <w:tcPr>
            <w:tcW w:type="dxa" w:w="3402"/>
          </w:tcPr>
          <w:p>
            <w:r>
              <w:t>—</w:t>
            </w:r>
          </w:p>
        </w:tc>
        <w:tc>
          <w:tcPr>
            <w:tcW w:type="dxa" w:w="3685"/>
          </w:tcPr>
          <w:p>
            <w:r>
              <w:t>quelques centimes de plus par heure</w:t>
            </w:r>
          </w:p>
        </w:tc>
      </w:tr>
      <w:tr>
        <w:tc>
          <w:tcPr>
            <w:tcW w:type="dxa" w:w="1984"/>
          </w:tcPr>
          <w:p>
            <w:r>
              <w:t>Coût total attendu</w:t>
            </w:r>
          </w:p>
        </w:tc>
        <w:tc>
          <w:tcPr>
            <w:tcW w:type="dxa" w:w="3402"/>
          </w:tcPr>
          <w:p>
            <w:r>
              <w:t>run en échec (~2 h de cluster complet) + seconde tentative</w:t>
            </w:r>
          </w:p>
        </w:tc>
        <w:tc>
          <w:tcPr>
            <w:tcW w:type="dxa" w:w="3685"/>
          </w:tcPr>
          <w:p>
            <w:r>
              <w:t>un seul run</w:t>
            </w:r>
          </w:p>
        </w:tc>
      </w:tr>
    </w:tbl>
    <w:p/>
    <w:p>
      <w:pPr>
        <w:ind w:left="283"/>
      </w:pPr>
      <w:r>
        <w:rPr>
          <w:i/>
          <w:color w:val="707070"/>
          <w:sz w:val="20"/>
        </w:rPr>
        <w:t>Note : ce dimensionnement est un ajustement de capacité. Une optimisation du notebook de copie, pour que la mémoire du driver ne dépende plus du nombre de tables, est prévue dans une version ultérieure.</w:t>
      </w:r>
    </w:p>
    <w:p>
      <w:pPr>
        <w:pStyle w:val="Heading2"/>
        <w:jc w:val="left"/>
      </w:pPr>
      <w:r>
        <w:rPr>
          <w:color w:val="1F497D"/>
        </w:rPr>
        <w:t>2.2 Catalogs fédérés et Delta Sharing</w:t>
      </w:r>
    </w:p>
    <w:p>
      <w:r>
        <w:t>Les catalogs Lakehouse Federation (par exemple vers SQL Server) étaient traités comme des catalogs standards : le backup exportait un CREATE CATALOG simple qui, rejoué, aurait créé un catalog vide à la place du catalog fédéré, et interrogeait la base source à chaque exécution (erreur FAILED_JDBC si la connexion est cassée). Ces catalogs, ainsi que ceux de Delta Sharing, sont désormais exclus : leurs données ne sont pas dans Databricks et leur définition (connexion, partage) relève de l'infrastructure as code.</w:t>
      </w:r>
    </w:p>
    <w:p>
      <w:pPr>
        <w:pStyle w:val="Heading2"/>
        <w:jc w:val="left"/>
      </w:pPr>
      <w:r>
        <w:rPr>
          <w:color w:val="1F497D"/>
        </w:rPr>
        <w:t>2.3 Sorties de notebooks tronquées</w:t>
      </w:r>
    </w:p>
    <w:p>
      <w:r>
        <w:t>Un catalog inaccessible faisait afficher l'exception complète, avec une trace Java de plusieurs centaines de lignes. La sortie dépassait la limite de l'interface et la synthèse finale était perdue. Les avertissements n'affichent plus que le message, par exemple :</w:t>
      </w:r>
    </w:p>
    <w:p>
      <w:pPr>
        <w:spacing w:before="40" w:after="40"/>
        <w:ind w:left="283"/>
        <w:shd w:val="clear" w:color="auto" w:fill="F0F0F0"/>
      </w:pPr>
      <w:r>
        <w:rPr>
          <w:rFonts w:ascii="Courier New" w:hAnsi="Courier New"/>
          <w:color w:val="1F497D"/>
          <w:sz w:val="18"/>
        </w:rPr>
        <w:t>[WARN] Volumes de db_demo non listables : [INSUFFICIENT_PERMISSIONS] User does not have USE CATALOG on Catalog 'db_demo'.</w:t>
      </w:r>
    </w:p>
    <w:p>
      <w:pPr>
        <w:pStyle w:val="Heading2"/>
        <w:jc w:val="left"/>
      </w:pPr>
      <w:r>
        <w:rPr>
          <w:color w:val="1F497D"/>
        </w:rPr>
        <w:t>2.4 Permissions héritées exportées comme permissions directes</w:t>
      </w:r>
    </w:p>
    <w:p>
      <w:r>
        <w:t>La commande SHOW GRANTS sur un objet renvoie aussi les droits hérités de son catalog et de son schéma. L'export les réécrivait tous comme des droits posés sur l'objet lui-même : une restauration les aurait matérialisés en droits explicites, objet par objet. Un droit retiré plus tard au niveau du catalog serait alors resté actif sur chaque table. Seuls les droits posés sur l'objet lui-même sont désormais exportés ; sur l'environnement de test, le fichier des permissions est passé de 308 à 150 lignes.</w:t>
      </w:r>
    </w:p>
    <w:p>
      <w:pPr>
        <w:ind w:left="283"/>
      </w:pPr>
      <w:r>
        <w:rPr>
          <w:b/>
          <w:color w:val="C00000"/>
          <w:sz w:val="20"/>
        </w:rPr>
        <w:t>Attention : les fichiers 04_grants.sql produits par les versions précédentes contiennent ces droits hérités. Pour une restauration des permissions, utiliser de préférence un backup réalisé avec la version 4.2.</w:t>
      </w:r>
    </w:p>
    <w:p>
      <w:pPr>
        <w:pStyle w:val="Heading2"/>
        <w:jc w:val="left"/>
      </w:pPr>
      <w:r>
        <w:rPr>
          <w:color w:val="1F497D"/>
        </w:rPr>
        <w:t>2.5 Fonctions Python</w:t>
      </w:r>
    </w:p>
    <w:p>
      <w:r>
        <w:t>Le corps d'une fonction Python gagnait une ligne vide au début et à la fin à chaque cycle de sauvegarde et de restauration. Il est désormais restauré à l'identique.</w:t>
      </w:r>
    </w:p>
    <w:p>
      <w:r>
        <w:br w:type="page"/>
      </w:r>
    </w:p>
    <w:p>
      <w:pPr>
        <w:pStyle w:val="Heading1"/>
        <w:jc w:val="left"/>
      </w:pPr>
      <w:r>
        <w:rPr>
          <w:color w:val="1F497D"/>
        </w:rPr>
        <w:t>3. Ajouts</w:t>
      </w:r>
    </w:p>
    <w:p>
      <w:pPr>
        <w:pStyle w:val="Heading2"/>
        <w:jc w:val="left"/>
      </w:pPr>
      <w:r>
        <w:rPr>
          <w:color w:val="1F497D"/>
        </w:rPr>
        <w:t>3.1 Volumes et fonctions Unity Catalog</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2835"/>
            <w:shd w:val="clear" w:color="auto" w:fill="1F497D"/>
          </w:tcPr>
          <w:p>
            <w:r>
              <w:rPr>
                <w:b/>
                <w:color w:val="FFFFFF"/>
              </w:rPr>
              <w:t>Sauvegardé</w:t>
            </w:r>
          </w:p>
        </w:tc>
        <w:tc>
          <w:tcPr>
            <w:tcW w:type="dxa" w:w="3402"/>
            <w:shd w:val="clear" w:color="auto" w:fill="1F497D"/>
          </w:tcPr>
          <w:p>
            <w:r>
              <w:rPr>
                <w:b/>
                <w:color w:val="FFFFFF"/>
              </w:rPr>
              <w:t>Restauré par</w:t>
            </w:r>
          </w:p>
        </w:tc>
      </w:tr>
      <w:tr>
        <w:tc>
          <w:tcPr>
            <w:tcW w:type="dxa" w:w="2835"/>
          </w:tcPr>
          <w:p>
            <w:r>
              <w:t>Volumes (managés et externes)</w:t>
            </w:r>
          </w:p>
        </w:tc>
        <w:tc>
          <w:tcPr>
            <w:tcW w:type="dxa" w:w="2835"/>
          </w:tcPr>
          <w:p>
            <w:r>
              <w:t>Définition + permissions</w:t>
            </w:r>
          </w:p>
        </w:tc>
        <w:tc>
          <w:tcPr>
            <w:tcW w:type="dxa" w:w="3402"/>
          </w:tcPr>
          <w:p>
            <w:r>
              <w:t>12_restore_uc_objects (scope uc_objects)</w:t>
            </w:r>
          </w:p>
        </w:tc>
      </w:tr>
      <w:tr>
        <w:tc>
          <w:tcPr>
            <w:tcW w:type="dxa" w:w="2835"/>
          </w:tcPr>
          <w:p>
            <w:r>
              <w:t>Fonctions SQL, Python, fonctions table</w:t>
            </w:r>
          </w:p>
        </w:tc>
        <w:tc>
          <w:tcPr>
            <w:tcW w:type="dxa" w:w="2835"/>
          </w:tcPr>
          <w:p>
            <w:r>
              <w:t>DDL complet + permissions</w:t>
            </w:r>
          </w:p>
        </w:tc>
        <w:tc>
          <w:tcPr>
            <w:tcW w:type="dxa" w:w="3402"/>
          </w:tcPr>
          <w:p>
            <w:r>
              <w:t>12_restore_uc_objects (scope uc_objects)</w:t>
            </w:r>
          </w:p>
        </w:tc>
      </w:tr>
    </w:tbl>
    <w:p/>
    <w:p>
      <w:pPr>
        <w:ind w:left="283"/>
      </w:pPr>
      <w:r>
        <w:rPr>
          <w:b/>
          <w:color w:val="C00000"/>
          <w:sz w:val="20"/>
        </w:rPr>
        <w:t>Attention : le contenu des volumes managés (fichiers) n'est pas sauvegardé : un volume managé est recréé vide. Les fichiers des volumes externes restent sur leur compte de stockage, dont la protection (soft delete, versioning, réplication) relève de sa configuration Azure.</w:t>
      </w:r>
    </w:p>
    <w:p>
      <w:pPr>
        <w:pStyle w:val="Heading2"/>
        <w:jc w:val="left"/>
      </w:pPr>
      <w:r>
        <w:rPr>
          <w:color w:val="1F497D"/>
        </w:rPr>
        <w:t>3.2 Restauration</w:t>
      </w:r>
    </w:p>
    <w:p>
      <w:pPr>
        <w:pStyle w:val="ListBullet"/>
      </w:pPr>
      <w:r>
        <w:t>Nouveau scope uc_objects dans 10_restore_orchestrator, exécuté entre les tables et les permissions.</w:t>
      </w:r>
    </w:p>
    <w:p>
      <w:pPr>
        <w:pStyle w:val="ListBullet"/>
      </w:pPr>
      <w:r>
        <w:t>11_restore_grants restaure aussi les permissions des volumes et des fonctions.</w:t>
      </w:r>
    </w:p>
    <w:p>
      <w:pPr>
        <w:pStyle w:val="ListBullet"/>
      </w:pPr>
      <w:r>
        <w:t>scripts/restore_uc.py rejoue les fichiers dans le bon ordre (permissions en dernier), retente une fois les vues et fonctions dépendantes, et accepte --only-grants.</w:t>
      </w:r>
    </w:p>
    <w:p>
      <w:pPr>
        <w:pStyle w:val="Heading2"/>
        <w:jc w:val="left"/>
      </w:pPr>
      <w:r>
        <w:rPr>
          <w:color w:val="1F497D"/>
        </w:rPr>
        <w:t>3.3 Diagnostic</w:t>
      </w:r>
    </w:p>
    <w:p>
      <w:pPr>
        <w:pStyle w:val="ListBullet"/>
      </w:pPr>
      <w:r>
        <w:t>diag_01_audit mesure le contenu des volumes managés (fichiers, taille, changements sur 24 h) et liste les catalogs inaccessibles à l'identité qui l'exécute.</w:t>
      </w:r>
    </w:p>
    <w:p>
      <w:pPr>
        <w:pStyle w:val="ListBullet"/>
      </w:pPr>
      <w:r>
        <w:t>Nouveau diag_03_backup_coverage : rapport HTML + Excel de tous les objets du metastore et du workspace, avec pour chacun le moyen de restauration (backup, as code, autre) ou son absence, les droits du compte de backup et le résultat du dernier backup.</w:t>
      </w:r>
    </w:p>
    <w:p>
      <w:r>
        <w:br w:type="page"/>
      </w:r>
    </w:p>
    <w:p>
      <w:pPr>
        <w:pStyle w:val="Heading1"/>
        <w:jc w:val="left"/>
      </w:pPr>
      <w:r>
        <w:rPr>
          <w:color w:val="1F497D"/>
        </w:rPr>
        <w:t>4. Procédure de mise à jour</w:t>
      </w:r>
    </w:p>
    <w:p>
      <w:pPr>
        <w:pStyle w:val="ListNumber"/>
      </w:pPr>
      <w:r>
        <w:t>Extraire l'archive, en conservant le dossier lib/ : 01_uc_metadata et 12_restore_uc_objects en dépendent.</w:t>
      </w:r>
    </w:p>
    <w:p>
      <w:pPr>
        <w:pStyle w:val="ListNumber"/>
      </w:pPr>
      <w:r>
        <w:t>Reporter dans databricks.yml vos valeurs (backup_root, host de chaque cible, notification_email, rétentions) et le nouveau bloc driver_node_type_id du job quotidien.</w:t>
      </w:r>
    </w:p>
    <w:p>
      <w:pPr>
        <w:pStyle w:val="ListNumber"/>
      </w:pPr>
      <w:r>
        <w:t>Vérifier que le quota de vCPU de la famille ESv3 permet 8 vCPU supplémentaires dans la région, et qu'aucune politique de cluster n'interdit Standard_E8s_v3.</w:t>
      </w:r>
    </w:p>
    <w:p>
      <w:pPr>
        <w:pStyle w:val="ListNumber"/>
      </w:pPr>
      <w:r>
        <w:t>databricks bundle validate --target &lt;cible&gt; — vérifier les lignes Host: et User:.</w:t>
      </w:r>
    </w:p>
    <w:p>
      <w:pPr>
        <w:pStyle w:val="ListNumber"/>
      </w:pPr>
      <w:r>
        <w:t>databricks bundle deploy --target &lt;cible&gt;.</w:t>
      </w:r>
    </w:p>
    <w:p>
      <w:pPr>
        <w:pStyle w:val="ListNumber"/>
      </w:pPr>
      <w:r>
        <w:t>Lancer une exécution manuelle de contrôle avant de réactiver la planification.</w:t>
      </w:r>
    </w:p>
    <w:p>
      <w:pPr>
        <w:ind w:left="283"/>
      </w:pPr>
      <w:r>
        <w:rPr>
          <w:b/>
          <w:color w:val="C00000"/>
          <w:sz w:val="20"/>
        </w:rPr>
        <w:t>Attention : ne pas remplacer votre databricks.yml par celui de l'archive : vous perdriez vos chemins de stockage et votre adresse de notification. Reporter uniquement les blocs modifiés.</w:t>
      </w:r>
    </w:p>
    <w:p>
      <w:pPr>
        <w:ind w:left="283"/>
      </w:pPr>
      <w:r>
        <w:rPr>
          <w:i/>
          <w:color w:val="707070"/>
          <w:sz w:val="20"/>
        </w:rPr>
        <w:t>Note : si lib/ n'est pas redéployé, le backup ne s'arrête pas : seule la sauvegarde des volumes et fonctions est sautée, avec un avertissement dans la sortie de 01_uc_metadata.</w:t>
      </w:r>
    </w:p>
    <w:p>
      <w:pPr>
        <w:pStyle w:val="Heading2"/>
        <w:jc w:val="left"/>
      </w:pPr>
      <w:r>
        <w:rPr>
          <w:color w:val="1F497D"/>
        </w:rPr>
        <w:t>4.1 Vérification après mise à jour</w:t>
      </w:r>
    </w:p>
    <w:p>
      <w:pPr>
        <w:pStyle w:val="ListBullet"/>
      </w:pPr>
      <w:r>
        <w:t>Statut du run : réussi dès la première tentative.</w:t>
      </w:r>
    </w:p>
    <w:p>
      <w:pPr>
        <w:pStyle w:val="ListBullet"/>
      </w:pPr>
      <w:r>
        <w:t>Metrics du driver : pic de JVM heap usage nettement sous 40 Go, pauses GC basses.</w:t>
      </w:r>
    </w:p>
    <w:p>
      <w:pPr>
        <w:pStyle w:val="ListBullet"/>
      </w:pPr>
      <w:r>
        <w:t>Dossier uc_metadata/ du jour : présence de 05_volumes.sql et 06_functions.sql.</w:t>
      </w:r>
    </w:p>
    <w:p>
      <w:pPr>
        <w:pStyle w:val="ListBullet"/>
      </w:pPr>
      <w:r>
        <w:t>Sortie de 01_uc_metadata : les lignes [SKIP] correspondent bien à vos catalogs fédérés.</w:t>
      </w:r>
    </w:p>
    <w:p>
      <w:pPr>
        <w:ind w:left="283"/>
      </w:pPr>
      <w:r>
        <w:rPr>
          <w:i/>
          <w:color w:val="707070"/>
          <w:sz w:val="20"/>
        </w:rPr>
        <w:t>Note : la transmission des graphiques mémoire du driver après le premier run nous permettra de confirmer la marge disponible sur votre volume de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