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56"/>
        </w:rPr>
        <w:t>DR Backup Databricks</w:t>
      </w:r>
    </w:p>
    <w:p>
      <w:pPr>
        <w:jc w:val="center"/>
      </w:pPr>
      <w:r>
        <w:rPr>
          <w:color w:val="404040"/>
          <w:sz w:val="32"/>
        </w:rPr>
        <w:t>Notes de version</w:t>
      </w:r>
    </w:p>
    <w:p>
      <w:pPr>
        <w:jc w:val="center"/>
      </w:pPr>
      <w:r>
        <w:rPr>
          <w:b/>
          <w:color w:val="404040"/>
          <w:sz w:val="26"/>
        </w:rPr>
        <w:t>Version 4.1</w:t>
      </w:r>
    </w:p>
    <w:p/>
    <w:p>
      <w:pPr>
        <w:jc w:val="center"/>
      </w:pPr>
      <w:r>
        <w:rPr>
          <w:color w:val="808080"/>
          <w:sz w:val="22"/>
        </w:rPr>
        <w:t>KeyIT — 06/08/2026</w:t>
      </w:r>
    </w:p>
    <w:p>
      <w:r>
        <w:br w:type="page"/>
      </w:r>
    </w:p>
    <w:p>
      <w:pPr>
        <w:pStyle w:val="Heading1"/>
        <w:jc w:val="left"/>
      </w:pPr>
      <w:r>
        <w:rPr>
          <w:color w:val="1F497D"/>
        </w:rPr>
        <w:t>1. En résumé</w:t>
      </w:r>
    </w:p>
    <w:p>
      <w:r>
        <w:t>Cette version corrige quatre défauts identifiés lors des exécutions en production et réduit sensiblement la durée du backup quotidien.</w:t>
      </w:r>
    </w:p>
    <w:p>
      <w:pPr>
        <w:ind w:left="283"/>
      </w:pPr>
      <w:r>
        <w:rPr>
          <w:i/>
          <w:color w:val="707070"/>
          <w:sz w:val="20"/>
        </w:rPr>
        <w:t>Note : aucun impact sur vos données. La mise à jour ne touche que du code : notebooks et définitions de jobs. Aucune migration, aucun re-clonage, aucune perte de fenêtre de restauration. Votre backup existant reste valide et restaurable pendant et après l'opération.</w:t>
      </w:r>
    </w:p>
    <w:p>
      <w:pPr>
        <w:pStyle w:val="Heading2"/>
        <w:jc w:val="left"/>
      </w:pPr>
      <w:r>
        <w:rPr>
          <w:color w:val="1F497D"/>
        </w:rPr>
        <w:t>1.1 Ce que vous allez constater</w:t>
      </w:r>
    </w:p>
    <w:p>
      <w:r>
        <w:t>Trois de ces changements ressemblent à des régressions. Ils n'en sont pas.</w:t>
      </w:r>
    </w:p>
    <w:tbl>
      <w:tblPr>
        <w:tblStyle w:val="TableGrid"/>
        <w:tblW w:type="auto" w:w="0"/>
        <w:jc w:val="left"/>
        <w:tblLook w:firstColumn="1" w:firstRow="1" w:lastColumn="0" w:lastRow="0" w:noHBand="0" w:noVBand="1" w:val="04A0"/>
      </w:tblPr>
      <w:tblGrid>
        <w:gridCol w:w="4320"/>
        <w:gridCol w:w="4320"/>
      </w:tblGrid>
      <w:tr>
        <w:tc>
          <w:tcPr>
            <w:tcW w:type="dxa" w:w="3402"/>
            <w:shd w:val="clear" w:color="auto" w:fill="1F497D"/>
          </w:tcPr>
          <w:p>
            <w:r>
              <w:rPr>
                <w:b/>
                <w:color w:val="FFFFFF"/>
              </w:rPr>
              <w:t>Constat</w:t>
            </w:r>
          </w:p>
        </w:tc>
        <w:tc>
          <w:tcPr>
            <w:tcW w:type="dxa" w:w="5669"/>
            <w:shd w:val="clear" w:color="auto" w:fill="1F497D"/>
          </w:tcPr>
          <w:p>
            <w:r>
              <w:rPr>
                <w:b/>
                <w:color w:val="FFFFFF"/>
              </w:rPr>
              <w:t>Explication</w:t>
            </w:r>
          </w:p>
        </w:tc>
      </w:tr>
      <w:tr>
        <w:tc>
          <w:tcPr>
            <w:tcW w:type="dxa" w:w="3402"/>
          </w:tcPr>
          <w:p>
            <w:r>
              <w:t>Le volume annoncé dans le rapport chute fortement</w:t>
            </w:r>
          </w:p>
        </w:tc>
        <w:tc>
          <w:tcPr>
            <w:tcW w:type="dxa" w:w="5669"/>
          </w:tcPr>
          <w:p>
            <w:r>
              <w:t>Le chiffre précédent était faux : il additionnait la taille complète de tables inchangées. La nouvelle valeur est le volume réellement transféré</w:t>
            </w:r>
          </w:p>
        </w:tc>
      </w:tr>
      <w:tr>
        <w:tc>
          <w:tcPr>
            <w:tcW w:type="dxa" w:w="3402"/>
          </w:tcPr>
          <w:p>
            <w:r>
              <w:t>Plus aucune ligne VACUUM la plupart des nuits</w:t>
            </w:r>
          </w:p>
        </w:tc>
        <w:tc>
          <w:tcPr>
            <w:tcW w:type="dxa" w:w="5669"/>
          </w:tcPr>
          <w:p>
            <w:r>
              <w:t>L'étape est passée en hebdomadaire. Les autres jours, le journal indique « VACUUM ignoré » suivi du jour planifié</w:t>
            </w:r>
          </w:p>
        </w:tc>
      </w:tr>
      <w:tr>
        <w:tc>
          <w:tcPr>
            <w:tcW w:type="dxa" w:w="3402"/>
          </w:tcPr>
          <w:p>
            <w:r>
              <w:t>Le jour du VACUUM, la durée remonte</w:t>
            </w:r>
          </w:p>
        </w:tc>
        <w:tc>
          <w:tcPr>
            <w:tcW w:type="dxa" w:w="5669"/>
          </w:tcPr>
          <w:p>
            <w:r>
              <w:t>C'est le jour de purge. Il reste nettement plus rapide qu'avant grâce à la parallélisation</w:t>
            </w:r>
          </w:p>
        </w:tc>
      </w:tr>
      <w:tr>
        <w:tc>
          <w:tcPr>
            <w:tcW w:type="dxa" w:w="3402"/>
          </w:tcPr>
          <w:p>
            <w:r>
              <w:t>Un dernier différentiel bruyant sur les notebooks au premier run</w:t>
            </w:r>
          </w:p>
        </w:tc>
        <w:tc>
          <w:tcPr>
            <w:tcW w:type="dxa" w:w="5669"/>
          </w:tcPr>
          <w:p>
            <w:r>
              <w:t>Artefact de transition unique : le manifest de la veille contient encore l'ancien format de chemins. Le différentiel est correct dès l'exécution suivante</w:t>
            </w:r>
          </w:p>
        </w:tc>
      </w:tr>
      <w:tr>
        <w:tc>
          <w:tcPr>
            <w:tcW w:type="dxa" w:w="3402"/>
          </w:tcPr>
          <w:p>
            <w:r>
              <w:t>Durée totale du quotidien divisée par deux ou plus</w:t>
            </w:r>
          </w:p>
        </w:tc>
        <w:tc>
          <w:tcPr>
            <w:tcW w:type="dxa" w:w="5669"/>
          </w:tcPr>
          <w:p>
            <w:r>
              <w:t>Effet attendu de la nouvelle fréquence du VACUUM</w:t>
            </w:r>
          </w:p>
        </w:tc>
      </w:tr>
    </w:tbl>
    <w:p/>
    <w:p>
      <w:r>
        <w:br w:type="page"/>
      </w:r>
    </w:p>
    <w:p>
      <w:pPr>
        <w:pStyle w:val="Heading1"/>
        <w:jc w:val="left"/>
      </w:pPr>
      <w:r>
        <w:rPr>
          <w:color w:val="1F497D"/>
        </w:rPr>
        <w:t>2. Corrections</w:t>
      </w:r>
    </w:p>
    <w:p>
      <w:pPr>
        <w:pStyle w:val="Heading2"/>
        <w:jc w:val="left"/>
      </w:pPr>
      <w:r>
        <w:rPr>
          <w:color w:val="1F497D"/>
        </w:rPr>
        <w:t>2.1 Ordre d'exécution de l'export de configuration workspace</w:t>
      </w:r>
    </w:p>
    <w:p>
      <w:r>
        <w:t>L'étape qui exporte les jobs et les notebooks s'exécutait après l'étape qui lit leurs fichiers pour construire le manifest. Au premier passage d'une journée, ces fichiers n'existaient pas encore : le manifest était écrit avec des listes vides et le différentiel était incomplet. L'ordre est corrigé.</w:t>
      </w:r>
    </w:p>
    <w:p>
      <w:pPr>
        <w:ind w:left="283"/>
      </w:pPr>
      <w:r>
        <w:rPr>
          <w:i/>
          <w:color w:val="707070"/>
          <w:sz w:val="20"/>
        </w:rPr>
        <w:t>Note : si vous avez appliqué ce correctif localement sur le notebook déployé, vous pouvez le retirer : il est désormais dans la version livrée.</w:t>
      </w:r>
    </w:p>
    <w:p>
      <w:pPr>
        <w:pStyle w:val="Heading2"/>
        <w:jc w:val="left"/>
      </w:pPr>
      <w:r>
        <w:rPr>
          <w:color w:val="1F497D"/>
        </w:rPr>
        <w:t>2.2 Durée du VACUUM</w:t>
      </w:r>
    </w:p>
    <w:p>
      <w:r>
        <w:t>L'étape n'exploitait pas le parallélisme, contrairement au reste du traitement, et s'exécutait chaque nuit. Mesure relevée avant correction :</w:t>
      </w:r>
    </w:p>
    <w:tbl>
      <w:tblPr>
        <w:tblStyle w:val="TableGrid"/>
        <w:tblW w:type="auto" w:w="0"/>
        <w:jc w:val="left"/>
        <w:tblLook w:firstColumn="1" w:firstRow="1" w:lastColumn="0" w:lastRow="0" w:noHBand="0" w:noVBand="1" w:val="04A0"/>
      </w:tblPr>
      <w:tblGrid>
        <w:gridCol w:w="4320"/>
        <w:gridCol w:w="4320"/>
      </w:tblGrid>
      <w:tr>
        <w:tc>
          <w:tcPr>
            <w:tcW w:type="dxa" w:w="3402"/>
            <w:shd w:val="clear" w:color="auto" w:fill="1F497D"/>
          </w:tcPr>
          <w:p>
            <w:r>
              <w:rPr>
                <w:b/>
                <w:color w:val="FFFFFF"/>
              </w:rPr>
              <w:t>Mesure</w:t>
            </w:r>
          </w:p>
        </w:tc>
        <w:tc>
          <w:tcPr>
            <w:tcW w:type="dxa" w:w="5669"/>
            <w:shd w:val="clear" w:color="auto" w:fill="1F497D"/>
          </w:tcPr>
          <w:p>
            <w:r>
              <w:rPr>
                <w:b/>
                <w:color w:val="FFFFFF"/>
              </w:rPr>
              <w:t>Valeur</w:t>
            </w:r>
          </w:p>
        </w:tc>
      </w:tr>
      <w:tr>
        <w:tc>
          <w:tcPr>
            <w:tcW w:type="dxa" w:w="3402"/>
          </w:tcPr>
          <w:p>
            <w:r>
              <w:t>Tables traitées</w:t>
            </w:r>
          </w:p>
        </w:tc>
        <w:tc>
          <w:tcPr>
            <w:tcW w:type="dxa" w:w="5669"/>
          </w:tcPr>
          <w:p>
            <w:r>
              <w:t>2 398</w:t>
            </w:r>
          </w:p>
        </w:tc>
      </w:tr>
      <w:tr>
        <w:tc>
          <w:tcPr>
            <w:tcW w:type="dxa" w:w="3402"/>
          </w:tcPr>
          <w:p>
            <w:r>
              <w:t>Durée de l'étape</w:t>
            </w:r>
          </w:p>
        </w:tc>
        <w:tc>
          <w:tcPr>
            <w:tcW w:type="dxa" w:w="5669"/>
          </w:tcPr>
          <w:p>
            <w:r>
              <w:t>2 h 40, soit plus de la moitié de la durée totale</w:t>
            </w:r>
          </w:p>
        </w:tc>
      </w:tr>
      <w:tr>
        <w:tc>
          <w:tcPr>
            <w:tcW w:type="dxa" w:w="3402"/>
          </w:tcPr>
          <w:p>
            <w:r>
              <w:t>Fichiers effectivement supprimés</w:t>
            </w:r>
          </w:p>
        </w:tc>
        <w:tc>
          <w:tcPr>
            <w:tcW w:type="dxa" w:w="5669"/>
          </w:tcPr>
          <w:p>
            <w:r>
              <w:t>0</w:t>
            </w:r>
          </w:p>
        </w:tc>
      </w:tr>
    </w:tbl>
    <w:p/>
    <w:p>
      <w:r>
        <w:t>Elle est désormais parallélisée et exécutée une fois par semaine. Un VACUUM hebdomadaire purge exactement autant qu'un VACUUM quotidien : il rattrape plusieurs jours en une fois. La fenêtre de restauration de 30 jours est inchangée.</w:t>
      </w:r>
    </w:p>
    <w:p>
      <w:pPr>
        <w:pStyle w:val="Heading2"/>
        <w:jc w:val="left"/>
      </w:pPr>
      <w:r>
        <w:rPr>
          <w:color w:val="1F497D"/>
        </w:rPr>
        <w:t>2.3 Différentiel des notebooks</w:t>
      </w:r>
    </w:p>
    <w:p>
      <w:r>
        <w:t>Le manifest enregistrait des chemins absolus contenant la date du backup. Ces chemins changeant mécaniquement chaque jour, tous les notebooks apparaissaient simultanément ajoutés et supprimés, avec zéro inchangé. Les chemins sont désormais relatifs.</w:t>
      </w:r>
    </w:p>
    <w:p>
      <w:pPr>
        <w:ind w:left="283"/>
      </w:pPr>
      <w:r>
        <w:rPr>
          <w:i/>
          <w:color w:val="707070"/>
          <w:sz w:val="20"/>
        </w:rPr>
        <w:t>Note : la sauvegarde des notebooks elle-même n'a jamais été affectée : seul le rapport de comparaison était faux.</w:t>
      </w:r>
    </w:p>
    <w:p>
      <w:pPr>
        <w:pStyle w:val="Heading2"/>
        <w:jc w:val="left"/>
      </w:pPr>
      <w:r>
        <w:rPr>
          <w:color w:val="1F497D"/>
        </w:rPr>
        <w:t>2.4 Volume de données rapporté</w:t>
      </w:r>
    </w:p>
    <w:p>
      <w:r>
        <w:t>Une table clonée n'ayant copié aucun fichier voyait sa taille totale comptabilisée à la place des octets réellement transférés. Le volume affiché mélangeait donc les deux et surestimait largement le coût de la sauvegarde incrémentale.</w:t>
      </w:r>
    </w:p>
    <w:p>
      <w:pPr>
        <w:pStyle w:val="Heading2"/>
        <w:jc w:val="left"/>
      </w:pPr>
      <w:r>
        <w:rPr>
          <w:color w:val="1F497D"/>
        </w:rPr>
        <w:t>2.5 Reprise après interruption</w:t>
      </w:r>
    </w:p>
    <w:p>
      <w:r>
        <w:t>Le suivi des versions déjà sauvegardées n'était enregistré qu'à la toute fin du traitement, donc jamais atteint en cas de dépassement du délai maximal. Une exécution interrompue ne bénéficiait d'une reprise que si elle était relancée le même jour.</w:t>
      </w:r>
    </w:p>
    <w:p>
      <w:r>
        <w:t>Ce suivi est désormais enregistré en continu. Un premier backup volumineux peut donc être étalé sur plusieurs nuits sans jamais recloner ce qui est déjà sauvegardé.</w:t>
      </w:r>
    </w:p>
    <w:p>
      <w:r>
        <w:br w:type="page"/>
      </w:r>
    </w:p>
    <w:p>
      <w:pPr>
        <w:pStyle w:val="Heading1"/>
        <w:jc w:val="left"/>
      </w:pPr>
      <w:r>
        <w:rPr>
          <w:color w:val="1F497D"/>
        </w:rPr>
        <w:t>3. Ajouts</w:t>
      </w:r>
    </w:p>
    <w:p>
      <w:pPr>
        <w:pStyle w:val="Heading2"/>
        <w:jc w:val="left"/>
      </w:pPr>
      <w:r>
        <w:rPr>
          <w:color w:val="1F497D"/>
        </w:rPr>
        <w:t>3.1 Archivage des logs de cluster</w:t>
      </w:r>
    </w:p>
    <w:p>
      <w:r>
        <w:t>Les clusters des jobs sont détruits après chaque exécution : leurs journaux disparaissent avec eux, et la sortie affichée dans l'interface est tronquée au-delà d'un certain volume. Les deux jobs archivent désormais les journaux de leur driver.</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497D"/>
          </w:tcPr>
          <w:p>
            <w:r>
              <w:rPr>
                <w:b/>
                <w:color w:val="FFFFFF"/>
              </w:rPr>
              <w:t>Job</w:t>
            </w:r>
          </w:p>
        </w:tc>
        <w:tc>
          <w:tcPr>
            <w:tcW w:type="dxa" w:w="6236"/>
            <w:shd w:val="clear" w:color="auto" w:fill="1F497D"/>
          </w:tcPr>
          <w:p>
            <w:r>
              <w:rPr>
                <w:b/>
                <w:color w:val="FFFFFF"/>
              </w:rPr>
              <w:t>Destination</w:t>
            </w:r>
          </w:p>
        </w:tc>
      </w:tr>
      <w:tr>
        <w:tc>
          <w:tcPr>
            <w:tcW w:type="dxa" w:w="2835"/>
          </w:tcPr>
          <w:p>
            <w:r>
              <w:t>dr-backup-daily</w:t>
            </w:r>
          </w:p>
        </w:tc>
        <w:tc>
          <w:tcPr>
            <w:tcW w:type="dxa" w:w="6236"/>
          </w:tcPr>
          <w:p>
            <w:r>
              <w:t>dbfs:/cluster-logs/dr-backup/daily</w:t>
            </w:r>
          </w:p>
        </w:tc>
      </w:tr>
      <w:tr>
        <w:tc>
          <w:tcPr>
            <w:tcW w:type="dxa" w:w="2835"/>
          </w:tcPr>
          <w:p>
            <w:r>
              <w:t>dr-backup-monthly</w:t>
            </w:r>
          </w:p>
        </w:tc>
        <w:tc>
          <w:tcPr>
            <w:tcW w:type="dxa" w:w="6236"/>
          </w:tcPr>
          <w:p>
            <w:r>
              <w:t>dbfs:/cluster-logs/dr-backup/monthly</w:t>
            </w:r>
          </w:p>
        </w:tc>
      </w:tr>
    </w:tbl>
    <w:p/>
    <w:p>
      <w:pPr>
        <w:ind w:left="283"/>
      </w:pPr>
      <w:r>
        <w:rPr>
          <w:b/>
          <w:color w:val="C00000"/>
          <w:sz w:val="20"/>
        </w:rPr>
        <w:t>Attention : cette destination doit être un chemin DBFS : le paramètre cluster_log_conf n'accepte pas d'URI abfss://. Si la politique de votre workspace interdit l'accès à DBFS, retirer les blocs cluster_log_conf de databricks.yml. Les jobs fonctionnent sans ; seul le diagnostic a posteriori est perdu. Ces journaux ne sont pas purgés automatiquement.</w:t>
      </w:r>
    </w:p>
    <w:p>
      <w:pPr>
        <w:pStyle w:val="Heading2"/>
        <w:jc w:val="left"/>
      </w:pPr>
      <w:r>
        <w:rPr>
          <w:color w:val="1F497D"/>
        </w:rPr>
        <w:t>3.2 Reprise explicite d'une exécution interrompue</w:t>
      </w:r>
    </w:p>
    <w:p>
      <w:r>
        <w:t>Le paramètre backup_date est exposé sur le job quotidien. Renseigné avec la date d'une exécution interrompue, il permet de retrouver son point d'arrêt exact, y compris un jour plus tard. Laissé vide, il vaut la date du jour.</w:t>
      </w:r>
    </w:p>
    <w:p>
      <w:pPr>
        <w:spacing w:before="40" w:after="40"/>
        <w:ind w:left="283"/>
        <w:shd w:val="clear" w:color="auto" w:fill="F0F0F0"/>
      </w:pPr>
      <w:r>
        <w:rPr>
          <w:rFonts w:ascii="Courier New" w:hAnsi="Courier New"/>
          <w:color w:val="1F497D"/>
          <w:sz w:val="18"/>
        </w:rPr>
        <w:t>backup_date = 2026-08-06      # la date du run interrompu</w:t>
      </w:r>
    </w:p>
    <w:p>
      <w:pPr>
        <w:pStyle w:val="Heading2"/>
        <w:jc w:val="left"/>
      </w:pPr>
      <w:r>
        <w:rPr>
          <w:color w:val="1F497D"/>
        </w:rPr>
        <w:t>3.3 Nouveaux paramètres</w:t>
      </w:r>
    </w:p>
    <w:tbl>
      <w:tblPr>
        <w:tblStyle w:val="TableGrid"/>
        <w:tblW w:type="auto" w:w="0"/>
        <w:jc w:val="left"/>
        <w:tblLook w:firstColumn="1" w:firstRow="1" w:lastColumn="0" w:lastRow="0" w:noHBand="0" w:noVBand="1" w:val="04A0"/>
      </w:tblPr>
      <w:tblGrid>
        <w:gridCol w:w="2880"/>
        <w:gridCol w:w="2880"/>
        <w:gridCol w:w="2880"/>
      </w:tblGrid>
      <w:tr>
        <w:tc>
          <w:tcPr>
            <w:tcW w:type="dxa" w:w="1984"/>
            <w:shd w:val="clear" w:color="auto" w:fill="1F497D"/>
          </w:tcPr>
          <w:p>
            <w:r>
              <w:rPr>
                <w:b/>
                <w:color w:val="FFFFFF"/>
              </w:rPr>
              <w:t>Paramètre</w:t>
            </w:r>
          </w:p>
        </w:tc>
        <w:tc>
          <w:tcPr>
            <w:tcW w:type="dxa" w:w="1134"/>
            <w:shd w:val="clear" w:color="auto" w:fill="1F497D"/>
          </w:tcPr>
          <w:p>
            <w:r>
              <w:rPr>
                <w:b/>
                <w:color w:val="FFFFFF"/>
              </w:rPr>
              <w:t>Défaut</w:t>
            </w:r>
          </w:p>
        </w:tc>
        <w:tc>
          <w:tcPr>
            <w:tcW w:type="dxa" w:w="5953"/>
            <w:shd w:val="clear" w:color="auto" w:fill="1F497D"/>
          </w:tcPr>
          <w:p>
            <w:r>
              <w:rPr>
                <w:b/>
                <w:color w:val="FFFFFF"/>
              </w:rPr>
              <w:t>Rôle</w:t>
            </w:r>
          </w:p>
        </w:tc>
      </w:tr>
      <w:tr>
        <w:tc>
          <w:tcPr>
            <w:tcW w:type="dxa" w:w="1984"/>
          </w:tcPr>
          <w:p>
            <w:r>
              <w:t>vacuum_dow</w:t>
            </w:r>
          </w:p>
        </w:tc>
        <w:tc>
          <w:tcPr>
            <w:tcW w:type="dxa" w:w="1134"/>
          </w:tcPr>
          <w:p>
            <w:r>
              <w:t>7</w:t>
            </w:r>
          </w:p>
        </w:tc>
        <w:tc>
          <w:tcPr>
            <w:tcW w:type="dxa" w:w="5953"/>
          </w:tcPr>
          <w:p>
            <w:r>
              <w:t>Jour du VACUUM : 1 = lundi … 7 = dimanche. 0 = tous les jours</w:t>
            </w:r>
          </w:p>
        </w:tc>
      </w:tr>
      <w:tr>
        <w:tc>
          <w:tcPr>
            <w:tcW w:type="dxa" w:w="1984"/>
          </w:tcPr>
          <w:p>
            <w:r>
              <w:t>enable_vacuum</w:t>
            </w:r>
          </w:p>
        </w:tc>
        <w:tc>
          <w:tcPr>
            <w:tcW w:type="dxa" w:w="1134"/>
          </w:tcPr>
          <w:p>
            <w:r>
              <w:t>true</w:t>
            </w:r>
          </w:p>
        </w:tc>
        <w:tc>
          <w:tcPr>
            <w:tcW w:type="dxa" w:w="5953"/>
          </w:tcPr>
          <w:p>
            <w:r>
              <w:t>Désactivation complète. Vaut false sur le job mensuel, qui ne doit pas dupliquer le VACUUM du quotidien</w:t>
            </w:r>
          </w:p>
        </w:tc>
      </w:tr>
      <w:tr>
        <w:tc>
          <w:tcPr>
            <w:tcW w:type="dxa" w:w="1984"/>
          </w:tcPr>
          <w:p>
            <w:r>
              <w:t>backup_date</w:t>
            </w:r>
          </w:p>
        </w:tc>
        <w:tc>
          <w:tcPr>
            <w:tcW w:type="dxa" w:w="1134"/>
          </w:tcPr>
          <w:p>
            <w:r>
              <w:t>vide</w:t>
            </w:r>
          </w:p>
        </w:tc>
        <w:tc>
          <w:tcPr>
            <w:tcW w:type="dxa" w:w="5953"/>
          </w:tcPr>
          <w:p>
            <w:r>
              <w:t>Vide = date du jour. À renseigner pour reprendre une exécution interrompue</w:t>
            </w:r>
          </w:p>
        </w:tc>
      </w:tr>
    </w:tbl>
    <w:p/>
    <w:p>
      <w:r>
        <w:br w:type="page"/>
      </w:r>
    </w:p>
    <w:p>
      <w:pPr>
        <w:pStyle w:val="Heading1"/>
        <w:jc w:val="left"/>
      </w:pPr>
      <w:r>
        <w:rPr>
          <w:color w:val="1F497D"/>
        </w:rPr>
        <w:t>4. Procédure de mise à jour</w:t>
      </w:r>
    </w:p>
    <w:p>
      <w:pPr>
        <w:pStyle w:val="ListNumber"/>
      </w:pPr>
      <w:r>
        <w:t>Extraire l'archive.</w:t>
      </w:r>
    </w:p>
    <w:p>
      <w:pPr>
        <w:pStyle w:val="ListNumber"/>
      </w:pPr>
      <w:r>
        <w:t>Reporter dans databricks.yml vos valeurs : backup_root, host de chaque cible, notification_email, et vos rétentions si vous les avez ajustées.</w:t>
      </w:r>
    </w:p>
    <w:p>
      <w:pPr>
        <w:pStyle w:val="ListNumber"/>
      </w:pPr>
      <w:r>
        <w:t>Retirer votre correctif local sur l'ordre d'exécution, s'il a été appliqué.</w:t>
      </w:r>
    </w:p>
    <w:p>
      <w:pPr>
        <w:pStyle w:val="ListNumber"/>
      </w:pPr>
      <w:r>
        <w:t>databricks bundle validate --target &lt;cible&gt; — vérifier les lignes Host: et User:.</w:t>
      </w:r>
    </w:p>
    <w:p>
      <w:pPr>
        <w:pStyle w:val="ListNumber"/>
      </w:pPr>
      <w:r>
        <w:t>databricks bundle deploy --target &lt;cible&gt;.</w:t>
      </w:r>
    </w:p>
    <w:p>
      <w:pPr>
        <w:pStyle w:val="ListNumber"/>
      </w:pPr>
      <w:r>
        <w:t>Lancer une exécution manuelle de contrôle avant de réactiver la planification.</w:t>
      </w:r>
    </w:p>
    <w:p>
      <w:pPr>
        <w:ind w:left="283"/>
      </w:pPr>
      <w:r>
        <w:rPr>
          <w:b/>
          <w:color w:val="C00000"/>
          <w:sz w:val="20"/>
        </w:rPr>
        <w:t>Attention : ne pas remplacer votre databricks.yml par celui de l'archive : vous perdriez vos chemins de stockage et votre adresse de notification. Reporter uniquement les blocs modifiés.</w:t>
      </w:r>
    </w:p>
    <w:p>
      <w:pPr>
        <w:ind w:left="283"/>
      </w:pPr>
      <w:r>
        <w:rPr>
          <w:i/>
          <w:color w:val="707070"/>
          <w:sz w:val="20"/>
        </w:rPr>
        <w:t>Note : à réaliser entre deux exécutions, pas pendant qu'une sauvegarde est en cours.</w:t>
      </w:r>
    </w:p>
    <w:p>
      <w:pPr>
        <w:pStyle w:val="Heading2"/>
        <w:jc w:val="left"/>
      </w:pPr>
      <w:r>
        <w:rPr>
          <w:color w:val="1F497D"/>
        </w:rPr>
        <w:t>4.1 Points de vigilance</w:t>
      </w:r>
    </w:p>
    <w:tbl>
      <w:tblPr>
        <w:tblStyle w:val="TableGrid"/>
        <w:tblW w:type="auto" w:w="0"/>
        <w:jc w:val="left"/>
        <w:tblLook w:firstColumn="1" w:firstRow="1" w:lastColumn="0" w:lastRow="0" w:noHBand="0" w:noVBand="1" w:val="04A0"/>
      </w:tblPr>
      <w:tblGrid>
        <w:gridCol w:w="4320"/>
        <w:gridCol w:w="4320"/>
      </w:tblGrid>
      <w:tr>
        <w:tc>
          <w:tcPr>
            <w:tcW w:type="dxa" w:w="2551"/>
            <w:shd w:val="clear" w:color="auto" w:fill="1F497D"/>
          </w:tcPr>
          <w:p>
            <w:r>
              <w:rPr>
                <w:b/>
                <w:color w:val="FFFFFF"/>
              </w:rPr>
              <w:t>Point</w:t>
            </w:r>
          </w:p>
        </w:tc>
        <w:tc>
          <w:tcPr>
            <w:tcW w:type="dxa" w:w="6520"/>
            <w:shd w:val="clear" w:color="auto" w:fill="1F497D"/>
          </w:tcPr>
          <w:p>
            <w:r>
              <w:rPr>
                <w:b/>
                <w:color w:val="FFFFFF"/>
              </w:rPr>
              <w:t>À faire</w:t>
            </w:r>
          </w:p>
        </w:tc>
      </w:tr>
      <w:tr>
        <w:tc>
          <w:tcPr>
            <w:tcW w:type="dxa" w:w="2551"/>
          </w:tcPr>
          <w:p>
            <w:r>
              <w:t>La planification repasse en pause</w:t>
            </w:r>
          </w:p>
        </w:tc>
        <w:tc>
          <w:tcPr>
            <w:tcW w:type="dxa" w:w="6520"/>
          </w:tcPr>
          <w:p>
            <w:r>
              <w:t>Le databricks.yml livré contient pause_status: PAUSED. Si vous aviez activé la planification, la réactiver explicitement après validation — sinon les sauvegardes s'arrêtent sans alerte</w:t>
            </w:r>
          </w:p>
        </w:tc>
      </w:tr>
      <w:tr>
        <w:tc>
          <w:tcPr>
            <w:tcW w:type="dxa" w:w="2551"/>
          </w:tcPr>
          <w:p>
            <w:r>
              <w:t>Parallélisation du VACUUM</w:t>
            </w:r>
          </w:p>
        </w:tc>
        <w:tc>
          <w:tcPr>
            <w:tcW w:type="dxa" w:w="6520"/>
          </w:tcPr>
          <w:p>
            <w:r>
              <w:t>Seul changement de comportement à surveiller, lors de la première exécution du jour de purge : plusieurs opérations de listage simultanées sur le stockage au lieu d'une</w:t>
            </w:r>
          </w:p>
        </w:tc>
      </w:tr>
      <w:tr>
        <w:tc>
          <w:tcPr>
            <w:tcW w:type="dxa" w:w="2551"/>
          </w:tcPr>
          <w:p>
            <w:r>
              <w:t>Jour du VACUUM</w:t>
            </w:r>
          </w:p>
        </w:tc>
        <w:tc>
          <w:tcPr>
            <w:tcW w:type="dxa" w:w="6520"/>
          </w:tcPr>
          <w:p>
            <w:r>
              <w:t>Fixé au dimanche par défaut. À ajuster via vacuum_dow si ce créneau ne convient pas à votre exploitation</w:t>
            </w:r>
          </w:p>
        </w:tc>
      </w:tr>
    </w:tbl>
    <w:p/>
    <w:p>
      <w:pPr>
        <w:pStyle w:val="Heading2"/>
        <w:jc w:val="left"/>
      </w:pPr>
      <w:r>
        <w:rPr>
          <w:color w:val="1F497D"/>
        </w:rPr>
        <w:t>4.2 Vérification après mise à jour</w:t>
      </w:r>
    </w:p>
    <w:p>
      <w:r>
        <w:t>Le §7 du guide de déploiement liste l'ensemble des points de contrôle. Deux sont spécifiques à cette version :</w:t>
      </w:r>
    </w:p>
    <w:p>
      <w:pPr>
        <w:pStyle w:val="ListBullet"/>
      </w:pPr>
      <w:r>
        <w:t>Journal de l'orchestrateur : le nombre de jobs et de notebooks chargés dans le manifest doit être non nul dès la première exécution de la journée.</w:t>
      </w:r>
    </w:p>
    <w:p>
      <w:pPr>
        <w:pStyle w:val="ListBullet"/>
      </w:pPr>
      <w:r>
        <w:t>Journal de l'étape de rétention, le jour du VACUUM : durée de l'étape et nombre de tables traitées, pour mesurer le gain réel sur votre volume.</w:t>
      </w:r>
    </w:p>
    <w:p>
      <w:pPr>
        <w:ind w:left="283"/>
      </w:pPr>
      <w:r>
        <w:rPr>
          <w:i/>
          <w:color w:val="707070"/>
          <w:sz w:val="20"/>
        </w:rPr>
        <w:t>Note : la transmission de ces deux relevés nous permettra de confirmer le gain obtenu sur votre environnement, que nous ne pouvons pas mesurer à distance.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