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Guide de déploiement et de configuration</w:t>
      </w:r>
    </w:p>
    <w:p>
      <w:pPr>
        <w:jc w:val="center"/>
      </w:pPr>
      <w:r>
        <w:rPr>
          <w:b/>
          <w:color w:val="404040"/>
          <w:sz w:val="26"/>
        </w:rPr>
        <w:t>Version 4.2</w:t>
      </w:r>
    </w:p>
    <w:p/>
    <w:p>
      <w:pPr>
        <w:jc w:val="center"/>
      </w:pPr>
      <w:r>
        <w:rPr>
          <w:color w:val="808080"/>
          <w:sz w:val="22"/>
        </w:rPr>
        <w:t>KeyIT — 07/10/2026</w:t>
      </w:r>
    </w:p>
    <w:p/>
    <w:p/>
    <w:p>
      <w:pPr>
        <w:jc w:val="center"/>
      </w:pPr>
      <w:r>
        <w:rPr>
          <w:b/>
          <w:sz w:val="22"/>
        </w:rPr>
        <w:t>Nouveautés de la version 4.2</w:t>
      </w:r>
    </w:p>
    <w:p/>
    <w:tbl>
      <w:tblPr>
        <w:tblStyle w:val="TableGrid"/>
        <w:tblW w:type="auto" w:w="0"/>
        <w:jc w:val="left"/>
        <w:tblLook w:firstColumn="1" w:firstRow="1" w:lastColumn="0" w:lastRow="0" w:noHBand="0" w:noVBand="1" w:val="04A0"/>
      </w:tblPr>
      <w:tblGrid>
        <w:gridCol w:w="4320"/>
        <w:gridCol w:w="4320"/>
      </w:tblGrid>
      <w:tr>
        <w:tc>
          <w:tcPr>
            <w:tcW w:type="dxa" w:w="7370"/>
            <w:shd w:val="clear" w:color="auto" w:fill="1F497D"/>
          </w:tcPr>
          <w:p>
            <w:r>
              <w:rPr>
                <w:b/>
                <w:color w:val="FFFFFF"/>
              </w:rPr>
              <w:t>Changement</w:t>
            </w:r>
          </w:p>
        </w:tc>
        <w:tc>
          <w:tcPr>
            <w:tcW w:type="dxa" w:w="1701"/>
            <w:shd w:val="clear" w:color="auto" w:fill="1F497D"/>
          </w:tcPr>
          <w:p>
            <w:r>
              <w:rPr>
                <w:b/>
                <w:color w:val="FFFFFF"/>
              </w:rPr>
              <w:t>Section</w:t>
            </w:r>
          </w:p>
        </w:tc>
      </w:tr>
      <w:tr>
        <w:tc>
          <w:tcPr>
            <w:tcW w:type="dxa" w:w="7370"/>
          </w:tcPr>
          <w:p>
            <w:r>
              <w:t>Sauvegarde et restauration des volumes et fonctions Unity Catalog (définitions, permissions)</w:t>
            </w:r>
          </w:p>
        </w:tc>
        <w:tc>
          <w:tcPr>
            <w:tcW w:type="dxa" w:w="1701"/>
          </w:tcPr>
          <w:p>
            <w:r>
              <w:t>§1.1, §9</w:t>
            </w:r>
          </w:p>
        </w:tc>
      </w:tr>
      <w:tr>
        <w:tc>
          <w:tcPr>
            <w:tcW w:type="dxa" w:w="7370"/>
          </w:tcPr>
          <w:p>
            <w:r>
              <w:t>Catalogs fédérés et Delta Sharing exclus automatiquement du backup</w:t>
            </w:r>
          </w:p>
        </w:tc>
        <w:tc>
          <w:tcPr>
            <w:tcW w:type="dxa" w:w="1701"/>
          </w:tcPr>
          <w:p>
            <w:r>
              <w:t>§1.2</w:t>
            </w:r>
          </w:p>
        </w:tc>
      </w:tr>
      <w:tr>
        <w:tc>
          <w:tcPr>
            <w:tcW w:type="dxa" w:w="7370"/>
          </w:tcPr>
          <w:p>
            <w:r>
              <w:t>Mesure du contenu des volumes managés et des catalogs inaccessibles dans l'audit</w:t>
            </w:r>
          </w:p>
        </w:tc>
        <w:tc>
          <w:tcPr>
            <w:tcW w:type="dxa" w:w="1701"/>
          </w:tcPr>
          <w:p>
            <w:r>
              <w:t>§3.1</w:t>
            </w:r>
          </w:p>
        </w:tc>
      </w:tr>
      <w:tr>
        <w:tc>
          <w:tcPr>
            <w:tcW w:type="dxa" w:w="7370"/>
          </w:tcPr>
          <w:p>
            <w:r>
              <w:t>Rapport de couverture : ce qui est restaurable, et par quel moyen</w:t>
            </w:r>
          </w:p>
        </w:tc>
        <w:tc>
          <w:tcPr>
            <w:tcW w:type="dxa" w:w="1701"/>
          </w:tcPr>
          <w:p>
            <w:r>
              <w:t>§3.4</w:t>
            </w:r>
          </w:p>
        </w:tc>
      </w:tr>
      <w:tr>
        <w:tc>
          <w:tcPr>
            <w:tcW w:type="dxa" w:w="7370"/>
          </w:tcPr>
          <w:p>
            <w:r>
              <w:t>Correction de la saturation mémoire du driver ; driver Standard_E8s_v3</w:t>
            </w:r>
          </w:p>
        </w:tc>
        <w:tc>
          <w:tcPr>
            <w:tcW w:type="dxa" w:w="1701"/>
          </w:tcPr>
          <w:p>
            <w:r>
              <w:t>§5.1</w:t>
            </w:r>
          </w:p>
        </w:tc>
      </w:tr>
      <w:tr>
        <w:tc>
          <w:tcPr>
            <w:tcW w:type="dxa" w:w="7370"/>
          </w:tcPr>
          <w:p>
            <w:r>
              <w:t>Export de tout le workspace (notebooks, fichiers), des pipelines et des permissions des jobs</w:t>
            </w:r>
          </w:p>
        </w:tc>
        <w:tc>
          <w:tcPr>
            <w:tcW w:type="dxa" w:w="1701"/>
          </w:tcPr>
          <w:p>
            <w:r>
              <w:t>§1.1, §9</w:t>
            </w:r>
          </w:p>
        </w:tc>
      </w:tr>
      <w:tr>
        <w:tc>
          <w:tcPr>
            <w:tcW w:type="dxa" w:w="7370"/>
          </w:tcPr>
          <w:p>
            <w:r>
              <w:t>Sauvegarde des fichiers des volumes managés, restauration à une date donnée</w:t>
            </w:r>
          </w:p>
        </w:tc>
        <w:tc>
          <w:tcPr>
            <w:tcW w:type="dxa" w:w="1701"/>
          </w:tcPr>
          <w:p>
            <w:r>
              <w:t>§1.1, §9</w:t>
            </w:r>
          </w:p>
        </w:tc>
      </w:tr>
      <w:tr>
        <w:tc>
          <w:tcPr>
            <w:tcW w:type="dxa" w:w="7370"/>
          </w:tcPr>
          <w:p>
            <w:r>
              <w:t>Synchronisation automatique des droits du compte de backup (job dr-backup-grants-sync)</w:t>
            </w:r>
          </w:p>
        </w:tc>
        <w:tc>
          <w:tcPr>
            <w:tcW w:type="dxa" w:w="1701"/>
          </w:tcPr>
          <w:p>
            <w:r>
              <w:t>§2.5</w:t>
            </w:r>
          </w:p>
        </w:tc>
      </w:tr>
      <w:tr>
        <w:tc>
          <w:tcPr>
            <w:tcW w:type="dxa" w:w="7370"/>
          </w:tcPr>
          <w:p>
            <w:r>
              <w:t>Ordre de restauration avec l'infrastructure as code ; rejeu des seules permissions</w:t>
            </w:r>
          </w:p>
        </w:tc>
        <w:tc>
          <w:tcPr>
            <w:tcW w:type="dxa" w:w="1701"/>
          </w:tcPr>
          <w:p>
            <w:r>
              <w:t>§9.2</w:t>
            </w:r>
          </w:p>
        </w:tc>
      </w:tr>
      <w:tr>
        <w:tc>
          <w:tcPr>
            <w:tcW w:type="dxa" w:w="7370"/>
          </w:tcPr>
          <w:p>
            <w:r>
              <w:t>Messages d'erreur sans trace Java, qui tronquaient la sortie des notebooks</w:t>
            </w:r>
          </w:p>
        </w:tc>
        <w:tc>
          <w:tcPr>
            <w:tcW w:type="dxa" w:w="1701"/>
          </w:tcPr>
          <w:p>
            <w:r>
              <w:t>—</w:t>
            </w:r>
          </w:p>
        </w:tc>
      </w:tr>
      <w:tr>
        <w:tc>
          <w:tcPr>
            <w:tcW w:type="dxa" w:w="7370"/>
          </w:tcPr>
          <w:p>
            <w:r>
              <w:t>Dossier lib/ trouvé automatiquement : la variable lib_path disparaît</w:t>
            </w:r>
          </w:p>
        </w:tc>
        <w:tc>
          <w:tcPr>
            <w:tcW w:type="dxa" w:w="1701"/>
          </w:tcPr>
          <w:p>
            <w:r>
              <w:t>§4.1, §4.2</w:t>
            </w:r>
          </w:p>
        </w:tc>
      </w:tr>
    </w:tbl>
    <w:p/>
    <w:p>
      <w:r>
        <w:br w:type="page"/>
      </w:r>
    </w:p>
    <w:p>
      <w:pPr>
        <w:pStyle w:val="Heading1"/>
        <w:jc w:val="left"/>
      </w:pPr>
      <w:r>
        <w:rPr>
          <w:color w:val="1F497D"/>
        </w:rPr>
        <w:t>1. Contexte et objectifs</w:t>
      </w:r>
    </w:p>
    <w:p>
      <w:r>
        <w:t>Ce document décrit la procédure complète de déploiement de la solution DR Backup Databricks sur un workspace Azure Databricks gouverné par Unity Catalog. Il couvre l'environnement Azure à créer, le déploiement du code, le premier backup et sa validation.</w:t>
      </w:r>
    </w:p>
    <w:p>
      <w:r>
        <w:t>La solution sauvegarde les données et la configuration d'un workspace vers un compte de stockage ADLS Gen2, avec une rétention à deux niveaux et une restauration point-in-time. Elle est entièrement déployée par Databricks Asset Bundles (DAB) : aucune infrastructure externe, aucun agent, aucun accès sortant n'est requis.</w:t>
      </w:r>
    </w:p>
    <w:p>
      <w:pPr>
        <w:pStyle w:val="Heading2"/>
        <w:jc w:val="left"/>
      </w:pPr>
      <w:r>
        <w:rPr>
          <w:color w:val="1F497D"/>
        </w:rPr>
        <w:t>1.1 Ce que la solution sauvegarde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Périmètre</w:t>
            </w:r>
          </w:p>
        </w:tc>
        <w:tc>
          <w:tcPr>
            <w:tcW w:type="dxa" w:w="4819"/>
            <w:shd w:val="clear" w:color="auto" w:fill="1F497D"/>
          </w:tcPr>
          <w:p>
            <w:r>
              <w:rPr>
                <w:b/>
                <w:color w:val="FFFFFF"/>
              </w:rPr>
              <w:t>Contenu</w:t>
            </w:r>
          </w:p>
        </w:tc>
        <w:tc>
          <w:tcPr>
            <w:tcW w:type="dxa" w:w="1984"/>
            <w:shd w:val="clear" w:color="auto" w:fill="1F497D"/>
          </w:tcPr>
          <w:p>
            <w:r>
              <w:rPr>
                <w:b/>
                <w:color w:val="FFFFFF"/>
              </w:rPr>
              <w:t>Notebook</w:t>
            </w:r>
          </w:p>
        </w:tc>
      </w:tr>
      <w:tr>
        <w:tc>
          <w:tcPr>
            <w:tcW w:type="dxa" w:w="2551"/>
          </w:tcPr>
          <w:p>
            <w:r>
              <w:t>Métadonnées Unity Catalog</w:t>
            </w:r>
          </w:p>
        </w:tc>
        <w:tc>
          <w:tcPr>
            <w:tcW w:type="dxa" w:w="4819"/>
          </w:tcPr>
          <w:p>
            <w:r>
              <w:t>DDL des catalogs, schémas, tables, vues, volumes et fonctions (SQL, Python) ; permissions (GRANT)</w:t>
            </w:r>
          </w:p>
        </w:tc>
        <w:tc>
          <w:tcPr>
            <w:tcW w:type="dxa" w:w="1984"/>
          </w:tcPr>
          <w:p>
            <w:r>
              <w:t>01_uc_metadata</w:t>
            </w:r>
          </w:p>
        </w:tc>
      </w:tr>
      <w:tr>
        <w:tc>
          <w:tcPr>
            <w:tcW w:type="dxa" w:w="2551"/>
          </w:tcPr>
          <w:p>
            <w:r>
              <w:t>Données des tables Delta</w:t>
            </w:r>
          </w:p>
        </w:tc>
        <w:tc>
          <w:tcPr>
            <w:tcW w:type="dxa" w:w="4819"/>
          </w:tcPr>
          <w:p>
            <w:r>
              <w:t>Copie complète par DEEP CLONE, puis incrémentale</w:t>
            </w:r>
          </w:p>
        </w:tc>
        <w:tc>
          <w:tcPr>
            <w:tcW w:type="dxa" w:w="1984"/>
          </w:tcPr>
          <w:p>
            <w:r>
              <w:t>02_data_clone</w:t>
            </w:r>
          </w:p>
        </w:tc>
      </w:tr>
      <w:tr>
        <w:tc>
          <w:tcPr>
            <w:tcW w:type="dxa" w:w="2551"/>
          </w:tcPr>
          <w:p>
            <w:r>
              <w:t>Fichiers des volumes managés</w:t>
            </w:r>
          </w:p>
        </w:tc>
        <w:tc>
          <w:tcPr>
            <w:tcW w:type="dxa" w:w="4819"/>
          </w:tcPr>
          <w:p>
            <w:r>
              <w:t>Copie incrémentale, restauration à une date donnée</w:t>
            </w:r>
          </w:p>
        </w:tc>
        <w:tc>
          <w:tcPr>
            <w:tcW w:type="dxa" w:w="1984"/>
          </w:tcPr>
          <w:p>
            <w:r>
              <w:t>14_volume_files</w:t>
            </w:r>
          </w:p>
        </w:tc>
      </w:tr>
      <w:tr>
        <w:tc>
          <w:tcPr>
            <w:tcW w:type="dxa" w:w="2551"/>
          </w:tcPr>
          <w:p>
            <w:r>
              <w:t>Configuration du workspace</w:t>
            </w:r>
          </w:p>
        </w:tc>
        <w:tc>
          <w:tcPr>
            <w:tcW w:type="dxa" w:w="4819"/>
          </w:tcPr>
          <w:p>
            <w:r>
              <w:t>Notebooks et fichiers de tout le workspace (/Repos exclu), définitions et permissions des jobs, pipelines, ACL, repos Git</w:t>
            </w:r>
          </w:p>
        </w:tc>
        <w:tc>
          <w:tcPr>
            <w:tcW w:type="dxa" w:w="1984"/>
          </w:tcPr>
          <w:p>
            <w:r>
              <w:t>05_workspace_config</w:t>
            </w:r>
          </w:p>
        </w:tc>
      </w:tr>
      <w:tr>
        <w:tc>
          <w:tcPr>
            <w:tcW w:type="dxa" w:w="2551"/>
          </w:tcPr>
          <w:p>
            <w:r>
              <w:t>Rapport et différentiel</w:t>
            </w:r>
          </w:p>
        </w:tc>
        <w:tc>
          <w:tcPr>
            <w:tcW w:type="dxa" w:w="4819"/>
          </w:tcPr>
          <w:p>
            <w:r>
              <w:t>Comparaison avec la veille, rapport HTML</w:t>
            </w:r>
          </w:p>
        </w:tc>
        <w:tc>
          <w:tcPr>
            <w:tcW w:type="dxa" w:w="1984"/>
          </w:tcPr>
          <w:p>
            <w:r>
              <w:t>03_diff, 04_report</w:t>
            </w:r>
          </w:p>
        </w:tc>
      </w:tr>
    </w:tbl>
    <w:p/>
    <w:p>
      <w:pPr>
        <w:pStyle w:val="Heading2"/>
        <w:jc w:val="left"/>
      </w:pPr>
      <w:r>
        <w:rPr>
          <w:color w:val="1F497D"/>
        </w:rPr>
        <w:t>1.2 Ce que la solution ne sauvegarde pas</w:t>
      </w:r>
    </w:p>
    <w:p>
      <w:pPr>
        <w:pStyle w:val="ListBullet"/>
      </w:pPr>
      <w:r>
        <w:t>Les tables non Delta (Parquet externe, CSV, formats propriétaires) — ignorées avec un message explicite</w:t>
      </w:r>
    </w:p>
    <w:p>
      <w:pPr>
        <w:pStyle w:val="ListBullet"/>
      </w:pPr>
      <w:r>
        <w:t>Les vues matérialisées et les Streaming Tables (non clonables)</w:t>
      </w:r>
    </w:p>
    <w:p>
      <w:pPr>
        <w:pStyle w:val="ListBullet"/>
      </w:pPr>
      <w:r>
        <w:t>Les secrets et les scopes de secrets Databricks</w:t>
      </w:r>
    </w:p>
    <w:p>
      <w:pPr>
        <w:pStyle w:val="ListBullet"/>
      </w:pPr>
      <w:r>
        <w:t>Les catalogs système : hive_metastore, system, samples</w:t>
      </w:r>
    </w:p>
    <w:p>
      <w:pPr>
        <w:pStyle w:val="ListBullet"/>
      </w:pPr>
      <w:r>
        <w:t>Les catalogs fédérés (Lakehouse Federation) et Delta Sharing : leurs données restent dans la source ou chez le fournisseur, leur définition (connexion, partage) est à gérer en IaC</w:t>
      </w:r>
    </w:p>
    <w:p>
      <w:pPr>
        <w:pStyle w:val="ListBullet"/>
      </w:pPr>
      <w:r>
        <w:t>Les données hors Unity Catalog (DBFS racine, montages legacy)</w:t>
      </w:r>
    </w:p>
    <w:p>
      <w:pPr>
        <w:pStyle w:val="ListBullet"/>
      </w:pPr>
      <w:r>
        <w:t>Les fichiers des volumes externes : ils restent sur leur stockage d'origine, dont la protection relève de sa configuration Azure</w:t>
      </w:r>
    </w:p>
    <w:p>
      <w:pPr>
        <w:ind w:left="283"/>
      </w:pPr>
      <w:r>
        <w:rPr>
          <w:i/>
          <w:color w:val="707070"/>
          <w:sz w:val="20"/>
        </w:rPr>
        <w:t>Note : la solution sauvegarde vers un compte de stockage distinct du stockage de production. Elle protège contre la suppression accidentelle, la corruption logique et l'erreur humaine. Elle ne remplace pas une réplication géo-redondante contre la perte d'une région Azure : pour cela, activer GRS ou RA-GRS sur le compte de stockage de backup.</w:t>
      </w:r>
    </w:p>
    <w:p>
      <w:pPr>
        <w:pStyle w:val="Heading2"/>
        <w:jc w:val="left"/>
      </w:pPr>
      <w:r>
        <w:rPr>
          <w:color w:val="1F497D"/>
        </w:rPr>
        <w:t>1.3 Architecture du stockage de backup</w:t>
      </w:r>
    </w:p>
    <w:p>
      <w:r>
        <w:t>Après déploiement, l'arborescence du compte de stockage est la suivante :</w:t>
      </w:r>
    </w:p>
    <w:p>
      <w:pPr>
        <w:spacing w:before="40" w:after="40"/>
        <w:ind w:left="283"/>
        <w:shd w:val="clear" w:color="auto" w:fill="F0F0F0"/>
      </w:pPr>
      <w:r>
        <w:rPr>
          <w:rFonts w:ascii="Courier New" w:hAnsi="Courier New"/>
          <w:color w:val="1F497D"/>
          <w:sz w:val="18"/>
        </w:rPr>
        <w:t>backup/</w:t>
        <w:br/>
        <w:t xml:space="preserve">  incremental/                      Tables Delta, mises a jour chaque jour</w:t>
        <w:br/>
        <w:t xml:space="preserve">    {catalog}/{schema}/{table}/      (seul le delta est ecrit)</w:t>
        <w:br/>
        <w:t xml:space="preserve">    _manifests/{AAAA-MM-JJ}.json     resultat de chaque run</w:t>
        <w:br/>
        <w:t xml:space="preserve">    _checkpoints/{AAAA-MM-JJ}.json   reprise apres interruption</w:t>
        <w:br/>
        <w:t xml:space="preserve">    _last_versions.json              versions Delta deja sauvegardees</w:t>
        <w:br/>
        <w:t xml:space="preserve">  snapshots/</w:t>
        <w:br/>
        <w:t xml:space="preserve">    monthly/{AAAA-MM}/               archive mensuelle independante</w:t>
        <w:br/>
        <w:t xml:space="preserve">  {AAAA-MM-JJ}/                     metadonnees UC, jobs, notebooks, rapport</w:t>
        <w:br/>
        <w:t xml:space="preserve">  latest.json                       pointeur vers le dernier backup reussi</w:t>
      </w:r>
    </w:p>
    <w:p>
      <w:r>
        <w:t>Le dossier incremental/ est la source de la restauration point-in-time : l'historique Delta y conserve 30 jours de versions. Le dossier snapshots/monthly/ contient une copie complète et autonome, indépendante de incremental/.</w:t>
      </w:r>
    </w:p>
    <w:p>
      <w:r>
        <w:br w:type="page"/>
      </w:r>
    </w:p>
    <w:p>
      <w:pPr>
        <w:pStyle w:val="Heading1"/>
        <w:jc w:val="left"/>
      </w:pPr>
      <w:r>
        <w:rPr>
          <w:color w:val="1F497D"/>
        </w:rPr>
        <w:t>2. Prérequis</w:t>
      </w:r>
    </w:p>
    <w:p>
      <w:pPr>
        <w:pStyle w:val="Heading2"/>
        <w:jc w:val="left"/>
      </w:pPr>
      <w:r>
        <w:rPr>
          <w:color w:val="1F497D"/>
        </w:rPr>
        <w:t>2.1 Informations à préparer</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Information</w:t>
            </w:r>
          </w:p>
        </w:tc>
        <w:tc>
          <w:tcPr>
            <w:tcW w:type="dxa" w:w="3402"/>
            <w:shd w:val="clear" w:color="auto" w:fill="1F497D"/>
          </w:tcPr>
          <w:p>
            <w:r>
              <w:rPr>
                <w:b/>
                <w:color w:val="FFFFFF"/>
              </w:rPr>
              <w:t>Exemple</w:t>
            </w:r>
          </w:p>
        </w:tc>
        <w:tc>
          <w:tcPr>
            <w:tcW w:type="dxa" w:w="3402"/>
            <w:shd w:val="clear" w:color="auto" w:fill="1F497D"/>
          </w:tcPr>
          <w:p>
            <w:r>
              <w:rPr>
                <w:b/>
                <w:color w:val="FFFFFF"/>
              </w:rPr>
              <w:t>Où la trouver</w:t>
            </w:r>
          </w:p>
        </w:tc>
      </w:tr>
      <w:tr>
        <w:tc>
          <w:tcPr>
            <w:tcW w:type="dxa" w:w="2551"/>
          </w:tcPr>
          <w:p>
            <w:r>
              <w:t>URL du workspace Databricks</w:t>
            </w:r>
          </w:p>
        </w:tc>
        <w:tc>
          <w:tcPr>
            <w:tcW w:type="dxa" w:w="3402"/>
          </w:tcPr>
          <w:p>
            <w:r>
              <w:t>https://adb-1234567890123456.7.azuredatabricks.net</w:t>
            </w:r>
          </w:p>
        </w:tc>
        <w:tc>
          <w:tcPr>
            <w:tcW w:type="dxa" w:w="3402"/>
          </w:tcPr>
          <w:p>
            <w:r>
              <w:t>Portail Azure, ressource Databricks, champ URL</w:t>
            </w:r>
          </w:p>
        </w:tc>
      </w:tr>
      <w:tr>
        <w:tc>
          <w:tcPr>
            <w:tcW w:type="dxa" w:w="2551"/>
          </w:tcPr>
          <w:p>
            <w:r>
              <w:t>Nom du compte de stockage de backup</w:t>
            </w:r>
          </w:p>
        </w:tc>
        <w:tc>
          <w:tcPr>
            <w:tcW w:type="dxa" w:w="3402"/>
          </w:tcPr>
          <w:p>
            <w:r>
              <w:t>stclientdrbackup</w:t>
            </w:r>
          </w:p>
        </w:tc>
        <w:tc>
          <w:tcPr>
            <w:tcW w:type="dxa" w:w="3402"/>
          </w:tcPr>
          <w:p>
            <w:r>
              <w:t>À créer, voir §2.2</w:t>
            </w:r>
          </w:p>
        </w:tc>
      </w:tr>
      <w:tr>
        <w:tc>
          <w:tcPr>
            <w:tcW w:type="dxa" w:w="2551"/>
          </w:tcPr>
          <w:p>
            <w:r>
              <w:t>Nom du container</w:t>
            </w:r>
          </w:p>
        </w:tc>
        <w:tc>
          <w:tcPr>
            <w:tcW w:type="dxa" w:w="3402"/>
          </w:tcPr>
          <w:p>
            <w:r>
              <w:t>uc-backup</w:t>
            </w:r>
          </w:p>
        </w:tc>
        <w:tc>
          <w:tcPr>
            <w:tcW w:type="dxa" w:w="3402"/>
          </w:tcPr>
          <w:p>
            <w:r>
              <w:t>À créer, voir §2.2</w:t>
            </w:r>
          </w:p>
        </w:tc>
      </w:tr>
      <w:tr>
        <w:tc>
          <w:tcPr>
            <w:tcW w:type="dxa" w:w="2551"/>
          </w:tcPr>
          <w:p>
            <w:r>
              <w:t>Nom de l'External Location UC</w:t>
            </w:r>
          </w:p>
        </w:tc>
        <w:tc>
          <w:tcPr>
            <w:tcW w:type="dxa" w:w="3402"/>
          </w:tcPr>
          <w:p>
            <w:r>
              <w:t>drbackup-location</w:t>
            </w:r>
          </w:p>
        </w:tc>
        <w:tc>
          <w:tcPr>
            <w:tcW w:type="dxa" w:w="3402"/>
          </w:tcPr>
          <w:p>
            <w:r>
              <w:t>À créer, voir §2.4</w:t>
            </w:r>
          </w:p>
        </w:tc>
      </w:tr>
      <w:tr>
        <w:tc>
          <w:tcPr>
            <w:tcW w:type="dxa" w:w="2551"/>
          </w:tcPr>
          <w:p>
            <w:r>
              <w:t>Email de notification d'échec</w:t>
            </w:r>
          </w:p>
        </w:tc>
        <w:tc>
          <w:tcPr>
            <w:tcW w:type="dxa" w:w="3402"/>
          </w:tcPr>
          <w:p>
            <w:r>
              <w:t>exploitation@client.ch</w:t>
            </w:r>
          </w:p>
        </w:tc>
        <w:tc>
          <w:tcPr>
            <w:tcW w:type="dxa" w:w="3402"/>
          </w:tcPr>
          <w:p>
            <w:r>
              <w:t>Choix client</w:t>
            </w:r>
          </w:p>
        </w:tc>
      </w:tr>
      <w:tr>
        <w:tc>
          <w:tcPr>
            <w:tcW w:type="dxa" w:w="2551"/>
          </w:tcPr>
          <w:p>
            <w:r>
              <w:t>Application ID du Service Principal</w:t>
            </w:r>
          </w:p>
        </w:tc>
        <w:tc>
          <w:tcPr>
            <w:tcW w:type="dxa" w:w="3402"/>
          </w:tcPr>
          <w:p>
            <w:r>
              <w:t>GUID</w:t>
            </w:r>
          </w:p>
        </w:tc>
        <w:tc>
          <w:tcPr>
            <w:tcW w:type="dxa" w:w="3402"/>
          </w:tcPr>
          <w:p>
            <w:r>
              <w:t>À créer, voir §2.6</w:t>
            </w:r>
          </w:p>
        </w:tc>
      </w:tr>
    </w:tbl>
    <w:p/>
    <w:p>
      <w:pPr>
        <w:ind w:left="283"/>
      </w:pPr>
      <w:r>
        <w:rPr>
          <w:b/>
          <w:color w:val="C00000"/>
          <w:sz w:val="20"/>
        </w:rPr>
        <w:t>Attention : l'URL du workspace Databricks et l'URL du compte de stockage ADLS sont deux choses différentes. Renseigner l'une à la place de l'autre dans la configuration de la CLI est une erreur fréquente et le message d'erreur associé n'est pas explicite. Voir Annexe A.3.</w:t>
      </w:r>
    </w:p>
    <w:p>
      <w:pPr>
        <w:pStyle w:val="Heading2"/>
        <w:jc w:val="left"/>
      </w:pPr>
      <w:r>
        <w:rPr>
          <w:color w:val="1F497D"/>
        </w:rPr>
        <w:t>2.2 Créer le compte de stockage et le container</w:t>
      </w:r>
    </w:p>
    <w:p>
      <w:r>
        <w:t>Dans le portail Azure :</w:t>
      </w:r>
    </w:p>
    <w:p>
      <w:pPr>
        <w:pStyle w:val="ListNumber"/>
      </w:pPr>
      <w:r>
        <w:t>Créer un compte de stockage de type StorageV2, avec Hierarchical namespace activé (obligatoire : ADLS Gen2).</w:t>
      </w:r>
    </w:p>
    <w:p>
      <w:pPr>
        <w:pStyle w:val="ListNumber"/>
      </w:pPr>
      <w:r>
        <w:t>Choisir la même région que le workspace Databricks, pour éviter les frais de transfert inter-région.</w:t>
      </w:r>
    </w:p>
    <w:p>
      <w:pPr>
        <w:pStyle w:val="ListNumber"/>
      </w:pPr>
      <w:r>
        <w:t>Redondance : GRS recommandé si la protection contre la perte d'une région est un objectif ; LRS suffit sinon.</w:t>
      </w:r>
    </w:p>
    <w:p>
      <w:pPr>
        <w:pStyle w:val="ListNumber"/>
      </w:pPr>
      <w:r>
        <w:t>Créer un container, par exemple uc-backup.</w:t>
      </w:r>
    </w:p>
    <w:p>
      <w:pPr>
        <w:ind w:left="283"/>
      </w:pPr>
      <w:r>
        <w:rPr>
          <w:i/>
          <w:color w:val="707070"/>
          <w:sz w:val="20"/>
        </w:rPr>
        <w:t>Note : ne pas réutiliser le container qui héberge les données de production. L'intérêt d'un compte séparé est qu'une suppression ou une erreur de droits côté production ne touche pas le backup.</w:t>
      </w:r>
    </w:p>
    <w:p>
      <w:pPr>
        <w:pStyle w:val="Heading2"/>
        <w:jc w:val="left"/>
      </w:pPr>
      <w:r>
        <w:rPr>
          <w:color w:val="1F497D"/>
        </w:rPr>
        <w:t>2.3 Créer le Storage Credential dans Unity Catalog</w:t>
      </w:r>
    </w:p>
    <w:p>
      <w:r>
        <w:t>Unity Catalog accède au stockage via un Storage Credential adossé à une Access Connector for Azure Databricks (identité managée). C'est la méthode recommandée par Microsoft : aucune clé ni secret n'est stocké.</w:t>
      </w:r>
    </w:p>
    <w:p>
      <w:pPr>
        <w:pStyle w:val="ListNumber"/>
      </w:pPr>
      <w:r>
        <w:t>Dans le portail Azure, créer une ressource Access Connector for Azure Databricks, dans la même région.</w:t>
      </w:r>
    </w:p>
    <w:p>
      <w:pPr>
        <w:pStyle w:val="ListNumber"/>
      </w:pPr>
      <w:r>
        <w:t>Sur le compte de stockage, onglet Contrôle d'accès (IAM), attribuer le rôle Contributeur aux données Blob du stockage à l'identité managée de l'Access Connector.</w:t>
      </w:r>
    </w:p>
    <w:p>
      <w:pPr>
        <w:pStyle w:val="ListNumber"/>
      </w:pPr>
      <w:r>
        <w:t>Dans Databricks, menu Catalog, External Data, Credentials, Create credential. Type : Azure Managed Identity. Renseigner l'ID de ressource de l'Access Connector.</w:t>
      </w:r>
    </w:p>
    <w:p>
      <w:pPr>
        <w:spacing w:before="40" w:after="40"/>
        <w:ind w:left="283"/>
        <w:shd w:val="clear" w:color="auto" w:fill="F0F0F0"/>
      </w:pPr>
      <w:r>
        <w:rPr>
          <w:rFonts w:ascii="Courier New" w:hAnsi="Courier New"/>
          <w:color w:val="1F497D"/>
          <w:sz w:val="18"/>
        </w:rPr>
        <w:t>/subscriptions/&lt;sub-id&gt;/resourceGroups/&lt;rg&gt;/providers/</w:t>
        <w:br/>
        <w:t xml:space="preserve">  Microsoft.Databricks/accessConnectors/&lt;nom-connector&gt;</w:t>
      </w:r>
    </w:p>
    <w:p>
      <w:pPr>
        <w:ind w:left="283"/>
      </w:pPr>
      <w:r>
        <w:rPr>
          <w:b/>
          <w:color w:val="C00000"/>
          <w:sz w:val="20"/>
        </w:rPr>
        <w:t>Attention : l'attribution du rôle IAM peut prendre jusqu'à 10 minutes pour se propager. Un échec d'accès immédiatement après la création n'est pas nécessairement une erreur de configuration : réessayer après quelques minutes avant d'investiguer.</w:t>
      </w:r>
    </w:p>
    <w:p>
      <w:pPr>
        <w:pStyle w:val="Heading2"/>
        <w:jc w:val="left"/>
      </w:pPr>
      <w:r>
        <w:rPr>
          <w:color w:val="1F497D"/>
        </w:rPr>
        <w:t>2.4 Créer l'External Location</w:t>
      </w:r>
    </w:p>
    <w:p>
      <w:r>
        <w:t>L'External Location associe un chemin de stockage au Storage Credential créé à l'étape précédente. Sans elle, les notebooks ne peuvent pas écrire dans le container.</w:t>
      </w:r>
    </w:p>
    <w:p>
      <w:pPr>
        <w:spacing w:before="40" w:after="40"/>
        <w:ind w:left="283"/>
        <w:shd w:val="clear" w:color="auto" w:fill="F0F0F0"/>
      </w:pPr>
      <w:r>
        <w:rPr>
          <w:rFonts w:ascii="Courier New" w:hAnsi="Courier New"/>
          <w:color w:val="1F497D"/>
          <w:sz w:val="18"/>
        </w:rPr>
        <w:t>CREATE EXTERNAL LOCATION IF NOT EXISTS `drbackup-location`</w:t>
        <w:br/>
        <w:t>URL 'abfss://uc-backup@stclientdrbackup.dfs.core.windows.net/'</w:t>
        <w:br/>
        <w:t>WITH (STORAGE CREDENTIAL `drbackup-credential`);</w:t>
      </w:r>
    </w:p>
    <w:p>
      <w:r>
        <w:t>Vérifier immédiatement que l'accès fonctionne, depuis un notebook :</w:t>
      </w:r>
    </w:p>
    <w:p>
      <w:pPr>
        <w:spacing w:before="40" w:after="40"/>
        <w:ind w:left="283"/>
        <w:shd w:val="clear" w:color="auto" w:fill="F0F0F0"/>
      </w:pPr>
      <w:r>
        <w:rPr>
          <w:rFonts w:ascii="Courier New" w:hAnsi="Courier New"/>
          <w:color w:val="1F497D"/>
          <w:sz w:val="18"/>
        </w:rPr>
        <w:t>dbutils.fs.ls("abfss://uc-backup@stclientdrbackup.dfs.core.windows.net/")</w:t>
      </w:r>
    </w:p>
    <w:p>
      <w:pPr>
        <w:pStyle w:val="Heading2"/>
        <w:jc w:val="left"/>
      </w:pPr>
      <w:r>
        <w:rPr>
          <w:color w:val="1F497D"/>
        </w:rPr>
        <w:t>2.5 Accorder les permissions Unity Catalog</w:t>
      </w:r>
    </w:p>
    <w:p>
      <w:r>
        <w:t>Le principal qui exécute les jobs (Service Principal, voir §2.6) doit disposer des droits suivants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Objet</w:t>
            </w:r>
          </w:p>
        </w:tc>
        <w:tc>
          <w:tcPr>
            <w:tcW w:type="dxa" w:w="3685"/>
            <w:shd w:val="clear" w:color="auto" w:fill="1F497D"/>
          </w:tcPr>
          <w:p>
            <w:r>
              <w:rPr>
                <w:b/>
                <w:color w:val="FFFFFF"/>
              </w:rPr>
              <w:t>Permission</w:t>
            </w:r>
          </w:p>
        </w:tc>
        <w:tc>
          <w:tcPr>
            <w:tcW w:type="dxa" w:w="2835"/>
            <w:shd w:val="clear" w:color="auto" w:fill="1F497D"/>
          </w:tcPr>
          <w:p>
            <w:r>
              <w:rPr>
                <w:b/>
                <w:color w:val="FFFFFF"/>
              </w:rPr>
              <w:t>Pourquoi</w:t>
            </w:r>
          </w:p>
        </w:tc>
      </w:tr>
      <w:tr>
        <w:tc>
          <w:tcPr>
            <w:tcW w:type="dxa" w:w="2835"/>
          </w:tcPr>
          <w:p>
            <w:r>
              <w:t>External Location de backup</w:t>
            </w:r>
          </w:p>
        </w:tc>
        <w:tc>
          <w:tcPr>
            <w:tcW w:type="dxa" w:w="3685"/>
          </w:tcPr>
          <w:p>
            <w:r>
              <w:t>CREATE EXTERNAL TABLE, READ FILES, WRITE FILES</w:t>
            </w:r>
          </w:p>
        </w:tc>
        <w:tc>
          <w:tcPr>
            <w:tcW w:type="dxa" w:w="2835"/>
          </w:tcPr>
          <w:p>
            <w:r>
              <w:t>Écrire les clones Delta</w:t>
            </w:r>
          </w:p>
        </w:tc>
      </w:tr>
      <w:tr>
        <w:tc>
          <w:tcPr>
            <w:tcW w:type="dxa" w:w="2835"/>
          </w:tcPr>
          <w:p>
            <w:r>
              <w:t>Catalogs à sauvegarder</w:t>
            </w:r>
          </w:p>
        </w:tc>
        <w:tc>
          <w:tcPr>
            <w:tcW w:type="dxa" w:w="3685"/>
          </w:tcPr>
          <w:p>
            <w:r>
              <w:t>USE CATALOG, USE SCHEMA, SELECT</w:t>
            </w:r>
          </w:p>
        </w:tc>
        <w:tc>
          <w:tcPr>
            <w:tcW w:type="dxa" w:w="2835"/>
          </w:tcPr>
          <w:p>
            <w:r>
              <w:t>Lire les tables sources</w:t>
            </w:r>
          </w:p>
        </w:tc>
      </w:tr>
      <w:tr>
        <w:tc>
          <w:tcPr>
            <w:tcW w:type="dxa" w:w="2835"/>
          </w:tcPr>
          <w:p>
            <w:r>
              <w:t>Metastore</w:t>
            </w:r>
          </w:p>
        </w:tc>
        <w:tc>
          <w:tcPr>
            <w:tcW w:type="dxa" w:w="3685"/>
          </w:tcPr>
          <w:p>
            <w:r>
              <w:t>Aucun droit particulier</w:t>
            </w:r>
          </w:p>
        </w:tc>
        <w:tc>
          <w:tcPr>
            <w:tcW w:type="dxa" w:w="2835"/>
          </w:tcPr>
          <w:p>
            <w:r>
              <w:t>La lecture d'information_schema suffit</w:t>
            </w:r>
          </w:p>
        </w:tc>
      </w:tr>
    </w:tbl>
    <w:p/>
    <w:p>
      <w:pPr>
        <w:spacing w:before="40" w:after="40"/>
        <w:ind w:left="283"/>
        <w:shd w:val="clear" w:color="auto" w:fill="F0F0F0"/>
      </w:pPr>
      <w:r>
        <w:rPr>
          <w:rFonts w:ascii="Courier New" w:hAnsi="Courier New"/>
          <w:color w:val="1F497D"/>
          <w:sz w:val="18"/>
        </w:rPr>
        <w:t>GRANT CREATE EXTERNAL TABLE, READ FILES, WRITE FILES</w:t>
        <w:br/>
        <w:t xml:space="preserve">  ON EXTERNAL LOCATION `drbackup-location` TO `&lt;application-id-du-sp&gt;`;</w:t>
        <w:br/>
        <w:br/>
        <w:t>GRANT USE CATALOG, USE SCHEMA, SELECT</w:t>
        <w:br/>
        <w:t xml:space="preserve">  ON CATALOG `&lt;catalog-a-sauvegarder&gt;` TO `&lt;application-id-du-sp&gt;`;</w:t>
      </w:r>
    </w:p>
    <w:p>
      <w:pPr>
        <w:ind w:left="283"/>
      </w:pPr>
      <w:r>
        <w:rPr>
          <w:i/>
          <w:color w:val="707070"/>
          <w:sz w:val="20"/>
        </w:rPr>
        <w:t>Note : répéter le second GRANT pour chaque catalog à sauvegarder. Un catalog auquel le principal n'a pas accès est simplement absent du backup, sans erreur bloquante — d'où l'importance de la vérification du §7.</w:t>
      </w:r>
    </w:p>
    <w:p>
      <w:r>
        <w:t>Les droits accordés sur un catalog couvrent tout son contenu, y compris les objets créés plus tard. Pour qu'un nouveau catalog ne soit pas oublié, le job dr-backup-grants-sync compare chaque jour les droits du compte de backup à ceux requis (variables backup_principal, backup_location, grants_sync_mode du bundle) : en mode report il échoue et notifie en cas d'écart, en mode apply il accorde les droits manquants. Il s'exécute avec l'identité qui déploie le bundle, qui doit être admin du metastore.</w:t>
      </w:r>
    </w:p>
    <w:p>
      <w:pPr>
        <w:pStyle w:val="Heading2"/>
        <w:jc w:val="left"/>
      </w:pPr>
      <w:r>
        <w:rPr>
          <w:color w:val="1F497D"/>
        </w:rPr>
        <w:t>2.6 Créer le Service Principal</w:t>
      </w:r>
    </w:p>
    <w:p>
      <w:r>
        <w:t>Les jobs planifiés ne doivent pas dépendre d'un compte nominatif : le départ de la personne concernée interromprait les sauvegardes. Un Service Principal est donc requis.</w:t>
      </w:r>
    </w:p>
    <w:p>
      <w:r>
        <w:t>Deux types de Service Principal conviennent. Le choix détermine le secret utilisé, et donc la configuration de la CLI au §4.3 — les deux ne se configurent pas de la même manière.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Type</w:t>
            </w:r>
          </w:p>
        </w:tc>
        <w:tc>
          <w:tcPr>
            <w:tcW w:type="dxa" w:w="3402"/>
            <w:shd w:val="clear" w:color="auto" w:fill="1F497D"/>
          </w:tcPr>
          <w:p>
            <w:r>
              <w:rPr>
                <w:b/>
                <w:color w:val="FFFFFF"/>
              </w:rPr>
              <w:t>Créé depuis</w:t>
            </w:r>
          </w:p>
        </w:tc>
        <w:tc>
          <w:tcPr>
            <w:tcW w:type="dxa" w:w="3402"/>
            <w:shd w:val="clear" w:color="auto" w:fill="1F497D"/>
          </w:tcPr>
          <w:p>
            <w:r>
              <w:rPr>
                <w:b/>
                <w:color w:val="FFFFFF"/>
              </w:rPr>
              <w:t>Droits requis</w:t>
            </w:r>
          </w:p>
        </w:tc>
      </w:tr>
      <w:tr>
        <w:tc>
          <w:tcPr>
            <w:tcW w:type="dxa" w:w="2268"/>
          </w:tcPr>
          <w:p>
            <w:r>
              <w:t>Géré par Databricks</w:t>
            </w:r>
          </w:p>
        </w:tc>
        <w:tc>
          <w:tcPr>
            <w:tcW w:type="dxa" w:w="3402"/>
          </w:tcPr>
          <w:p>
            <w:r>
              <w:t>Console de compte Databricks</w:t>
            </w:r>
          </w:p>
        </w:tc>
        <w:tc>
          <w:tcPr>
            <w:tcW w:type="dxa" w:w="3402"/>
          </w:tcPr>
          <w:p>
            <w:r>
              <w:t>Administrateur Databricks uniquement</w:t>
            </w:r>
          </w:p>
        </w:tc>
      </w:tr>
      <w:tr>
        <w:tc>
          <w:tcPr>
            <w:tcW w:type="dxa" w:w="2268"/>
          </w:tcPr>
          <w:p>
            <w:r>
              <w:t>Adossé à Microsoft Entra ID</w:t>
            </w:r>
          </w:p>
        </w:tc>
        <w:tc>
          <w:tcPr>
            <w:tcW w:type="dxa" w:w="3402"/>
          </w:tcPr>
          <w:p>
            <w:r>
              <w:t>Portail Azure, App registration</w:t>
            </w:r>
          </w:p>
        </w:tc>
        <w:tc>
          <w:tcPr>
            <w:tcW w:type="dxa" w:w="3402"/>
          </w:tcPr>
          <w:p>
            <w:r>
              <w:t>Administrateur Microsoft Entra ID</w:t>
            </w:r>
          </w:p>
        </w:tc>
      </w:tr>
    </w:tbl>
    <w:p/>
    <w:p>
      <w:pPr>
        <w:ind w:left="283"/>
      </w:pPr>
      <w:r>
        <w:rPr>
          <w:i/>
          <w:color w:val="707070"/>
          <w:sz w:val="20"/>
        </w:rPr>
        <w:t>Note : un Service Principal géré par Databricks suffit ici, et évite de dépendre d'un administrateur Azure. L'accès au stockage ne passe pas par l'identité du Service Principal mais par le Storage Credential adossé à l'Access Connector (§2.3) : le Service Principal n'a donc besoin d'aucune identité côté Azure.</w:t>
      </w:r>
    </w:p>
    <w:p>
      <w:pPr>
        <w:pStyle w:val="Heading3"/>
        <w:jc w:val="left"/>
      </w:pPr>
      <w:r>
        <w:rPr>
          <w:color w:val="1F497D"/>
        </w:rPr>
        <w:t>A — Option 1 : Service Principal géré par Databricks</w:t>
      </w:r>
    </w:p>
    <w:p>
      <w:pPr>
        <w:pStyle w:val="ListNumber"/>
      </w:pPr>
      <w:r>
        <w:t>Console de compte Databricks (accounts.azuredatabricks.net), onglet User management, Service principals, Add service principal.</w:t>
      </w:r>
    </w:p>
    <w:p>
      <w:pPr>
        <w:pStyle w:val="ListNumber"/>
      </w:pPr>
      <w:r>
        <w:t>Choisir Databricks managed. Nom, par exemple sp-databricks-dr-backup.</w:t>
      </w:r>
    </w:p>
    <w:p>
      <w:pPr>
        <w:pStyle w:val="ListNumber"/>
      </w:pPr>
      <w:r>
        <w:t>Ouvrir le Service Principal créé, onglet Secrets, Generate secret. Relever le Client ID et le Secret : le secret n'est affiché qu'une seule fois et ne peut pas être relu ensuite.</w:t>
      </w:r>
    </w:p>
    <w:p>
      <w:pPr>
        <w:pStyle w:val="ListNumber"/>
      </w:pPr>
      <w:r>
        <w:t>Onglet Workspaces, affecter le Service Principal au workspace concerné.</w:t>
      </w:r>
    </w:p>
    <w:p>
      <w:pPr>
        <w:ind w:left="283"/>
      </w:pPr>
      <w:r>
        <w:rPr>
          <w:i/>
          <w:color w:val="707070"/>
          <w:sz w:val="20"/>
        </w:rPr>
        <w:t>Note : ce couple Client ID / Secret se configure avec les champs client_id et client_secret (§4.3, variante A).</w:t>
      </w:r>
    </w:p>
    <w:p>
      <w:pPr>
        <w:pStyle w:val="Heading3"/>
        <w:jc w:val="left"/>
      </w:pPr>
      <w:r>
        <w:rPr>
          <w:color w:val="1F497D"/>
        </w:rPr>
        <w:t>B — Option 2 : Service Principal adossé à Microsoft Entra ID</w:t>
      </w:r>
    </w:p>
    <w:p>
      <w:pPr>
        <w:pStyle w:val="ListNumber"/>
      </w:pPr>
      <w:r>
        <w:t>Portail Azure, Microsoft Entra ID, App registrations, New registration.</w:t>
      </w:r>
    </w:p>
    <w:p>
      <w:pPr>
        <w:pStyle w:val="ListNumber"/>
      </w:pPr>
      <w:r>
        <w:t>Nom, par exemple sp-databricks-dr-backup. Type de compte : single tenant.</w:t>
      </w:r>
    </w:p>
    <w:p>
      <w:pPr>
        <w:pStyle w:val="ListNumber"/>
      </w:pPr>
      <w:r>
        <w:t>Relever l'Application (client) ID et le Directory (tenant) ID.</w:t>
      </w:r>
    </w:p>
    <w:p>
      <w:pPr>
        <w:pStyle w:val="ListNumber"/>
      </w:pPr>
      <w:r>
        <w:t>Onglet Certificates &amp; secrets, New client secret. Relever la valeur immédiatement : elle n'est plus affichée ensuite.</w:t>
      </w:r>
    </w:p>
    <w:p>
      <w:pPr>
        <w:pStyle w:val="ListNumber"/>
      </w:pPr>
      <w:r>
        <w:t>Dans Databricks, console d'administration du workspace, Identity and access, Service principals, Add service principal, puis renseigner l'Application ID.</w:t>
      </w:r>
    </w:p>
    <w:p>
      <w:pPr>
        <w:ind w:left="283"/>
      </w:pPr>
      <w:r>
        <w:rPr>
          <w:i/>
          <w:color w:val="707070"/>
          <w:sz w:val="20"/>
        </w:rPr>
        <w:t>Note : ce triplet se configure avec les champs azure_client_id, azure_client_secret et azure_tenant_id (§4.3, variante B), et non avec client_id / client_secret.</w:t>
      </w:r>
    </w:p>
    <w:p>
      <w:pPr>
        <w:pStyle w:val="Heading3"/>
        <w:jc w:val="left"/>
      </w:pPr>
      <w:r>
        <w:rPr>
          <w:color w:val="1F497D"/>
        </w:rPr>
        <w:t>C — Droits à accorder, quelle que soit l'option retenue</w:t>
      </w:r>
    </w:p>
    <w:p>
      <w:pPr>
        <w:pStyle w:val="ListNumber"/>
      </w:pPr>
      <w:r>
        <w:t>Entitlement Workspace access sur le Service Principal, dans la console d'administration du workspace.</w:t>
      </w:r>
    </w:p>
    <w:p>
      <w:pPr>
        <w:pStyle w:val="ListNumber"/>
      </w:pPr>
      <w:r>
        <w:t>Permission Can manage sur les jobs après déploiement, ou déclarer le Service Principal propriétaire des jobs.</w:t>
      </w:r>
    </w:p>
    <w:p>
      <w:pPr>
        <w:pStyle w:val="ListNumber"/>
      </w:pPr>
      <w:r>
        <w:t>GRANT du §2.5 sur l'External Location et sur chaque catalog à sauvegarder, en utilisant le Client ID (ou l'Application ID) comme principal.</w:t>
      </w:r>
    </w:p>
    <w:p>
      <w:pPr>
        <w:ind w:left="283"/>
      </w:pPr>
      <w:r>
        <w:rPr>
          <w:i/>
          <w:color w:val="707070"/>
          <w:sz w:val="20"/>
        </w:rPr>
        <w:t>Note : si le Service Principal n'est pas encore disponible côté Azure, il est possible de réaliser un déploiement de test avec une authentification utilisateur : voir Annexe B. Cette voie est acceptable pour valider un environnement, pas pour un usage planifié.</w:t>
      </w:r>
    </w:p>
    <w:p>
      <w:pPr>
        <w:pStyle w:val="Heading2"/>
        <w:jc w:val="left"/>
      </w:pPr>
      <w:r>
        <w:rPr>
          <w:color w:val="1F497D"/>
        </w:rPr>
        <w:t>2.7 Installer la CLI Databricks</w:t>
      </w:r>
    </w:p>
    <w:p>
      <w:pPr>
        <w:spacing w:before="40" w:after="40"/>
        <w:ind w:left="283"/>
        <w:shd w:val="clear" w:color="auto" w:fill="F0F0F0"/>
      </w:pPr>
      <w:r>
        <w:rPr>
          <w:rFonts w:ascii="Courier New" w:hAnsi="Courier New"/>
          <w:color w:val="1F497D"/>
          <w:sz w:val="18"/>
        </w:rPr>
        <w:t># Windows</w:t>
        <w:br/>
        <w:t>winget install Databricks.DatabricksCLI</w:t>
        <w:br/>
        <w:br/>
        <w:t># macOS / Linux</w:t>
        <w:br/>
        <w:t>brew tap databricks/tap &amp;&amp; brew install databricks</w:t>
        <w:br/>
        <w:br/>
        <w:t># Verification : version 0.2xx ou superieure requise pour les bundles</w:t>
        <w:br/>
        <w:t>databricks --version</w:t>
      </w:r>
    </w:p>
    <w:p>
      <w:pPr>
        <w:ind w:left="283"/>
      </w:pPr>
      <w:r>
        <w:rPr>
          <w:b/>
          <w:color w:val="C00000"/>
          <w:sz w:val="20"/>
        </w:rPr>
        <w:t>Attention : les versions 0.17 et antérieures de la CLI (ancienne implémentation Python) ne supportent pas les Asset Bundles. La commande databricks bundle est absente : c'est le symptôme d'une CLI trop ancienne.</w:t>
      </w:r>
    </w:p>
    <w:p>
      <w:r>
        <w:br w:type="page"/>
      </w:r>
    </w:p>
    <w:p>
      <w:pPr>
        <w:pStyle w:val="Heading1"/>
        <w:jc w:val="left"/>
      </w:pPr>
      <w:r>
        <w:rPr>
          <w:color w:val="1F497D"/>
        </w:rPr>
        <w:t>3. Phase 1 — Audit de l'environnement</w:t>
      </w:r>
    </w:p>
    <w:p>
      <w:r>
        <w:t>Cette phase est en lecture seule. Elle mesure le volume à sauvegarder et, surtout, identifie les tables qui doivent être optimisées avant le premier backup. Elle conditionne la réussite de la suite : sur un environnement volumineux et fragmenté, un premier backup lancé sans optimisation préalable ne se termine pas dans la fenêtre allouée.</w:t>
      </w:r>
    </w:p>
    <w:p>
      <w:pPr>
        <w:pStyle w:val="Heading2"/>
        <w:jc w:val="left"/>
      </w:pPr>
      <w:r>
        <w:rPr>
          <w:color w:val="1F497D"/>
        </w:rPr>
        <w:t>3.1 Importer et exécuter le notebook d'audit</w:t>
      </w:r>
    </w:p>
    <w:p>
      <w:pPr>
        <w:pStyle w:val="ListNumber"/>
      </w:pPr>
      <w:r>
        <w:t>Importer diag_01_audit.py dans le workspace (menu Workspace, Import, File).</w:t>
      </w:r>
    </w:p>
    <w:p>
      <w:pPr>
        <w:pStyle w:val="ListNumber"/>
      </w:pPr>
      <w:r>
        <w:t>Attacher un cluster en mode d'accès Standard ou Dédié, runtime 14.3 LTS ou supérieur.</w:t>
      </w:r>
    </w:p>
    <w:p>
      <w:pPr>
        <w:pStyle w:val="ListNumber"/>
      </w:pPr>
      <w:r>
        <w:t>Exécuter le notebook. Les paramètres par défaut conviennent dans la majorité des cas.</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Paramètre</w:t>
            </w:r>
          </w:p>
        </w:tc>
        <w:tc>
          <w:tcPr>
            <w:tcW w:type="dxa" w:w="1417"/>
            <w:shd w:val="clear" w:color="auto" w:fill="1F497D"/>
          </w:tcPr>
          <w:p>
            <w:r>
              <w:rPr>
                <w:b/>
                <w:color w:val="FFFFFF"/>
              </w:rPr>
              <w:t>Défaut</w:t>
            </w:r>
          </w:p>
        </w:tc>
        <w:tc>
          <w:tcPr>
            <w:tcW w:type="dxa" w:w="5102"/>
            <w:shd w:val="clear" w:color="auto" w:fill="1F497D"/>
          </w:tcPr>
          <w:p>
            <w:r>
              <w:rPr>
                <w:b/>
                <w:color w:val="FFFFFF"/>
              </w:rPr>
              <w:t>Rôle</w:t>
            </w:r>
          </w:p>
        </w:tc>
      </w:tr>
      <w:tr>
        <w:tc>
          <w:tcPr>
            <w:tcW w:type="dxa" w:w="2835"/>
          </w:tcPr>
          <w:p>
            <w:r>
              <w:t>max_parallel</w:t>
            </w:r>
          </w:p>
        </w:tc>
        <w:tc>
          <w:tcPr>
            <w:tcW w:type="dxa" w:w="1417"/>
          </w:tcPr>
          <w:p>
            <w:r>
              <w:t>8</w:t>
            </w:r>
          </w:p>
        </w:tc>
        <w:tc>
          <w:tcPr>
            <w:tcW w:type="dxa" w:w="5102"/>
          </w:tcPr>
          <w:p>
            <w:r>
              <w:t>Threads parallèles pour l'inventaire</w:t>
            </w:r>
          </w:p>
        </w:tc>
      </w:tr>
      <w:tr>
        <w:tc>
          <w:tcPr>
            <w:tcW w:type="dxa" w:w="2835"/>
          </w:tcPr>
          <w:p>
            <w:r>
              <w:t>optimize_files_per_gb</w:t>
            </w:r>
          </w:p>
        </w:tc>
        <w:tc>
          <w:tcPr>
            <w:tcW w:type="dxa" w:w="1417"/>
          </w:tcPr>
          <w:p>
            <w:r>
              <w:t>50</w:t>
            </w:r>
          </w:p>
        </w:tc>
        <w:tc>
          <w:tcPr>
            <w:tcW w:type="dxa" w:w="5102"/>
          </w:tcPr>
          <w:p>
            <w:r>
              <w:t>Seuil de fichiers par Go au-delà duquel OPTIMIZE est recommandé</w:t>
            </w:r>
          </w:p>
        </w:tc>
      </w:tr>
      <w:tr>
        <w:tc>
          <w:tcPr>
            <w:tcW w:type="dxa" w:w="2835"/>
          </w:tcPr>
          <w:p>
            <w:r>
              <w:t>optimize_files_min</w:t>
            </w:r>
          </w:p>
        </w:tc>
        <w:tc>
          <w:tcPr>
            <w:tcW w:type="dxa" w:w="1417"/>
          </w:tcPr>
          <w:p>
            <w:r>
              <w:t>100</w:t>
            </w:r>
          </w:p>
        </w:tc>
        <w:tc>
          <w:tcPr>
            <w:tcW w:type="dxa" w:w="5102"/>
          </w:tcPr>
          <w:p>
            <w:r>
              <w:t>Nombre de fichiers minimum, évite les faux positifs sur petites tables</w:t>
            </w:r>
          </w:p>
        </w:tc>
      </w:tr>
      <w:tr>
        <w:tc>
          <w:tcPr>
            <w:tcW w:type="dxa" w:w="2835"/>
          </w:tcPr>
          <w:p>
            <w:r>
              <w:t>output_json</w:t>
            </w:r>
          </w:p>
        </w:tc>
        <w:tc>
          <w:tcPr>
            <w:tcW w:type="dxa" w:w="1417"/>
          </w:tcPr>
          <w:p>
            <w:r>
              <w:t>false</w:t>
            </w:r>
          </w:p>
        </w:tc>
        <w:tc>
          <w:tcPr>
            <w:tcW w:type="dxa" w:w="5102"/>
          </w:tcPr>
          <w:p>
            <w:r>
              <w:t>Sortie JSON complète</w:t>
            </w:r>
          </w:p>
        </w:tc>
      </w:tr>
      <w:tr>
        <w:tc>
          <w:tcPr>
            <w:tcW w:type="dxa" w:w="2835"/>
          </w:tcPr>
          <w:p>
            <w:r>
              <w:t>measure_volumes</w:t>
            </w:r>
          </w:p>
        </w:tc>
        <w:tc>
          <w:tcPr>
            <w:tcW w:type="dxa" w:w="1417"/>
          </w:tcPr>
          <w:p>
            <w:r>
              <w:t>true</w:t>
            </w:r>
          </w:p>
        </w:tc>
        <w:tc>
          <w:tcPr>
            <w:tcW w:type="dxa" w:w="5102"/>
          </w:tcPr>
          <w:p>
            <w:r>
              <w:t>Mesure du contenu des volumes managés (fichiers, taille, changements sur 24 h)</w:t>
            </w:r>
          </w:p>
        </w:tc>
      </w:tr>
    </w:tbl>
    <w:p/>
    <w:p>
      <w:r>
        <w:t>Exécuter l'audit avec l'identité du job de backup (ou un admin du metastore) : sa dernière section liste les catalogs que cette identité ne peut pas lire — ils ne seraient pas sauvegardés — et, à part, les catalogs fédérés et Delta Sharing, hors périmètre par conception.</w:t>
      </w:r>
    </w:p>
    <w:p>
      <w:pPr>
        <w:pStyle w:val="Heading2"/>
        <w:jc w:val="left"/>
      </w:pPr>
      <w:r>
        <w:rPr>
          <w:color w:val="1F497D"/>
        </w:rPr>
        <w:t>3.2 Interpréter le ratio fichiers par Go</w:t>
      </w:r>
    </w:p>
    <w:p>
      <w:r>
        <w:t>Le DEEP CLONE copie fichier par fichier. Sa durée dépend donc davantage du nombre de fichiers que du volume total. C'est le point le plus important de cette phase.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Ratio fichiers/Go</w:t>
            </w:r>
          </w:p>
        </w:tc>
        <w:tc>
          <w:tcPr>
            <w:tcW w:type="dxa" w:w="3402"/>
            <w:shd w:val="clear" w:color="auto" w:fill="1F497D"/>
          </w:tcPr>
          <w:p>
            <w:r>
              <w:rPr>
                <w:b/>
                <w:color w:val="FFFFFF"/>
              </w:rPr>
              <w:t>Diagnostic</w:t>
            </w:r>
          </w:p>
        </w:tc>
        <w:tc>
          <w:tcPr>
            <w:tcW w:type="dxa" w:w="3402"/>
            <w:shd w:val="clear" w:color="auto" w:fill="1F497D"/>
          </w:tcPr>
          <w:p>
            <w:r>
              <w:rPr>
                <w:b/>
                <w:color w:val="FFFFFF"/>
              </w:rPr>
              <w:t>Action</w:t>
            </w:r>
          </w:p>
        </w:tc>
      </w:tr>
      <w:tr>
        <w:tc>
          <w:tcPr>
            <w:tcW w:type="dxa" w:w="2268"/>
          </w:tcPr>
          <w:p>
            <w:r>
              <w:t>4 à 10</w:t>
            </w:r>
          </w:p>
        </w:tc>
        <w:tc>
          <w:tcPr>
            <w:tcW w:type="dxa" w:w="3402"/>
          </w:tcPr>
          <w:p>
            <w:r>
              <w:t>Optimal (fichiers d'environ 128 Mo)</w:t>
            </w:r>
          </w:p>
        </w:tc>
        <w:tc>
          <w:tcPr>
            <w:tcW w:type="dxa" w:w="3402"/>
          </w:tcPr>
          <w:p>
            <w:r>
              <w:t>Aucune</w:t>
            </w:r>
          </w:p>
        </w:tc>
      </w:tr>
      <w:tr>
        <w:tc>
          <w:tcPr>
            <w:tcW w:type="dxa" w:w="2268"/>
          </w:tcPr>
          <w:p>
            <w:r>
              <w:t>10 à 50</w:t>
            </w:r>
          </w:p>
        </w:tc>
        <w:tc>
          <w:tcPr>
            <w:tcW w:type="dxa" w:w="3402"/>
          </w:tcPr>
          <w:p>
            <w:r>
              <w:t>Acceptable</w:t>
            </w:r>
          </w:p>
        </w:tc>
        <w:tc>
          <w:tcPr>
            <w:tcW w:type="dxa" w:w="3402"/>
          </w:tcPr>
          <w:p>
            <w:r>
              <w:t>OPTIMIZE souhaitable, non bloquant</w:t>
            </w:r>
          </w:p>
        </w:tc>
      </w:tr>
      <w:tr>
        <w:tc>
          <w:tcPr>
            <w:tcW w:type="dxa" w:w="2268"/>
          </w:tcPr>
          <w:p>
            <w:r>
              <w:t>Supérieur à 50</w:t>
            </w:r>
          </w:p>
        </w:tc>
        <w:tc>
          <w:tcPr>
            <w:tcW w:type="dxa" w:w="3402"/>
          </w:tcPr>
          <w:p>
            <w:r>
              <w:t>Critique</w:t>
            </w:r>
          </w:p>
        </w:tc>
        <w:tc>
          <w:tcPr>
            <w:tcW w:type="dxa" w:w="3402"/>
          </w:tcPr>
          <w:p>
            <w:r>
              <w:t>OPTIMIZE obligatoire avant le premier backup</w:t>
            </w:r>
          </w:p>
        </w:tc>
      </w:tr>
    </w:tbl>
    <w:p/>
    <w:p>
      <w:r>
        <w:t>Mesure réelle relevée sur une table de 28 Go fortement fragmentée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r>
          </w:p>
        </w:tc>
        <w:tc>
          <w:tcPr>
            <w:tcW w:type="dxa" w:w="3118"/>
            <w:shd w:val="clear" w:color="auto" w:fill="1F497D"/>
          </w:tcPr>
          <w:p>
            <w:r>
              <w:rPr>
                <w:b/>
                <w:color w:val="FFFFFF"/>
              </w:rPr>
              <w:t>Avant OPTIMIZE</w:t>
            </w:r>
          </w:p>
        </w:tc>
        <w:tc>
          <w:tcPr>
            <w:tcW w:type="dxa" w:w="3118"/>
            <w:shd w:val="clear" w:color="auto" w:fill="1F497D"/>
          </w:tcPr>
          <w:p>
            <w:r>
              <w:rPr>
                <w:b/>
                <w:color w:val="FFFFFF"/>
              </w:rPr>
              <w:t>Après OPTIMIZE</w:t>
            </w:r>
          </w:p>
        </w:tc>
      </w:tr>
      <w:tr>
        <w:tc>
          <w:tcPr>
            <w:tcW w:type="dxa" w:w="2835"/>
          </w:tcPr>
          <w:p>
            <w:r>
              <w:t>Nombre de fichiers</w:t>
            </w:r>
          </w:p>
        </w:tc>
        <w:tc>
          <w:tcPr>
            <w:tcW w:type="dxa" w:w="3118"/>
          </w:tcPr>
          <w:p>
            <w:r>
              <w:t>346 397</w:t>
            </w:r>
          </w:p>
        </w:tc>
        <w:tc>
          <w:tcPr>
            <w:tcW w:type="dxa" w:w="3118"/>
          </w:tcPr>
          <w:p>
            <w:r>
              <w:t>6 570 (-98 %)</w:t>
            </w:r>
          </w:p>
        </w:tc>
      </w:tr>
      <w:tr>
        <w:tc>
          <w:tcPr>
            <w:tcW w:type="dxa" w:w="2835"/>
          </w:tcPr>
          <w:p>
            <w:r>
              <w:t>Durée du DEEP CLONE</w:t>
            </w:r>
          </w:p>
        </w:tc>
        <w:tc>
          <w:tcPr>
            <w:tcW w:type="dxa" w:w="3118"/>
          </w:tcPr>
          <w:p>
            <w:r>
              <w:t>Plusieurs heures</w:t>
            </w:r>
          </w:p>
        </w:tc>
        <w:tc>
          <w:tcPr>
            <w:tcW w:type="dxa" w:w="3118"/>
          </w:tcPr>
          <w:p>
            <w:r>
              <w:t>134 secondes</w:t>
            </w:r>
          </w:p>
        </w:tc>
      </w:tr>
    </w:tbl>
    <w:p/>
    <w:p>
      <w:pPr>
        <w:pStyle w:val="Heading2"/>
        <w:jc w:val="left"/>
      </w:pPr>
      <w:r>
        <w:rPr>
          <w:color w:val="1F497D"/>
        </w:rPr>
        <w:t>3.3 Optimiser les tables signalées</w:t>
      </w:r>
    </w:p>
    <w:p>
      <w:pPr>
        <w:spacing w:before="40" w:after="40"/>
        <w:ind w:left="283"/>
        <w:shd w:val="clear" w:color="auto" w:fill="F0F0F0"/>
      </w:pPr>
      <w:r>
        <w:rPr>
          <w:rFonts w:ascii="Courier New" w:hAnsi="Courier New"/>
          <w:color w:val="1F497D"/>
          <w:sz w:val="18"/>
        </w:rPr>
        <w:t>OPTIMIZE `catalog`.`schema`.`table`;</w:t>
        <w:br/>
        <w:br/>
        <w:t>-- Pour eviter la refragmentation sur les tables actives :</w:t>
        <w:br/>
        <w:t>ALTER TABLE `catalog`.`schema`.`table` SET TBLPROPERTIES (</w:t>
        <w:br/>
        <w:t xml:space="preserve">  'delta.autoOptimize.optimizeWrite' = 'true',</w:t>
        <w:br/>
        <w:t xml:space="preserve">  'delta.autoOptimize.autoCompact'   = 'true'</w:t>
        <w:br/>
        <w:t>);</w:t>
      </w:r>
    </w:p>
    <w:p>
      <w:pPr>
        <w:ind w:left="283"/>
      </w:pPr>
      <w:r>
        <w:rPr>
          <w:i/>
          <w:color w:val="707070"/>
          <w:sz w:val="20"/>
        </w:rPr>
        <w:t>Note : l'OPTIMIZE est une opération coûteuse mais qui ne se paie qu'une fois, et qui bénéficie aussi aux requêtes de production. Le planifier sur un créneau creux, idéalement le dimanche soir.</w:t>
      </w:r>
    </w:p>
    <w:p>
      <w:pPr>
        <w:pStyle w:val="Heading2"/>
        <w:jc w:val="left"/>
      </w:pPr>
      <w:r>
        <w:rPr>
          <w:color w:val="1F497D"/>
        </w:rPr>
        <w:t>3.4 Rapport de couverture du backup</w:t>
      </w:r>
    </w:p>
    <w:p>
      <w:r>
        <w:t>Le notebook diag_03_backup_coverage.py inventorie tous les objets du metastore (catalogs, schémas, tables, volumes, fonctions, modèles, external locations, connexions, partages) et du workspace (jobs, pipelines, dossiers), et indique pour chacun s'il est restaurable par le backup, par l'infrastructure as code, par un autre moyen, ou pas du tout. Il est en lecture seule et produit un rapport HTML et un fichier Excel.</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497D"/>
          </w:tcPr>
          <w:p>
            <w:r>
              <w:rPr>
                <w:b/>
                <w:color w:val="FFFFFF"/>
              </w:rPr>
              <w:t>Paramètre</w:t>
            </w:r>
          </w:p>
        </w:tc>
        <w:tc>
          <w:tcPr>
            <w:tcW w:type="dxa" w:w="6803"/>
            <w:shd w:val="clear" w:color="auto" w:fill="1F497D"/>
          </w:tcPr>
          <w:p>
            <w:r>
              <w:rPr>
                <w:b/>
                <w:color w:val="FFFFFF"/>
              </w:rPr>
              <w:t>Rôle</w:t>
            </w:r>
          </w:p>
        </w:tc>
      </w:tr>
      <w:tr>
        <w:tc>
          <w:tcPr>
            <w:tcW w:type="dxa" w:w="2268"/>
          </w:tcPr>
          <w:p>
            <w:r>
              <w:t>backup_principal</w:t>
            </w:r>
          </w:p>
        </w:tc>
        <w:tc>
          <w:tcPr>
            <w:tcW w:type="dxa" w:w="6803"/>
          </w:tcPr>
          <w:p>
            <w:r>
              <w:t>Groupe ou service principal du backup : vérifie qu'il a les droits sur chaque objet</w:t>
            </w:r>
          </w:p>
        </w:tc>
      </w:tr>
      <w:tr>
        <w:tc>
          <w:tcPr>
            <w:tcW w:type="dxa" w:w="2268"/>
          </w:tcPr>
          <w:p>
            <w:r>
              <w:t>iac_identities</w:t>
            </w:r>
          </w:p>
        </w:tc>
        <w:tc>
          <w:tcPr>
            <w:tcW w:type="dxa" w:w="6803"/>
          </w:tcPr>
          <w:p>
            <w:r>
              <w:t>Identités qui déploient l'IaC : les objets qu'elles ont créés sont classés « as code »</w:t>
            </w:r>
          </w:p>
        </w:tc>
      </w:tr>
      <w:tr>
        <w:tc>
          <w:tcPr>
            <w:tcW w:type="dxa" w:w="2268"/>
          </w:tcPr>
          <w:p>
            <w:r>
              <w:t>iac_file</w:t>
            </w:r>
          </w:p>
        </w:tc>
        <w:tc>
          <w:tcPr>
            <w:tcW w:type="dxa" w:w="6803"/>
          </w:tcPr>
          <w:p>
            <w:r>
              <w:t>Liste optionnelle d'objets gérés en code, un nom complet par ligne</w:t>
            </w:r>
          </w:p>
        </w:tc>
      </w:tr>
      <w:tr>
        <w:tc>
          <w:tcPr>
            <w:tcW w:type="dxa" w:w="2268"/>
          </w:tcPr>
          <w:p>
            <w:r>
              <w:t>excluded_catalogs</w:t>
            </w:r>
          </w:p>
        </w:tc>
        <w:tc>
          <w:tcPr>
            <w:tcW w:type="dxa" w:w="6803"/>
          </w:tcPr>
          <w:p>
            <w:r>
              <w:t>Catalogs exclus volontairement (tests, bacs à sable)</w:t>
            </w:r>
          </w:p>
        </w:tc>
      </w:tr>
      <w:tr>
        <w:tc>
          <w:tcPr>
            <w:tcW w:type="dxa" w:w="2268"/>
          </w:tcPr>
          <w:p>
            <w:r>
              <w:t>backup_root</w:t>
            </w:r>
          </w:p>
        </w:tc>
        <w:tc>
          <w:tcPr>
            <w:tcW w:type="dxa" w:w="6803"/>
          </w:tcPr>
          <w:p>
            <w:r>
              <w:t>Racine du backup : contrôle le résultat du dernier backup réel</w:t>
            </w:r>
          </w:p>
        </w:tc>
      </w:tr>
    </w:tbl>
    <w:p/>
    <w:p>
      <w:pPr>
        <w:ind w:left="283"/>
      </w:pPr>
      <w:r>
        <w:rPr>
          <w:i/>
          <w:color w:val="707070"/>
          <w:sz w:val="20"/>
        </w:rPr>
        <w:t>Note : à exécuter avec un compte admin du metastore, qui voit tous les objets. Le rapport est conçu pour être présenté tel quel : synthèse par type et par catalog, objets à traiter, légende des moyens de restauration.</w:t>
      </w:r>
    </w:p>
    <w:p>
      <w:r>
        <w:br w:type="page"/>
      </w:r>
    </w:p>
    <w:p>
      <w:pPr>
        <w:pStyle w:val="Heading1"/>
        <w:jc w:val="left"/>
      </w:pPr>
      <w:r>
        <w:rPr>
          <w:color w:val="1F497D"/>
        </w:rPr>
        <w:t>4. Phase 2 — Déploiement de la solution</w:t>
      </w:r>
    </w:p>
    <w:p>
      <w:pPr>
        <w:pStyle w:val="Heading2"/>
        <w:jc w:val="left"/>
      </w:pPr>
      <w:r>
        <w:rPr>
          <w:color w:val="1F497D"/>
        </w:rPr>
        <w:t>4.1 Extraire la livraison</w:t>
      </w:r>
    </w:p>
    <w:p>
      <w:r>
        <w:t>L'archive fournie par KeyIT contient :</w:t>
      </w:r>
    </w:p>
    <w:p>
      <w:pPr>
        <w:spacing w:before="40" w:after="40"/>
        <w:ind w:left="283"/>
        <w:shd w:val="clear" w:color="auto" w:fill="F0F0F0"/>
      </w:pPr>
      <w:r>
        <w:rPr>
          <w:rFonts w:ascii="Courier New" w:hAnsi="Courier New"/>
          <w:color w:val="1F497D"/>
          <w:sz w:val="18"/>
        </w:rPr>
        <w:t>databricks.yml            definition des jobs (Asset Bundle)</w:t>
        <w:br/>
        <w:t>notebooks/                pipeline de backup et de restauration</w:t>
        <w:br/>
        <w:t>lib/                      modules partages (DDL volumes/fonctions, diff, rapport, templates)</w:t>
        <w:br/>
        <w:t>scripts/                  utilitaires de restauration hors Databricks</w:t>
        <w:br/>
        <w:t>docs/                     guides de deploiement et de restauration</w:t>
      </w:r>
    </w:p>
    <w:p>
      <w:pPr>
        <w:ind w:left="283"/>
      </w:pPr>
      <w:r>
        <w:rPr>
          <w:b/>
          <w:color w:val="C00000"/>
          <w:sz w:val="20"/>
        </w:rPr>
        <w:t>Attention : le dossier lib/ est indispensable : la plupart des notebooks en dépendent (seuls 07_restore et 11_restore_grants sont autonomes). Le bundle le déploie à côté des notebooks et les jobs le trouvent automatiquement : aucun chemin à renseigner. Une extraction partielle de l'archive provoque un échec de l'étape de rapport, et le backup des volumes et fonctions est sauté (avertissement dans la sortie de 01_uc_metadata).</w:t>
      </w:r>
    </w:p>
    <w:p>
      <w:pPr>
        <w:pStyle w:val="Heading2"/>
        <w:jc w:val="left"/>
      </w:pPr>
      <w:r>
        <w:rPr>
          <w:color w:val="1F497D"/>
        </w:rPr>
        <w:t>4.2 Adapter databricks.yml</w:t>
      </w:r>
    </w:p>
    <w:p>
      <w:r>
        <w:t>Trois valeurs sont à adapter à l'environnement cible. Tout le reste peut rester en configuration par défaut.</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Variable</w:t>
            </w:r>
          </w:p>
        </w:tc>
        <w:tc>
          <w:tcPr>
            <w:tcW w:type="dxa" w:w="6236"/>
            <w:shd w:val="clear" w:color="auto" w:fill="1F497D"/>
          </w:tcPr>
          <w:p>
            <w:r>
              <w:rPr>
                <w:b/>
                <w:color w:val="FFFFFF"/>
              </w:rPr>
              <w:t>Valeur à renseigner</w:t>
            </w:r>
          </w:p>
        </w:tc>
      </w:tr>
      <w:tr>
        <w:tc>
          <w:tcPr>
            <w:tcW w:type="dxa" w:w="2835"/>
          </w:tcPr>
          <w:p>
            <w:r>
              <w:t>backup_root</w:t>
            </w:r>
          </w:p>
        </w:tc>
        <w:tc>
          <w:tcPr>
            <w:tcW w:type="dxa" w:w="6236"/>
          </w:tcPr>
          <w:p>
            <w:r>
              <w:t>abfss://&lt;container&gt;@&lt;compte&gt;.dfs.core.windows.net/backup</w:t>
            </w:r>
          </w:p>
        </w:tc>
      </w:tr>
      <w:tr>
        <w:tc>
          <w:tcPr>
            <w:tcW w:type="dxa" w:w="2835"/>
          </w:tcPr>
          <w:p>
            <w:r>
              <w:t>notification_email</w:t>
            </w:r>
          </w:p>
        </w:tc>
        <w:tc>
          <w:tcPr>
            <w:tcW w:type="dxa" w:w="6236"/>
          </w:tcPr>
          <w:p>
            <w:r>
              <w:t>Adresse destinataire des alertes d'échec</w:t>
            </w:r>
          </w:p>
        </w:tc>
      </w:tr>
      <w:tr>
        <w:tc>
          <w:tcPr>
            <w:tcW w:type="dxa" w:w="2835"/>
          </w:tcPr>
          <w:p>
            <w:r>
              <w:t>workspace.host (par cible)</w:t>
            </w:r>
          </w:p>
        </w:tc>
        <w:tc>
          <w:tcPr>
            <w:tcW w:type="dxa" w:w="6236"/>
          </w:tcPr>
          <w:p>
            <w:r>
              <w:t>URL du workspace Databricks</w:t>
            </w:r>
          </w:p>
        </w:tc>
      </w:tr>
    </w:tbl>
    <w:p/>
    <w:p>
      <w:pPr>
        <w:spacing w:before="40" w:after="40"/>
        <w:ind w:left="283"/>
        <w:shd w:val="clear" w:color="auto" w:fill="F0F0F0"/>
      </w:pPr>
      <w:r>
        <w:rPr>
          <w:rFonts w:ascii="Courier New" w:hAnsi="Courier New"/>
          <w:color w:val="1F497D"/>
          <w:sz w:val="18"/>
        </w:rPr>
        <w:t>variables:</w:t>
        <w:br/>
        <w:t xml:space="preserve">  backup_root:</w:t>
        <w:br/>
        <w:t xml:space="preserve">    default: "abfss://uc-backup@stclientdrbackup.dfs.core.windows.net/backup"</w:t>
        <w:br/>
        <w:t xml:space="preserve">  notification_email:</w:t>
        <w:br/>
        <w:t xml:space="preserve">    default: "exploitation@client.ch"</w:t>
        <w:br/>
        <w:br/>
        <w:t>targets:</w:t>
        <w:br/>
        <w:t xml:space="preserve">  prod:</w:t>
        <w:br/>
        <w:t xml:space="preserve">    mode: production</w:t>
        <w:br/>
        <w:t xml:space="preserve">    workspace:</w:t>
        <w:br/>
        <w:t xml:space="preserve">      host: https://adb-1234567890123456.7.azuredatabricks.net</w:t>
      </w:r>
    </w:p>
    <w:p>
      <w:pPr>
        <w:pStyle w:val="Heading2"/>
        <w:jc w:val="left"/>
      </w:pPr>
      <w:r>
        <w:rPr>
          <w:color w:val="1F497D"/>
        </w:rPr>
        <w:t>4.3 Configurer l'authentification de la CLI</w:t>
      </w:r>
    </w:p>
    <w:p>
      <w:r>
        <w:t>La CLI lit ses identifiants dans un fichier de profils. Chaque profil est une section indépendante : ajouter un profil ne modifie jamais les autres.</w:t>
      </w:r>
    </w:p>
    <w:p>
      <w:pPr>
        <w:spacing w:before="40" w:after="40"/>
        <w:ind w:left="283"/>
        <w:shd w:val="clear" w:color="auto" w:fill="F0F0F0"/>
      </w:pPr>
      <w:r>
        <w:rPr>
          <w:rFonts w:ascii="Courier New" w:hAnsi="Courier New"/>
          <w:color w:val="1F497D"/>
          <w:sz w:val="18"/>
        </w:rPr>
        <w:t># Emplacement</w:t>
        <w:br/>
        <w:t># Linux / macOS : ~/.databrickscfg</w:t>
        <w:br/>
        <w:t># Windows       : %USERPROFILE%\.databrickscfg</w:t>
      </w:r>
    </w:p>
    <w:p>
      <w:pPr>
        <w:ind w:left="283"/>
      </w:pPr>
      <w:r>
        <w:rPr>
          <w:b/>
          <w:color w:val="C00000"/>
          <w:sz w:val="20"/>
        </w:rPr>
        <w:t>Attention : les champs à renseigner dépendent du type de Service Principal choisi au §2.6. Un secret Microsoft Entra ID placé dans les champs client_id / client_secret produit une erreur 401 à l'authentification. Voir Annexe A.7.</w:t>
      </w:r>
    </w:p>
    <w:p>
      <w:pPr>
        <w:pStyle w:val="Heading3"/>
        <w:jc w:val="left"/>
      </w:pPr>
      <w:r>
        <w:rPr>
          <w:color w:val="1F497D"/>
        </w:rPr>
        <w:t>Variante A — Service Principal géré par Databricks (§2.6, option 1)</w:t>
      </w:r>
    </w:p>
    <w:p>
      <w:pPr>
        <w:spacing w:before="40" w:after="40"/>
        <w:ind w:left="283"/>
        <w:shd w:val="clear" w:color="auto" w:fill="F0F0F0"/>
      </w:pPr>
      <w:r>
        <w:rPr>
          <w:rFonts w:ascii="Courier New" w:hAnsi="Courier New"/>
          <w:color w:val="1F497D"/>
          <w:sz w:val="18"/>
        </w:rPr>
        <w:t>[prod]</w:t>
        <w:br/>
        <w:t>host          = https://adb-1234567890123456.7.azuredatabricks.net</w:t>
        <w:br/>
        <w:t>client_id     = &lt;client-id-du-service-principal&gt;</w:t>
        <w:br/>
        <w:t>client_secret = &lt;secret-genere-dans-databricks&gt;</w:t>
      </w:r>
    </w:p>
    <w:p>
      <w:pPr>
        <w:pStyle w:val="Heading3"/>
        <w:jc w:val="left"/>
      </w:pPr>
      <w:r>
        <w:rPr>
          <w:color w:val="1F497D"/>
        </w:rPr>
        <w:t>Variante B — Service Principal Microsoft Entra ID (§2.6, option 2)</w:t>
      </w:r>
    </w:p>
    <w:p>
      <w:pPr>
        <w:spacing w:before="40" w:after="40"/>
        <w:ind w:left="283"/>
        <w:shd w:val="clear" w:color="auto" w:fill="F0F0F0"/>
      </w:pPr>
      <w:r>
        <w:rPr>
          <w:rFonts w:ascii="Courier New" w:hAnsi="Courier New"/>
          <w:color w:val="1F497D"/>
          <w:sz w:val="18"/>
        </w:rPr>
        <w:t>[prod]</w:t>
        <w:br/>
        <w:t>host                = https://adb-1234567890123456.7.azuredatabricks.net</w:t>
        <w:br/>
        <w:t>azure_client_id     = &lt;application-id&gt;</w:t>
        <w:br/>
        <w:t>azure_client_secret = &lt;client-secret-entra-id&gt;</w:t>
        <w:br/>
        <w:t>azure_tenant_id     = &lt;directory-tenant-id&gt;</w:t>
      </w:r>
    </w:p>
    <w:p>
      <w:pPr>
        <w:ind w:left="283"/>
      </w:pPr>
      <w:r>
        <w:rPr>
          <w:b/>
          <w:color w:val="C00000"/>
          <w:sz w:val="20"/>
        </w:rPr>
        <w:t>Attention : le champ host attend l'URL du workspace Databricks, jamais celle du compte de stockage. Voir Annexe A.3.</w:t>
      </w:r>
    </w:p>
    <w:p>
      <w:pPr>
        <w:pStyle w:val="Heading3"/>
        <w:jc w:val="left"/>
      </w:pPr>
      <w:r>
        <w:rPr>
          <w:color w:val="1F497D"/>
        </w:rPr>
        <w:t>Vérifier la configuration</w:t>
      </w:r>
    </w:p>
    <w:p>
      <w:pPr>
        <w:spacing w:before="40" w:after="40"/>
        <w:ind w:left="283"/>
        <w:shd w:val="clear" w:color="auto" w:fill="F0F0F0"/>
      </w:pPr>
      <w:r>
        <w:rPr>
          <w:rFonts w:ascii="Courier New" w:hAnsi="Courier New"/>
          <w:color w:val="1F497D"/>
          <w:sz w:val="18"/>
        </w:rPr>
        <w:t>databricks auth profiles                    # le profil doit apparaitre Valid : YES</w:t>
        <w:br/>
        <w:t>databricks current-user me --profile prod</w:t>
        <w:br/>
        <w:t>databricks jobs list --profile prod         # confirme l'acces effectif au workspace</w:t>
      </w:r>
    </w:p>
    <w:p>
      <w:r>
        <w:t>Pour un Service Principal, la réponse ne contient pas d'adresse e-mail : le champ userName vaut le Client ID. C'est le comportement attendu.</w:t>
      </w:r>
    </w:p>
    <w:p>
      <w:pPr>
        <w:spacing w:before="40" w:after="40"/>
        <w:ind w:left="283"/>
        <w:shd w:val="clear" w:color="auto" w:fill="F0F0F0"/>
      </w:pPr>
      <w:r>
        <w:rPr>
          <w:rFonts w:ascii="Courier New" w:hAnsi="Courier New"/>
          <w:color w:val="1F497D"/>
          <w:sz w:val="18"/>
        </w:rPr>
        <w:t>{</w:t>
        <w:br/>
        <w:t xml:space="preserve">  "active": true,</w:t>
        <w:br/>
        <w:t xml:space="preserve">  "displayName": "sp-databricks-dr-backup",</w:t>
        <w:br/>
        <w:t xml:space="preserve">  "userName": "12345678-90ab-cdef-1234-567890abcdef"</w:t>
        <w:br/>
        <w:t>}</w:t>
      </w:r>
    </w:p>
    <w:p>
      <w:pPr>
        <w:pStyle w:val="Heading3"/>
        <w:jc w:val="left"/>
      </w:pPr>
      <w:r>
        <w:rPr>
          <w:color w:val="1F497D"/>
        </w:rPr>
        <w:t>Gérer plusieurs environnements sans risque d'erreur</w:t>
      </w:r>
    </w:p>
    <w:p>
      <w:r>
        <w:t>Lorsque plusieurs workspaces sont administrés depuis le même poste, le risque n'est pas que les profils interfèrent entre eux, mais d'exécuter une commande sur le mauvais. Trois précautions suffisent :</w:t>
      </w:r>
    </w:p>
    <w:p>
      <w:pPr>
        <w:pStyle w:val="ListBullet"/>
      </w:pPr>
      <w:r>
        <w:t>Nommer les profils par environnement explicite (client-prod, client-test) plutôt que prod ou dev, ambigus dès le deuxième projet.</w:t>
      </w:r>
    </w:p>
    <w:p>
      <w:pPr>
        <w:pStyle w:val="ListBullet"/>
      </w:pPr>
      <w:r>
        <w:t>Ne pas définir de profil par défaut : une commande sans --profile échouera franchement, au lieu de s'exécuter sur un workspace choisi implicitement.</w:t>
      </w:r>
    </w:p>
    <w:p>
      <w:pPr>
        <w:pStyle w:val="ListBullet"/>
      </w:pPr>
      <w:r>
        <w:t>Associer le profil à la cible directement dans databricks.yml, ce qui rend le --profile inutile et protège contre l'erreur de cible.</w:t>
      </w:r>
    </w:p>
    <w:p>
      <w:pPr>
        <w:spacing w:before="40" w:after="40"/>
        <w:ind w:left="283"/>
        <w:shd w:val="clear" w:color="auto" w:fill="F0F0F0"/>
      </w:pPr>
      <w:r>
        <w:rPr>
          <w:rFonts w:ascii="Courier New" w:hAnsi="Courier New"/>
          <w:color w:val="1F497D"/>
          <w:sz w:val="18"/>
        </w:rPr>
        <w:t>targets:</w:t>
        <w:br/>
        <w:t xml:space="preserve">  prod:</w:t>
        <w:br/>
        <w:t xml:space="preserve">    workspace:</w:t>
        <w:br/>
        <w:t xml:space="preserve">      host: https://adb-1234567890123456.7.azuredatabricks.net</w:t>
        <w:br/>
        <w:t xml:space="preserve">      profile: client-prod</w:t>
      </w:r>
    </w:p>
    <w:p>
      <w:pPr>
        <w:ind w:left="283"/>
      </w:pPr>
      <w:r>
        <w:rPr>
          <w:i/>
          <w:color w:val="707070"/>
          <w:sz w:val="20"/>
        </w:rPr>
        <w:t>Note : avec cette déclaration, la CLI refuse de déployer si le host du profil ne correspond pas à celui déclaré dans la cible. C'est le garde-fou le plus efficace contre un déploiement sur le mauvais workspace.</w:t>
      </w:r>
    </w:p>
    <w:p>
      <w:pPr>
        <w:ind w:left="283"/>
      </w:pPr>
      <w:r>
        <w:rPr>
          <w:b/>
          <w:color w:val="C00000"/>
          <w:sz w:val="20"/>
        </w:rPr>
        <w:t>Attention : les variables d'environnement DATABRICKS_HOST et DATABRICKS_TOKEN sont prioritaires sur le fichier de profils. Définies de façon permanente, elles détournent silencieusement toutes les commandes, y compris celles des autres projets. Ne les utiliser que dans un terminal ponctuel.</w:t>
      </w:r>
    </w:p>
    <w:p>
      <w:pPr>
        <w:pStyle w:val="Heading2"/>
        <w:jc w:val="left"/>
      </w:pPr>
      <w:r>
        <w:rPr>
          <w:color w:val="1F497D"/>
        </w:rPr>
        <w:t>4.4 Tester la connectivité de bout en bout</w:t>
      </w:r>
    </w:p>
    <w:p>
      <w:r>
        <w:t>Le notebook diag_02_connectivity.py valide la chaîne complète : accès à l'External Location, écriture, DEEP CLONE réel puis nettoyage. Il n'écrit que dans un sous-dossier _diag_test/ qu'il supprime en fin d'exécution.</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497D"/>
          </w:tcPr>
          <w:p>
            <w:r>
              <w:rPr>
                <w:b/>
                <w:color w:val="FFFFFF"/>
              </w:rPr>
              <w:t>Paramètre</w:t>
            </w:r>
          </w:p>
        </w:tc>
        <w:tc>
          <w:tcPr>
            <w:tcW w:type="dxa" w:w="6803"/>
            <w:shd w:val="clear" w:color="auto" w:fill="1F497D"/>
          </w:tcPr>
          <w:p>
            <w:r>
              <w:rPr>
                <w:b/>
                <w:color w:val="FFFFFF"/>
              </w:rPr>
              <w:t>Valeur</w:t>
            </w:r>
          </w:p>
        </w:tc>
      </w:tr>
      <w:tr>
        <w:tc>
          <w:tcPr>
            <w:tcW w:type="dxa" w:w="2268"/>
          </w:tcPr>
          <w:p>
            <w:r>
              <w:t>backup_root</w:t>
            </w:r>
          </w:p>
        </w:tc>
        <w:tc>
          <w:tcPr>
            <w:tcW w:type="dxa" w:w="6803"/>
          </w:tcPr>
          <w:p>
            <w:r>
              <w:t>Obligatoire, même valeur que dans databricks.yml</w:t>
            </w:r>
          </w:p>
        </w:tc>
      </w:tr>
      <w:tr>
        <w:tc>
          <w:tcPr>
            <w:tcW w:type="dxa" w:w="2268"/>
          </w:tcPr>
          <w:p>
            <w:r>
              <w:t>test_table</w:t>
            </w:r>
          </w:p>
        </w:tc>
        <w:tc>
          <w:tcPr>
            <w:tcW w:type="dxa" w:w="6803"/>
          </w:tcPr>
          <w:p>
            <w:r>
              <w:t>Optionnel, vide pour sélection automatique de la plus petite table</w:t>
            </w:r>
          </w:p>
        </w:tc>
      </w:tr>
    </w:tbl>
    <w:p/>
    <w:p>
      <w:pPr>
        <w:ind w:left="283"/>
      </w:pPr>
      <w:r>
        <w:rPr>
          <w:b/>
          <w:color w:val="C00000"/>
          <w:sz w:val="20"/>
        </w:rPr>
        <w:t>Attention : ce notebook exige un cluster en mode d'accès Dédié (Single User). En mode Standard, l'écriture vers l'External Location échoue : le passage d'identité vers Unity Catalog n'est pas disponible dans ce mode.</w:t>
      </w:r>
    </w:p>
    <w:p>
      <w:pPr>
        <w:pStyle w:val="Heading2"/>
        <w:jc w:val="left"/>
      </w:pPr>
      <w:r>
        <w:rPr>
          <w:color w:val="1F497D"/>
        </w:rPr>
        <w:t>4.5 Déployer le bundle</w:t>
      </w:r>
    </w:p>
    <w:p>
      <w:pPr>
        <w:spacing w:before="40" w:after="40"/>
        <w:ind w:left="283"/>
        <w:shd w:val="clear" w:color="auto" w:fill="F0F0F0"/>
      </w:pPr>
      <w:r>
        <w:rPr>
          <w:rFonts w:ascii="Courier New" w:hAnsi="Courier New"/>
          <w:color w:val="1F497D"/>
          <w:sz w:val="18"/>
        </w:rPr>
        <w:t>databricks bundle validate --target prod --profile prod</w:t>
        <w:br/>
        <w:t>databricks bundle deploy   --target prod --profile prod</w:t>
      </w:r>
    </w:p>
    <w:p>
      <w:r>
        <w:t>Le déploiement crée deux jobs, tous deux en pause :</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4535"/>
            <w:shd w:val="clear" w:color="auto" w:fill="1F497D"/>
          </w:tcPr>
          <w:p>
            <w:r>
              <w:rPr>
                <w:b/>
                <w:color w:val="FFFFFF"/>
              </w:rPr>
              <w:t>Rôle</w:t>
            </w:r>
          </w:p>
        </w:tc>
        <w:tc>
          <w:tcPr>
            <w:tcW w:type="dxa" w:w="1984"/>
            <w:shd w:val="clear" w:color="auto" w:fill="1F497D"/>
          </w:tcPr>
          <w:p>
            <w:r>
              <w:rPr>
                <w:b/>
                <w:color w:val="FFFFFF"/>
              </w:rPr>
              <w:t>Planification</w:t>
            </w:r>
          </w:p>
        </w:tc>
      </w:tr>
      <w:tr>
        <w:tc>
          <w:tcPr>
            <w:tcW w:type="dxa" w:w="2551"/>
          </w:tcPr>
          <w:p>
            <w:r>
              <w:t>dr-backup-daily</w:t>
            </w:r>
          </w:p>
        </w:tc>
        <w:tc>
          <w:tcPr>
            <w:tcW w:type="dxa" w:w="4535"/>
          </w:tcPr>
          <w:p>
            <w:r>
              <w:t>Sauvegarde quotidienne incrémentale, rétention, VACUUM</w:t>
            </w:r>
          </w:p>
        </w:tc>
        <w:tc>
          <w:tcPr>
            <w:tcW w:type="dxa" w:w="1984"/>
          </w:tcPr>
          <w:p>
            <w:r>
              <w:t>01:00 UTC, en pause</w:t>
            </w:r>
          </w:p>
        </w:tc>
      </w:tr>
      <w:tr>
        <w:tc>
          <w:tcPr>
            <w:tcW w:type="dxa" w:w="2551"/>
          </w:tcPr>
          <w:p>
            <w:r>
              <w:t>dr-backup-monthly</w:t>
            </w:r>
          </w:p>
        </w:tc>
        <w:tc>
          <w:tcPr>
            <w:tcW w:type="dxa" w:w="4535"/>
          </w:tcPr>
          <w:p>
            <w:r>
              <w:t>Archive mensuelle complète par DEEP CLONE</w:t>
            </w:r>
          </w:p>
        </w:tc>
        <w:tc>
          <w:tcPr>
            <w:tcW w:type="dxa" w:w="1984"/>
          </w:tcPr>
          <w:p>
            <w:r>
              <w:t>1er du mois, 02:00 UTC, en pause</w:t>
            </w:r>
          </w:p>
        </w:tc>
      </w:tr>
    </w:tbl>
    <w:p/>
    <w:p>
      <w:pPr>
        <w:ind w:left="283"/>
      </w:pPr>
      <w:r>
        <w:rPr>
          <w:i/>
          <w:color w:val="707070"/>
          <w:sz w:val="20"/>
        </w:rPr>
        <w:t>Note : les jobs sont livrés en pause volontairement. Ils ne se déclencheront pas d'eux-mêmes avant l'activation décrite au §8, ce qui laisse le temps de valider le premier backup manuellement.</w:t>
      </w:r>
    </w:p>
    <w:p>
      <w:pPr>
        <w:ind w:left="283"/>
      </w:pPr>
      <w:r>
        <w:rPr>
          <w:b/>
          <w:color w:val="C00000"/>
          <w:sz w:val="20"/>
        </w:rPr>
        <w:t>Attention : si bundle deploy échoue avec une erreur de connexion à registry.terraform.io, le problème est réseau et non lié à la solution. Un contournement est décrit en Annexe A.1.</w:t>
      </w:r>
    </w:p>
    <w:p>
      <w:pPr>
        <w:pStyle w:val="Heading2"/>
        <w:jc w:val="left"/>
      </w:pPr>
      <w:r>
        <w:rPr>
          <w:color w:val="1F497D"/>
        </w:rPr>
        <w:t>4.6 Archivage des logs de cluster</w:t>
      </w:r>
    </w:p>
    <w:p>
      <w:r>
        <w:t>Les clusters des jobs sont créés à chaque exécution puis détruits : leurs logs disparaissent avec eux, et la sortie affichée dans l'interface est tronquée au-delà d'un certain volume. Pour permettre un diagnostic après coup, les deux jobs archivent automatiquement leurs logs.</w:t>
      </w:r>
    </w:p>
    <w:p>
      <w:pPr>
        <w:spacing w:before="40" w:after="40"/>
        <w:ind w:left="283"/>
        <w:shd w:val="clear" w:color="auto" w:fill="F0F0F0"/>
      </w:pPr>
      <w:r>
        <w:rPr>
          <w:rFonts w:ascii="Courier New" w:hAnsi="Courier New"/>
          <w:color w:val="1F497D"/>
          <w:sz w:val="18"/>
        </w:rPr>
        <w:t>cluster_log_conf:</w:t>
        <w:br/>
        <w:t xml:space="preserve">  dbfs:</w:t>
        <w:br/>
        <w:t xml:space="preserve">    destination: dbfs:/cluster-logs/dr-backup/daily</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Job</w:t>
            </w:r>
          </w:p>
        </w:tc>
        <w:tc>
          <w:tcPr>
            <w:tcW w:type="dxa" w:w="6236"/>
            <w:shd w:val="clear" w:color="auto" w:fill="1F497D"/>
          </w:tcPr>
          <w:p>
            <w:r>
              <w:rPr>
                <w:b/>
                <w:color w:val="FFFFFF"/>
              </w:rPr>
              <w:t>Destination</w:t>
            </w:r>
          </w:p>
        </w:tc>
      </w:tr>
      <w:tr>
        <w:tc>
          <w:tcPr>
            <w:tcW w:type="dxa" w:w="2835"/>
          </w:tcPr>
          <w:p>
            <w:r>
              <w:t>dr-backup-daily</w:t>
            </w:r>
          </w:p>
        </w:tc>
        <w:tc>
          <w:tcPr>
            <w:tcW w:type="dxa" w:w="6236"/>
          </w:tcPr>
          <w:p>
            <w:r>
              <w:t>dbfs:/cluster-logs/dr-backup/daily</w:t>
            </w:r>
          </w:p>
        </w:tc>
      </w:tr>
      <w:tr>
        <w:tc>
          <w:tcPr>
            <w:tcW w:type="dxa" w:w="2835"/>
          </w:tcPr>
          <w:p>
            <w:r>
              <w:t>dr-backup-monthly</w:t>
            </w:r>
          </w:p>
        </w:tc>
        <w:tc>
          <w:tcPr>
            <w:tcW w:type="dxa" w:w="6236"/>
          </w:tcPr>
          <w:p>
            <w:r>
              <w:t>dbfs:/cluster-logs/dr-backup/monthly</w:t>
            </w:r>
          </w:p>
        </w:tc>
      </w:tr>
    </w:tbl>
    <w:p/>
    <w:p>
      <w:r>
        <w:t>Chaque exécution y dépose un sous-dossier daté contenant les journaux du driver (stdout, stderr, log4j). Consultation depuis un notebook :</w:t>
      </w:r>
    </w:p>
    <w:p>
      <w:pPr>
        <w:spacing w:before="40" w:after="40"/>
        <w:ind w:left="283"/>
        <w:shd w:val="clear" w:color="auto" w:fill="F0F0F0"/>
      </w:pPr>
      <w:r>
        <w:rPr>
          <w:rFonts w:ascii="Courier New" w:hAnsi="Courier New"/>
          <w:color w:val="1F497D"/>
          <w:sz w:val="18"/>
        </w:rPr>
        <w:t>dbutils.fs.ls("dbfs:/cluster-logs/dr-backup/daily")</w:t>
      </w:r>
    </w:p>
    <w:p>
      <w:pPr>
        <w:ind w:left="283"/>
      </w:pPr>
      <w:r>
        <w:rPr>
          <w:b/>
          <w:color w:val="C00000"/>
          <w:sz w:val="20"/>
        </w:rPr>
        <w:t>Attention : cette destination doit être un chemin DBFS : le paramètre cluster_log_conf n'accepte pas d'URI abfss://. Si la politique du workspace interdit l'accès à DBFS, retirer les blocs cluster_log_conf de databricks.yml — les jobs fonctionnent sans, seul le diagnostic a posteriori est perdu.</w:t>
      </w:r>
    </w:p>
    <w:p>
      <w:pPr>
        <w:ind w:left="283"/>
      </w:pPr>
      <w:r>
        <w:rPr>
          <w:i/>
          <w:color w:val="707070"/>
          <w:sz w:val="20"/>
        </w:rPr>
        <w:t>Note : ces logs ne sont pas purgés automatiquement. Prévoir un nettoyage périodique si l'espace occupé devient un sujet.</w:t>
      </w:r>
    </w:p>
    <w:p>
      <w:r>
        <w:br w:type="page"/>
      </w:r>
    </w:p>
    <w:p>
      <w:pPr>
        <w:pStyle w:val="Heading1"/>
        <w:jc w:val="left"/>
      </w:pPr>
      <w:r>
        <w:rPr>
          <w:color w:val="1F497D"/>
        </w:rPr>
        <w:t>5. Premier backup</w:t>
      </w:r>
    </w:p>
    <w:p>
      <w:pPr>
        <w:pStyle w:val="Heading2"/>
        <w:jc w:val="left"/>
      </w:pPr>
      <w:r>
        <w:rPr>
          <w:color w:val="1F497D"/>
        </w:rPr>
        <w:t>5.1 Dimensionner le cluster</w:t>
      </w:r>
    </w:p>
    <w:p>
      <w:r>
        <w:t>Le DEEP CLONE se parallélise sur les exécuteurs Spark. Le dimensionnement du cluster est donc le facteur déterminant de la durée du backup, en particulier lors du premier passage où toutes les tables sont copiées intégralement.</w:t>
      </w:r>
    </w:p>
    <w:p>
      <w:r>
        <w:t>Mesures relevées sur un environnement de production comportant environ 4 800 tables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Configuration</w:t>
            </w:r>
          </w:p>
        </w:tc>
        <w:tc>
          <w:tcPr>
            <w:tcW w:type="dxa" w:w="2268"/>
            <w:shd w:val="clear" w:color="auto" w:fill="1F497D"/>
          </w:tcPr>
          <w:p>
            <w:r>
              <w:rPr>
                <w:b/>
                <w:color w:val="FFFFFF"/>
              </w:rPr>
              <w:t>Débit observé</w:t>
            </w:r>
          </w:p>
        </w:tc>
        <w:tc>
          <w:tcPr>
            <w:tcW w:type="dxa" w:w="3969"/>
            <w:shd w:val="clear" w:color="auto" w:fill="1F497D"/>
          </w:tcPr>
          <w:p>
            <w:r>
              <w:rPr>
                <w:b/>
                <w:color w:val="FFFFFF"/>
              </w:rPr>
              <w:t>Conclusion</w:t>
            </w:r>
          </w:p>
        </w:tc>
      </w:tr>
      <w:tr>
        <w:tc>
          <w:tcPr>
            <w:tcW w:type="dxa" w:w="2835"/>
          </w:tcPr>
          <w:p>
            <w:r>
              <w:t>Single Node (aucun worker)</w:t>
            </w:r>
          </w:p>
        </w:tc>
        <w:tc>
          <w:tcPr>
            <w:tcW w:type="dxa" w:w="2268"/>
          </w:tcPr>
          <w:p>
            <w:r>
              <w:t>environ 17 s par table</w:t>
            </w:r>
          </w:p>
        </w:tc>
        <w:tc>
          <w:tcPr>
            <w:tcW w:type="dxa" w:w="3969"/>
          </w:tcPr>
          <w:p>
            <w:r>
              <w:t>1 072 tables traitées en 5 h, dépassement de la fenêtre</w:t>
            </w:r>
          </w:p>
        </w:tc>
      </w:tr>
      <w:tr>
        <w:tc>
          <w:tcPr>
            <w:tcW w:type="dxa" w:w="2835"/>
          </w:tcPr>
          <w:p>
            <w:r>
              <w:t>4 workers Standard_DS4_v2</w:t>
            </w:r>
          </w:p>
        </w:tc>
        <w:tc>
          <w:tcPr>
            <w:tcW w:type="dxa" w:w="2268"/>
          </w:tcPr>
          <w:p>
            <w:r>
              <w:t>environ 1,3 s par table</w:t>
            </w:r>
          </w:p>
        </w:tc>
        <w:tc>
          <w:tcPr>
            <w:tcW w:type="dxa" w:w="3969"/>
          </w:tcPr>
          <w:p>
            <w:r>
              <w:t>2 352 tables traitées en 50 min</w:t>
            </w:r>
          </w:p>
        </w:tc>
      </w:tr>
    </w:tbl>
    <w:p/>
    <w:p>
      <w:r>
        <w:t>La configuration livrée par défaut applique donc 4 workers Standard_DS4_v2 sur le job quotidien. Elle peut être réduite sur un environnement de petite taille :</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Nombre de tables</w:t>
            </w:r>
          </w:p>
        </w:tc>
        <w:tc>
          <w:tcPr>
            <w:tcW w:type="dxa" w:w="6236"/>
            <w:shd w:val="clear" w:color="auto" w:fill="1F497D"/>
          </w:tcPr>
          <w:p>
            <w:r>
              <w:rPr>
                <w:b/>
                <w:color w:val="FFFFFF"/>
              </w:rPr>
              <w:t>Configuration recommandée</w:t>
            </w:r>
          </w:p>
        </w:tc>
      </w:tr>
      <w:tr>
        <w:tc>
          <w:tcPr>
            <w:tcW w:type="dxa" w:w="2835"/>
          </w:tcPr>
          <w:p>
            <w:r>
              <w:t>Moins de 500</w:t>
            </w:r>
          </w:p>
        </w:tc>
        <w:tc>
          <w:tcPr>
            <w:tcW w:type="dxa" w:w="6236"/>
          </w:tcPr>
          <w:p>
            <w:r>
              <w:t>Single Node acceptable</w:t>
            </w:r>
          </w:p>
        </w:tc>
      </w:tr>
      <w:tr>
        <w:tc>
          <w:tcPr>
            <w:tcW w:type="dxa" w:w="2835"/>
          </w:tcPr>
          <w:p>
            <w:r>
              <w:t>500 à 5 000</w:t>
            </w:r>
          </w:p>
        </w:tc>
        <w:tc>
          <w:tcPr>
            <w:tcW w:type="dxa" w:w="6236"/>
          </w:tcPr>
          <w:p>
            <w:r>
              <w:t>4 workers (configuration livrée)</w:t>
            </w:r>
          </w:p>
        </w:tc>
      </w:tr>
      <w:tr>
        <w:tc>
          <w:tcPr>
            <w:tcW w:type="dxa" w:w="2835"/>
          </w:tcPr>
          <w:p>
            <w:r>
              <w:t>Plus de 5 000</w:t>
            </w:r>
          </w:p>
        </w:tc>
        <w:tc>
          <w:tcPr>
            <w:tcW w:type="dxa" w:w="6236"/>
          </w:tcPr>
          <w:p>
            <w:r>
              <w:t>4 à 8 workers, à valider par le premier run</w:t>
            </w:r>
          </w:p>
        </w:tc>
      </w:tr>
    </w:tbl>
    <w:p/>
    <w:p>
      <w:pPr>
        <w:ind w:left="283"/>
      </w:pPr>
      <w:r>
        <w:rPr>
          <w:b/>
          <w:color w:val="C00000"/>
          <w:sz w:val="20"/>
        </w:rPr>
        <w:t>Attention : si le nombre de workers est ramené à 0, il faut aussi rétablir les paramètres de cluster mono-nœud (spark.master en local, profil singleNode, tag ResourceClass). Un cluster déclaré à 0 worker sans ces paramètres ne démarre pas.</w:t>
      </w:r>
    </w:p>
    <w:p>
      <w:r>
        <w:t>Le driver est dimensionné à part : Standard_E8s_v3 (64 Go). Sa mémoire croît avec le nombre de tables traitées dans un même run, pas avec leur volume : sur un Standard_DS4_v2, elle saturait vers 4 000 tables (erreur GC overhead limit exceeded), et seule une seconde tentative aboutissait. La cause (un état Delta mis en cache par table, jamais libéré) est corrigée dans le notebook de copie ; le driver E8s_v3 reste une marge de sécurité. Les workers restent en Standard_DS4_v2.</w:t>
      </w:r>
    </w:p>
    <w:p>
      <w:pPr>
        <w:pStyle w:val="Heading2"/>
        <w:jc w:val="left"/>
      </w:pPr>
      <w:r>
        <w:rPr>
          <w:color w:val="1F497D"/>
        </w:rPr>
        <w:t>5.2 Durées attendues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Exécution</w:t>
            </w:r>
          </w:p>
        </w:tc>
        <w:tc>
          <w:tcPr>
            <w:tcW w:type="dxa" w:w="3402"/>
            <w:shd w:val="clear" w:color="auto" w:fill="1F497D"/>
          </w:tcPr>
          <w:p>
            <w:r>
              <w:rPr>
                <w:b/>
                <w:color w:val="FFFFFF"/>
              </w:rPr>
              <w:t>Ce qui est traité</w:t>
            </w:r>
          </w:p>
        </w:tc>
        <w:tc>
          <w:tcPr>
            <w:tcW w:type="dxa" w:w="3402"/>
            <w:shd w:val="clear" w:color="auto" w:fill="1F497D"/>
          </w:tcPr>
          <w:p>
            <w:r>
              <w:rPr>
                <w:b/>
                <w:color w:val="FFFFFF"/>
              </w:rPr>
              <w:t>Durée typique</w:t>
            </w:r>
          </w:p>
        </w:tc>
      </w:tr>
      <w:tr>
        <w:tc>
          <w:tcPr>
            <w:tcW w:type="dxa" w:w="2268"/>
          </w:tcPr>
          <w:p>
            <w:r>
              <w:t>Premier run (J1)</w:t>
            </w:r>
          </w:p>
        </w:tc>
        <w:tc>
          <w:tcPr>
            <w:tcW w:type="dxa" w:w="3402"/>
          </w:tcPr>
          <w:p>
            <w:r>
              <w:t>Toutes les tables, copie intégrale</w:t>
            </w:r>
          </w:p>
        </w:tc>
        <w:tc>
          <w:tcPr>
            <w:tcW w:type="dxa" w:w="3402"/>
          </w:tcPr>
          <w:p>
            <w:r>
              <w:t>Plusieurs heures, proportionnel au volume</w:t>
            </w:r>
          </w:p>
        </w:tc>
      </w:tr>
      <w:tr>
        <w:tc>
          <w:tcPr>
            <w:tcW w:type="dxa" w:w="2268"/>
          </w:tcPr>
          <w:p>
            <w:r>
              <w:t>Runs suivants (J2 et au-delà)</w:t>
            </w:r>
          </w:p>
        </w:tc>
        <w:tc>
          <w:tcPr>
            <w:tcW w:type="dxa" w:w="3402"/>
          </w:tcPr>
          <w:p>
            <w:r>
              <w:t>Uniquement les tables modifiées depuis la veille</w:t>
            </w:r>
          </w:p>
        </w:tc>
        <w:tc>
          <w:tcPr>
            <w:tcW w:type="dxa" w:w="3402"/>
          </w:tcPr>
          <w:p>
            <w:r>
              <w:t>30 min à 2 h</w:t>
            </w:r>
          </w:p>
        </w:tc>
      </w:tr>
    </w:tbl>
    <w:p/>
    <w:p>
      <w:r>
        <w:t>L'écart entre les deux vient d'un mécanisme de détection de changement : avant chaque clone, la version Delta de la table source est comparée à celle enregistrée lors du dernier backup réussi. Si elle est identique, la table est ignorée. Sur un environnement où peu de tables changent, la réduction est considérable — un cycle mesuré sur 18 tables inchangées est passé de 2 minutes à 6 secondes.</w:t>
      </w:r>
    </w:p>
    <w:p>
      <w:pPr>
        <w:pStyle w:val="Heading2"/>
        <w:jc w:val="left"/>
      </w:pPr>
      <w:r>
        <w:rPr>
          <w:color w:val="1F497D"/>
        </w:rPr>
        <w:t>5.3 Comportement en cas d'interruption</w:t>
      </w:r>
    </w:p>
    <w:p>
      <w:r>
        <w:t>Un dépassement du délai maximal du job n'est pas une perte de travail. Deux mécanismes distincts assurent la reprise, selon le moment de la relance.</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1F497D"/>
          </w:tcPr>
          <w:p>
            <w:r>
              <w:rPr>
                <w:b/>
                <w:color w:val="FFFFFF"/>
              </w:rPr>
              <w:t>Relance</w:t>
            </w:r>
          </w:p>
        </w:tc>
        <w:tc>
          <w:tcPr>
            <w:tcW w:type="dxa" w:w="4252"/>
            <w:shd w:val="clear" w:color="auto" w:fill="1F497D"/>
          </w:tcPr>
          <w:p>
            <w:r>
              <w:rPr>
                <w:b/>
                <w:color w:val="FFFFFF"/>
              </w:rPr>
              <w:t>Mécanisme</w:t>
            </w:r>
          </w:p>
        </w:tc>
        <w:tc>
          <w:tcPr>
            <w:tcW w:type="dxa" w:w="3118"/>
            <w:shd w:val="clear" w:color="auto" w:fill="1F497D"/>
          </w:tcPr>
          <w:p>
            <w:r>
              <w:rPr>
                <w:b/>
                <w:color w:val="FFFFFF"/>
              </w:rPr>
              <w:t>Effet</w:t>
            </w:r>
          </w:p>
        </w:tc>
      </w:tr>
      <w:tr>
        <w:tc>
          <w:tcPr>
            <w:tcW w:type="dxa" w:w="1701"/>
          </w:tcPr>
          <w:p>
            <w:r>
              <w:t>Le même jour</w:t>
            </w:r>
          </w:p>
        </w:tc>
        <w:tc>
          <w:tcPr>
            <w:tcW w:type="dxa" w:w="4252"/>
          </w:tcPr>
          <w:p>
            <w:r>
              <w:t>Checkpoint écrit toutes les 5 tables dans incremental/_checkpoints/{date}.json</w:t>
            </w:r>
          </w:p>
        </w:tc>
        <w:tc>
          <w:tcPr>
            <w:tcW w:type="dxa" w:w="3118"/>
          </w:tcPr>
          <w:p>
            <w:r>
              <w:t>Reprise à la table près</w:t>
            </w:r>
          </w:p>
        </w:tc>
      </w:tr>
      <w:tr>
        <w:tc>
          <w:tcPr>
            <w:tcW w:type="dxa" w:w="1701"/>
          </w:tcPr>
          <w:p>
            <w:r>
              <w:t>Un jour plus tard</w:t>
            </w:r>
          </w:p>
        </w:tc>
        <w:tc>
          <w:tcPr>
            <w:tcW w:type="dxa" w:w="4252"/>
          </w:tcPr>
          <w:p>
            <w:r>
              <w:t>Versions Delta déjà sauvegardées, enregistrées dans incremental/_last_versions.json</w:t>
            </w:r>
          </w:p>
        </w:tc>
        <w:tc>
          <w:tcPr>
            <w:tcW w:type="dxa" w:w="3118"/>
          </w:tcPr>
          <w:p>
            <w:r>
              <w:t>Les tables déjà traitées sont ignorées</w:t>
            </w:r>
          </w:p>
        </w:tc>
      </w:tr>
    </w:tbl>
    <w:p/>
    <w:p>
      <w:r>
        <w:t>Sur un environnement volumineux, un premier backup peut donc être étalé délibérément sur plusieurs nuits successives, sans jamais recloner ce qui est déjà sauvegardé.</w:t>
      </w:r>
    </w:p>
    <w:p>
      <w:pPr>
        <w:pStyle w:val="Heading3"/>
        <w:jc w:val="left"/>
      </w:pPr>
      <w:r>
        <w:rPr>
          <w:color w:val="1F497D"/>
        </w:rPr>
        <w:t>Forcer une reprise exacte</w:t>
      </w:r>
    </w:p>
    <w:p>
      <w:r>
        <w:t>Le checkpoint est indexé par date. Pour reprendre un run interrompu avec la précision de la table, relancer le job en renseignant la date de ce run plutôt que celle du jour, via « Run now with different parameters » :</w:t>
      </w:r>
    </w:p>
    <w:p>
      <w:pPr>
        <w:spacing w:before="40" w:after="40"/>
        <w:ind w:left="283"/>
        <w:shd w:val="clear" w:color="auto" w:fill="F0F0F0"/>
      </w:pPr>
      <w:r>
        <w:rPr>
          <w:rFonts w:ascii="Courier New" w:hAnsi="Courier New"/>
          <w:color w:val="1F497D"/>
          <w:sz w:val="18"/>
        </w:rPr>
        <w:t>backup_date = 2026-08-06      # la date du run interrompu</w:t>
      </w:r>
    </w:p>
    <w:p>
      <w:pPr>
        <w:ind w:left="283"/>
      </w:pPr>
      <w:r>
        <w:rPr>
          <w:i/>
          <w:color w:val="707070"/>
          <w:sz w:val="20"/>
        </w:rPr>
        <w:t>Note : laissé vide, ce paramètre vaut la date du jour, ce qui est le comportement normal d'une exécution planifiée.</w:t>
      </w:r>
    </w:p>
    <w:p>
      <w:pPr>
        <w:ind w:left="283"/>
      </w:pPr>
      <w:r>
        <w:rPr>
          <w:b/>
          <w:color w:val="C00000"/>
          <w:sz w:val="20"/>
        </w:rPr>
        <w:t>Attention : une archive mensuelle ne sert pas de point de départ à la sauvegarde quotidienne. Les deux écrivent dans des arborescences distinctes (snapshots/monthly/ et incremental/), et c'est cette indépendance qui protège l'archive d'une corruption de l'incrémental. Lancer un mensuel n'accélère donc pas le premier passage quotidien : seuls l'OPTIMIZE préalable (§3) et le dimensionnement du cluster (§5.1) agissent dessus.</w:t>
      </w:r>
    </w:p>
    <w:p>
      <w:pPr>
        <w:pStyle w:val="Heading2"/>
        <w:jc w:val="left"/>
      </w:pPr>
      <w:r>
        <w:rPr>
          <w:color w:val="1F497D"/>
        </w:rPr>
        <w:t>5.4 Lancer le premier backup</w:t>
      </w:r>
    </w:p>
    <w:p>
      <w:pPr>
        <w:spacing w:before="40" w:after="40"/>
        <w:ind w:left="283"/>
        <w:shd w:val="clear" w:color="auto" w:fill="F0F0F0"/>
      </w:pPr>
      <w:r>
        <w:rPr>
          <w:rFonts w:ascii="Courier New" w:hAnsi="Courier New"/>
          <w:color w:val="1F497D"/>
          <w:sz w:val="18"/>
        </w:rPr>
        <w:t>databricks bundle run dr_backup_daily --target prod --profile prod</w:t>
      </w:r>
    </w:p>
    <w:p>
      <w:r>
        <w:t>Ou depuis l'interface : menu Workflows, job dr-backup-daily, Run now.</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Paramètre</w:t>
            </w:r>
          </w:p>
        </w:tc>
        <w:tc>
          <w:tcPr>
            <w:tcW w:type="dxa" w:w="1984"/>
            <w:shd w:val="clear" w:color="auto" w:fill="1F497D"/>
          </w:tcPr>
          <w:p>
            <w:r>
              <w:rPr>
                <w:b/>
                <w:color w:val="FFFFFF"/>
              </w:rPr>
              <w:t>Défaut</w:t>
            </w:r>
          </w:p>
        </w:tc>
        <w:tc>
          <w:tcPr>
            <w:tcW w:type="dxa" w:w="4819"/>
            <w:shd w:val="clear" w:color="auto" w:fill="1F497D"/>
          </w:tcPr>
          <w:p>
            <w:r>
              <w:rPr>
                <w:b/>
                <w:color w:val="FFFFFF"/>
              </w:rPr>
              <w:t>Rôle</w:t>
            </w:r>
          </w:p>
        </w:tc>
      </w:tr>
      <w:tr>
        <w:tc>
          <w:tcPr>
            <w:tcW w:type="dxa" w:w="2268"/>
          </w:tcPr>
          <w:p>
            <w:r>
              <w:t>backup_root</w:t>
            </w:r>
          </w:p>
        </w:tc>
        <w:tc>
          <w:tcPr>
            <w:tcW w:type="dxa" w:w="1984"/>
          </w:tcPr>
          <w:p>
            <w:r>
              <w:t>valeur de databricks.yml</w:t>
            </w:r>
          </w:p>
        </w:tc>
        <w:tc>
          <w:tcPr>
            <w:tcW w:type="dxa" w:w="4819"/>
          </w:tcPr>
          <w:p>
            <w:r>
              <w:t>Racine de stockage du backup</w:t>
            </w:r>
          </w:p>
        </w:tc>
      </w:tr>
      <w:tr>
        <w:tc>
          <w:tcPr>
            <w:tcW w:type="dxa" w:w="2268"/>
          </w:tcPr>
          <w:p>
            <w:r>
              <w:t>retain_daily</w:t>
            </w:r>
          </w:p>
        </w:tc>
        <w:tc>
          <w:tcPr>
            <w:tcW w:type="dxa" w:w="1984"/>
          </w:tcPr>
          <w:p>
            <w:r>
              <w:t>30</w:t>
            </w:r>
          </w:p>
        </w:tc>
        <w:tc>
          <w:tcPr>
            <w:tcW w:type="dxa" w:w="4819"/>
          </w:tcPr>
          <w:p>
            <w:r>
              <w:t>Fenêtre de restauration point-in-time, en jours</w:t>
            </w:r>
          </w:p>
        </w:tc>
      </w:tr>
      <w:tr>
        <w:tc>
          <w:tcPr>
            <w:tcW w:type="dxa" w:w="2268"/>
          </w:tcPr>
          <w:p>
            <w:r>
              <w:t>retain_monthly</w:t>
            </w:r>
          </w:p>
        </w:tc>
        <w:tc>
          <w:tcPr>
            <w:tcW w:type="dxa" w:w="1984"/>
          </w:tcPr>
          <w:p>
            <w:r>
              <w:t>3</w:t>
            </w:r>
          </w:p>
        </w:tc>
        <w:tc>
          <w:tcPr>
            <w:tcW w:type="dxa" w:w="4819"/>
          </w:tcPr>
          <w:p>
            <w:r>
              <w:t>Nombre d'archives mensuelles conservées</w:t>
            </w:r>
          </w:p>
        </w:tc>
      </w:tr>
      <w:tr>
        <w:tc>
          <w:tcPr>
            <w:tcW w:type="dxa" w:w="2268"/>
          </w:tcPr>
          <w:p>
            <w:r>
              <w:t>max_parallel</w:t>
            </w:r>
          </w:p>
        </w:tc>
        <w:tc>
          <w:tcPr>
            <w:tcW w:type="dxa" w:w="1984"/>
          </w:tcPr>
          <w:p>
            <w:r>
              <w:t>8</w:t>
            </w:r>
          </w:p>
        </w:tc>
        <w:tc>
          <w:tcPr>
            <w:tcW w:type="dxa" w:w="4819"/>
          </w:tcPr>
          <w:p>
            <w:r>
              <w:t>Opérations simultanées : clones et VACUUM</w:t>
            </w:r>
          </w:p>
        </w:tc>
      </w:tr>
      <w:tr>
        <w:tc>
          <w:tcPr>
            <w:tcW w:type="dxa" w:w="2268"/>
          </w:tcPr>
          <w:p>
            <w:r>
              <w:t>vacuum_dow</w:t>
            </w:r>
          </w:p>
        </w:tc>
        <w:tc>
          <w:tcPr>
            <w:tcW w:type="dxa" w:w="1984"/>
          </w:tcPr>
          <w:p>
            <w:r>
              <w:t>7</w:t>
            </w:r>
          </w:p>
        </w:tc>
        <w:tc>
          <w:tcPr>
            <w:tcW w:type="dxa" w:w="4819"/>
          </w:tcPr>
          <w:p>
            <w:r>
              <w:t>Jour du VACUUM, 7 = dimanche (voir §6.3)</w:t>
            </w:r>
          </w:p>
        </w:tc>
      </w:tr>
      <w:tr>
        <w:tc>
          <w:tcPr>
            <w:tcW w:type="dxa" w:w="2268"/>
          </w:tcPr>
          <w:p>
            <w:r>
              <w:t>backup_date</w:t>
            </w:r>
          </w:p>
        </w:tc>
        <w:tc>
          <w:tcPr>
            <w:tcW w:type="dxa" w:w="1984"/>
          </w:tcPr>
          <w:p>
            <w:r>
              <w:t>vide</w:t>
            </w:r>
          </w:p>
        </w:tc>
        <w:tc>
          <w:tcPr>
            <w:tcW w:type="dxa" w:w="4819"/>
          </w:tcPr>
          <w:p>
            <w:r>
              <w:t>Vide = date du jour. À renseigner pour reprendre un run interrompu (voir §5.3)</w:t>
            </w:r>
          </w:p>
        </w:tc>
      </w:tr>
      <w:tr>
        <w:tc>
          <w:tcPr>
            <w:tcW w:type="dxa" w:w="2268"/>
          </w:tcPr>
          <w:p>
            <w:r>
              <w:t>dry_run</w:t>
            </w:r>
          </w:p>
        </w:tc>
        <w:tc>
          <w:tcPr>
            <w:tcW w:type="dxa" w:w="1984"/>
          </w:tcPr>
          <w:p>
            <w:r>
              <w:t>false</w:t>
            </w:r>
          </w:p>
        </w:tc>
        <w:tc>
          <w:tcPr>
            <w:tcW w:type="dxa" w:w="4819"/>
          </w:tcPr>
          <w:p>
            <w:r>
              <w:t>Simulation, aucune écriture ni suppression</w:t>
            </w:r>
          </w:p>
        </w:tc>
      </w:tr>
    </w:tbl>
    <w:p/>
    <w:p>
      <w:r>
        <w:br w:type="page"/>
      </w:r>
    </w:p>
    <w:p>
      <w:pPr>
        <w:pStyle w:val="Heading1"/>
        <w:jc w:val="left"/>
      </w:pPr>
      <w:r>
        <w:rPr>
          <w:color w:val="1F497D"/>
        </w:rPr>
        <w:t>6. Politique de rétention</w:t>
      </w:r>
    </w:p>
    <w:p>
      <w:pPr>
        <w:pStyle w:val="Heading2"/>
        <w:jc w:val="left"/>
      </w:pPr>
      <w:r>
        <w:rPr>
          <w:color w:val="1F497D"/>
        </w:rPr>
        <w:t>6.1 Niveaux configurés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1F497D"/>
          </w:tcPr>
          <w:p>
            <w:r>
              <w:rPr>
                <w:b/>
                <w:color w:val="FFFFFF"/>
              </w:rPr>
              <w:t>Niveau</w:t>
            </w:r>
          </w:p>
        </w:tc>
        <w:tc>
          <w:tcPr>
            <w:tcW w:type="dxa" w:w="2551"/>
            <w:shd w:val="clear" w:color="auto" w:fill="1F497D"/>
          </w:tcPr>
          <w:p>
            <w:r>
              <w:rPr>
                <w:b/>
                <w:color w:val="FFFFFF"/>
              </w:rPr>
              <w:t>Mécanisme</w:t>
            </w:r>
          </w:p>
        </w:tc>
        <w:tc>
          <w:tcPr>
            <w:tcW w:type="dxa" w:w="1984"/>
            <w:shd w:val="clear" w:color="auto" w:fill="1F497D"/>
          </w:tcPr>
          <w:p>
            <w:r>
              <w:rPr>
                <w:b/>
                <w:color w:val="FFFFFF"/>
              </w:rPr>
              <w:t>Rétention par défaut</w:t>
            </w:r>
          </w:p>
        </w:tc>
        <w:tc>
          <w:tcPr>
            <w:tcW w:type="dxa" w:w="2835"/>
            <w:shd w:val="clear" w:color="auto" w:fill="1F497D"/>
          </w:tcPr>
          <w:p>
            <w:r>
              <w:rPr>
                <w:b/>
                <w:color w:val="FFFFFF"/>
              </w:rPr>
              <w:t>Restauration possible</w:t>
            </w:r>
          </w:p>
        </w:tc>
      </w:tr>
      <w:tr>
        <w:tc>
          <w:tcPr>
            <w:tcW w:type="dxa" w:w="1701"/>
          </w:tcPr>
          <w:p>
            <w:r>
              <w:t>Quotidien</w:t>
            </w:r>
          </w:p>
        </w:tc>
        <w:tc>
          <w:tcPr>
            <w:tcW w:type="dxa" w:w="2551"/>
          </w:tcPr>
          <w:p>
            <w:r>
              <w:t>Historique Delta de incremental/</w:t>
            </w:r>
          </w:p>
        </w:tc>
        <w:tc>
          <w:tcPr>
            <w:tcW w:type="dxa" w:w="1984"/>
          </w:tcPr>
          <w:p>
            <w:r>
              <w:t>30 jours</w:t>
            </w:r>
          </w:p>
        </w:tc>
        <w:tc>
          <w:tcPr>
            <w:tcW w:type="dxa" w:w="2835"/>
          </w:tcPr>
          <w:p>
            <w:r>
              <w:t>N'importe quel instant des 30 derniers jours</w:t>
            </w:r>
          </w:p>
        </w:tc>
      </w:tr>
      <w:tr>
        <w:tc>
          <w:tcPr>
            <w:tcW w:type="dxa" w:w="1701"/>
          </w:tcPr>
          <w:p>
            <w:r>
              <w:t>Mensuel</w:t>
            </w:r>
          </w:p>
        </w:tc>
        <w:tc>
          <w:tcPr>
            <w:tcW w:type="dxa" w:w="2551"/>
          </w:tcPr>
          <w:p>
            <w:r>
              <w:t>DEEP CLONE vers snapshots/monthly/</w:t>
            </w:r>
          </w:p>
        </w:tc>
        <w:tc>
          <w:tcPr>
            <w:tcW w:type="dxa" w:w="1984"/>
          </w:tcPr>
          <w:p>
            <w:r>
              <w:t>3 mois</w:t>
            </w:r>
          </w:p>
        </w:tc>
        <w:tc>
          <w:tcPr>
            <w:tcW w:type="dxa" w:w="2835"/>
          </w:tcPr>
          <w:p>
            <w:r>
              <w:t>État du 1er du mois concerné</w:t>
            </w:r>
          </w:p>
        </w:tc>
      </w:tr>
    </w:tbl>
    <w:p/>
    <w:p>
      <w:pPr>
        <w:pStyle w:val="Heading2"/>
        <w:jc w:val="left"/>
      </w:pPr>
      <w:r>
        <w:rPr>
          <w:color w:val="1F497D"/>
        </w:rPr>
        <w:t>6.2 Pourquoi il n'y a pas de niveau hebdomadaire</w:t>
      </w:r>
    </w:p>
    <w:p>
      <w:r>
        <w:t>Un niveau hebdomadaire existait dans les versions antérieures, sous forme de SHALLOW CLONE. Unity Catalog restreint désormais cette opération aux tables managées par le catalog, ce qui exclut par construction les tables de backup, référencées par chemin de stockage. Le message d'erreur correspondant est :</w:t>
      </w:r>
    </w:p>
    <w:p>
      <w:pPr>
        <w:spacing w:before="40" w:after="40"/>
        <w:ind w:left="283"/>
        <w:shd w:val="clear" w:color="auto" w:fill="F0F0F0"/>
      </w:pPr>
      <w:r>
        <w:rPr>
          <w:rFonts w:ascii="Courier New" w:hAnsi="Courier New"/>
          <w:color w:val="1F497D"/>
          <w:sz w:val="18"/>
        </w:rPr>
        <w:t>CANNOT_SHALLOW_CLONE_NON_UC_MANAGED_TABLE_AS_SOURCE_OR_TARGET</w:t>
      </w:r>
    </w:p>
    <w:p>
      <w:r>
        <w:t>Le remplacer par un DEEP CLONE aurait représenté une copie complète chaque semaine, soit un coût de calcul du même ordre que l'archive mensuelle. Le niveau hebdomadaire a donc été supprimé et la rétention quotidienne portée de 15 à 30 jours pour compenser la granularité perdue. La couverture réelle de restauration est inchangée, voire meilleure.</w:t>
      </w:r>
    </w:p>
    <w:p>
      <w:pPr>
        <w:ind w:left="283"/>
      </w:pPr>
      <w:r>
        <w:rPr>
          <w:i/>
          <w:color w:val="707070"/>
          <w:sz w:val="20"/>
        </w:rPr>
        <w:t>Note : seul le niveau hebdomadaire était concerné. L'incrémental quotidien, l'archive mensuelle et la restauration reposent sur DEEP CLONE, non soumis à cette restriction.</w:t>
      </w:r>
    </w:p>
    <w:p>
      <w:pPr>
        <w:pStyle w:val="Heading2"/>
        <w:jc w:val="left"/>
      </w:pPr>
      <w:r>
        <w:rPr>
          <w:color w:val="1F497D"/>
        </w:rPr>
        <w:t>6.3 Purge effective des fichiers (VACUUM)</w:t>
      </w:r>
    </w:p>
    <w:p>
      <w:r>
        <w:t>Les propriétés de rétention Delta définissent un seuil de sécurité : elles empêchent la suppression de fichiers encore nécessaires, mais ne suppriment rien d'elles-mêmes. Sans commande VACUUM, le stockage croît indéfiniment. L'étape 6.5 du notebook de rétention exécute donc un VACUUM sur chaque table de incremental/.</w:t>
      </w:r>
    </w:p>
    <w:p>
      <w:r>
        <w:t>Le VACUUM est appelé sans clause RETAIN explicite, afin de toujours respecter le seuil configuré et de ne jamais raccourcir la fenêtre de restauration annoncée.</w:t>
      </w:r>
    </w:p>
    <w:p>
      <w:pPr>
        <w:pStyle w:val="Heading3"/>
        <w:jc w:val="left"/>
      </w:pPr>
      <w:r>
        <w:rPr>
          <w:color w:val="1F497D"/>
        </w:rPr>
        <w:t>Fréquence : hebdomadaire, et pourquoi</w:t>
      </w:r>
    </w:p>
    <w:p>
      <w:r>
        <w:t>Le VACUUM doit lister récursivement tous les fichiers de chaque table pour les comparer au journal des transactions. Ce coût est payé intégralement même lorsque rien n'est à supprimer. Mesure relevée en production avant ajustement :</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Mesure</w:t>
            </w:r>
          </w:p>
        </w:tc>
        <w:tc>
          <w:tcPr>
            <w:tcW w:type="dxa" w:w="5669"/>
            <w:shd w:val="clear" w:color="auto" w:fill="1F497D"/>
          </w:tcPr>
          <w:p>
            <w:r>
              <w:rPr>
                <w:b/>
                <w:color w:val="FFFFFF"/>
              </w:rPr>
              <w:t>Valeur</w:t>
            </w:r>
          </w:p>
        </w:tc>
      </w:tr>
      <w:tr>
        <w:tc>
          <w:tcPr>
            <w:tcW w:type="dxa" w:w="3402"/>
          </w:tcPr>
          <w:p>
            <w:r>
              <w:t>Tables traitées</w:t>
            </w:r>
          </w:p>
        </w:tc>
        <w:tc>
          <w:tcPr>
            <w:tcW w:type="dxa" w:w="5669"/>
          </w:tcPr>
          <w:p>
            <w:r>
              <w:t>2 398</w:t>
            </w:r>
          </w:p>
        </w:tc>
      </w:tr>
      <w:tr>
        <w:tc>
          <w:tcPr>
            <w:tcW w:type="dxa" w:w="3402"/>
          </w:tcPr>
          <w:p>
            <w:r>
              <w:t>Durée de l'étape</w:t>
            </w:r>
          </w:p>
        </w:tc>
        <w:tc>
          <w:tcPr>
            <w:tcW w:type="dxa" w:w="5669"/>
          </w:tcPr>
          <w:p>
            <w:r>
              <w:t>2 h 40, soit plus de la moitié du backup quotidien</w:t>
            </w:r>
          </w:p>
        </w:tc>
      </w:tr>
      <w:tr>
        <w:tc>
          <w:tcPr>
            <w:tcW w:type="dxa" w:w="3402"/>
          </w:tcPr>
          <w:p>
            <w:r>
              <w:t>Fichiers effectivement supprimés</w:t>
            </w:r>
          </w:p>
        </w:tc>
        <w:tc>
          <w:tcPr>
            <w:tcW w:type="dxa" w:w="5669"/>
          </w:tcPr>
          <w:p>
            <w:r>
              <w:t>0</w:t>
            </w:r>
          </w:p>
        </w:tc>
      </w:tr>
    </w:tbl>
    <w:p/>
    <w:p>
      <w:r>
        <w:t>Un VACUUM hebdomadaire purge exactement autant qu'un VACUUM quotidien : il rattrape plusieurs jours en une fois. La fréquence est donc réglée sur une exécution par semaine, et l'étape est parallélisée sur max_parallel.</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Paramètre</w:t>
            </w:r>
          </w:p>
        </w:tc>
        <w:tc>
          <w:tcPr>
            <w:tcW w:type="dxa" w:w="1417"/>
            <w:shd w:val="clear" w:color="auto" w:fill="1F497D"/>
          </w:tcPr>
          <w:p>
            <w:r>
              <w:rPr>
                <w:b/>
                <w:color w:val="FFFFFF"/>
              </w:rPr>
              <w:t>Défaut</w:t>
            </w:r>
          </w:p>
        </w:tc>
        <w:tc>
          <w:tcPr>
            <w:tcW w:type="dxa" w:w="5386"/>
            <w:shd w:val="clear" w:color="auto" w:fill="1F497D"/>
          </w:tcPr>
          <w:p>
            <w:r>
              <w:rPr>
                <w:b/>
                <w:color w:val="FFFFFF"/>
              </w:rPr>
              <w:t>Rôle</w:t>
            </w:r>
          </w:p>
        </w:tc>
      </w:tr>
      <w:tr>
        <w:tc>
          <w:tcPr>
            <w:tcW w:type="dxa" w:w="2268"/>
          </w:tcPr>
          <w:p>
            <w:r>
              <w:t>vacuum_dow</w:t>
            </w:r>
          </w:p>
        </w:tc>
        <w:tc>
          <w:tcPr>
            <w:tcW w:type="dxa" w:w="1417"/>
          </w:tcPr>
          <w:p>
            <w:r>
              <w:t>7</w:t>
            </w:r>
          </w:p>
        </w:tc>
        <w:tc>
          <w:tcPr>
            <w:tcW w:type="dxa" w:w="5386"/>
          </w:tcPr>
          <w:p>
            <w:r>
              <w:t>Jour d'exécution : 1 = lundi … 7 = dimanche. 0 = tous les jours</w:t>
            </w:r>
          </w:p>
        </w:tc>
      </w:tr>
      <w:tr>
        <w:tc>
          <w:tcPr>
            <w:tcW w:type="dxa" w:w="2268"/>
          </w:tcPr>
          <w:p>
            <w:r>
              <w:t>enable_vacuum</w:t>
            </w:r>
          </w:p>
        </w:tc>
        <w:tc>
          <w:tcPr>
            <w:tcW w:type="dxa" w:w="1417"/>
          </w:tcPr>
          <w:p>
            <w:r>
              <w:t>true</w:t>
            </w:r>
          </w:p>
        </w:tc>
        <w:tc>
          <w:tcPr>
            <w:tcW w:type="dxa" w:w="5386"/>
          </w:tcPr>
          <w:p>
            <w:r>
              <w:t>Désactivation complète. Vaut false dans le job mensuel, qui ne doit pas dupliquer le VACUUM du quotidien</w:t>
            </w:r>
          </w:p>
        </w:tc>
      </w:tr>
    </w:tbl>
    <w:p/>
    <w:p>
      <w:pPr>
        <w:ind w:left="283"/>
      </w:pPr>
      <w:r>
        <w:rPr>
          <w:b/>
          <w:color w:val="C00000"/>
          <w:sz w:val="20"/>
        </w:rPr>
        <w:t>Attention : ne pas chercher à restreindre le VACUUM aux seules tables modifiées dans la journée. Un fichier devient éligible à la suppression lorsqu'il dépasse le seuil de rétention, pas lorsque la table change : une table restée statique depuis 40 jours a des fichiers qui franchissent le seuil aujourd'hui sans qu'elle ait bougé. Ils ne seraient alors jamais purgés.</w:t>
      </w:r>
    </w:p>
    <w:p>
      <w:pPr>
        <w:ind w:left="283"/>
      </w:pPr>
      <w:r>
        <w:rPr>
          <w:i/>
          <w:color w:val="707070"/>
          <w:sz w:val="20"/>
        </w:rPr>
        <w:t>Note : les six autres nuits, l'étape affiche « VACUUM ignoré » suivi du jour planifié. C'est le comportement attendu, pas une étape manquante.</w:t>
      </w:r>
    </w:p>
    <w:p>
      <w:pPr>
        <w:ind w:left="283"/>
      </w:pPr>
      <w:r>
        <w:rPr>
          <w:b/>
          <w:color w:val="C00000"/>
          <w:sz w:val="20"/>
        </w:rPr>
        <w:t>Attention : lors des premières exécutions, le VACUUM rapporte 0 fichier supprimé. C'est le résultat attendu et non un dysfonctionnement : aucun fichier n'est encore sorti de la fenêtre de 30 jours. Des suppressions n'apparaîtront qu'après 30 jours de fonctionnement.</w:t>
      </w:r>
    </w:p>
    <w:p>
      <w:pPr>
        <w:pStyle w:val="Heading2"/>
        <w:jc w:val="left"/>
      </w:pPr>
      <w:r>
        <w:rPr>
          <w:color w:val="1F497D"/>
        </w:rPr>
        <w:t>6.4 Vérifier que la rétention est réellement appliquée</w:t>
      </w:r>
    </w:p>
    <w:p>
      <w:r>
        <w:t>Les propriétés de rétention sont posées sur chaque table de backup au moment du clone. Pour les contrôler :</w:t>
      </w:r>
    </w:p>
    <w:p>
      <w:pPr>
        <w:spacing w:before="40" w:after="40"/>
        <w:ind w:left="283"/>
        <w:shd w:val="clear" w:color="auto" w:fill="F0F0F0"/>
      </w:pPr>
      <w:r>
        <w:rPr>
          <w:rFonts w:ascii="Courier New" w:hAnsi="Courier New"/>
          <w:color w:val="1F497D"/>
          <w:sz w:val="18"/>
        </w:rPr>
        <w:t>DESCRIBE DETAIL delta.`abfss://uc-backup@stclientdrbackup.dfs.core.windows.net/</w:t>
        <w:br/>
        <w:t xml:space="preserve">  backup/incremental/&lt;catalog&gt;/&lt;schema&gt;/&lt;table&gt;`;</w:t>
      </w:r>
    </w:p>
    <w:p>
      <w:r>
        <w:t>Valeurs attendues pour retain_daily = 30 :</w:t>
      </w:r>
    </w:p>
    <w:tbl>
      <w:tblPr>
        <w:tblStyle w:val="TableGrid"/>
        <w:tblW w:type="auto" w:w="0"/>
        <w:jc w:val="left"/>
        <w:tblLook w:firstColumn="1" w:firstRow="1" w:lastColumn="0" w:lastRow="0" w:noHBand="0" w:noVBand="1" w:val="04A0"/>
      </w:tblPr>
      <w:tblGrid>
        <w:gridCol w:w="4320"/>
        <w:gridCol w:w="4320"/>
      </w:tblGrid>
      <w:tr>
        <w:tc>
          <w:tcPr>
            <w:tcW w:type="dxa" w:w="3969"/>
            <w:shd w:val="clear" w:color="auto" w:fill="1F497D"/>
          </w:tcPr>
          <w:p>
            <w:r>
              <w:rPr>
                <w:b/>
                <w:color w:val="FFFFFF"/>
              </w:rPr>
              <w:t>Propriété</w:t>
            </w:r>
          </w:p>
        </w:tc>
        <w:tc>
          <w:tcPr>
            <w:tcW w:type="dxa" w:w="5102"/>
            <w:shd w:val="clear" w:color="auto" w:fill="1F497D"/>
          </w:tcPr>
          <w:p>
            <w:r>
              <w:rPr>
                <w:b/>
                <w:color w:val="FFFFFF"/>
              </w:rPr>
              <w:t>Valeur attendue</w:t>
            </w:r>
          </w:p>
        </w:tc>
      </w:tr>
      <w:tr>
        <w:tc>
          <w:tcPr>
            <w:tcW w:type="dxa" w:w="3969"/>
          </w:tcPr>
          <w:p>
            <w:r>
              <w:t>delta.logRetentionDuration</w:t>
            </w:r>
          </w:p>
        </w:tc>
        <w:tc>
          <w:tcPr>
            <w:tcW w:type="dxa" w:w="5102"/>
          </w:tcPr>
          <w:p>
            <w:r>
              <w:t>interval 33 days</w:t>
            </w:r>
          </w:p>
        </w:tc>
      </w:tr>
      <w:tr>
        <w:tc>
          <w:tcPr>
            <w:tcW w:type="dxa" w:w="3969"/>
          </w:tcPr>
          <w:p>
            <w:r>
              <w:t>delta.deletedFileRetentionDuration</w:t>
            </w:r>
          </w:p>
        </w:tc>
        <w:tc>
          <w:tcPr>
            <w:tcW w:type="dxa" w:w="5102"/>
          </w:tcPr>
          <w:p>
            <w:r>
              <w:t>interval 32 days</w:t>
            </w:r>
          </w:p>
        </w:tc>
      </w:tr>
    </w:tbl>
    <w:p/>
    <w:p>
      <w:pPr>
        <w:ind w:left="283"/>
      </w:pPr>
      <w:r>
        <w:rPr>
          <w:i/>
          <w:color w:val="707070"/>
          <w:sz w:val="20"/>
        </w:rPr>
        <w:t>Note : Delta impose que la rétention du journal des transactions couvre au moins celle des fichiers de données, d'où le jour d'écart. Ces propriétés sont écrites lors du clone : une table ignorée parce qu'inchangée conserve les valeurs posées lors de son dernier clone effectif.</w:t>
      </w:r>
    </w:p>
    <w:p>
      <w:r>
        <w:br w:type="page"/>
      </w:r>
    </w:p>
    <w:p>
      <w:pPr>
        <w:pStyle w:val="Heading1"/>
        <w:jc w:val="left"/>
      </w:pPr>
      <w:r>
        <w:rPr>
          <w:color w:val="1F497D"/>
        </w:rPr>
        <w:t>7. Validation post-déploiement</w:t>
      </w:r>
    </w:p>
    <w:p>
      <w:r>
        <w:t>À exécuter après le premier backup, avant l'activation des planifications. Chaque point indique la sortie attendue dans les journaux d'exécution du job.</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val="clear" w:color="auto" w:fill="1F497D"/>
          </w:tcPr>
          <w:p>
            <w:r>
              <w:rPr>
                <w:b/>
                <w:color w:val="FFFFFF"/>
              </w:rPr>
              <w:t>#</w:t>
            </w:r>
          </w:p>
        </w:tc>
        <w:tc>
          <w:tcPr>
            <w:tcW w:type="dxa" w:w="2268"/>
            <w:shd w:val="clear" w:color="auto" w:fill="1F497D"/>
          </w:tcPr>
          <w:p>
            <w:r>
              <w:rPr>
                <w:b/>
                <w:color w:val="FFFFFF"/>
              </w:rPr>
              <w:t>Vérification</w:t>
            </w:r>
          </w:p>
        </w:tc>
        <w:tc>
          <w:tcPr>
            <w:tcW w:type="dxa" w:w="2551"/>
            <w:shd w:val="clear" w:color="auto" w:fill="1F497D"/>
          </w:tcPr>
          <w:p>
            <w:r>
              <w:rPr>
                <w:b/>
                <w:color w:val="FFFFFF"/>
              </w:rPr>
              <w:t>Où regarder</w:t>
            </w:r>
          </w:p>
        </w:tc>
        <w:tc>
          <w:tcPr>
            <w:tcW w:type="dxa" w:w="3685"/>
            <w:shd w:val="clear" w:color="auto" w:fill="1F497D"/>
          </w:tcPr>
          <w:p>
            <w:r>
              <w:rPr>
                <w:b/>
                <w:color w:val="FFFFFF"/>
              </w:rPr>
              <w:t>Sortie attendue</w:t>
            </w:r>
          </w:p>
        </w:tc>
      </w:tr>
      <w:tr>
        <w:tc>
          <w:tcPr>
            <w:tcW w:type="dxa" w:w="567"/>
          </w:tcPr>
          <w:p>
            <w:r>
              <w:t>1</w:t>
            </w:r>
          </w:p>
        </w:tc>
        <w:tc>
          <w:tcPr>
            <w:tcW w:type="dxa" w:w="2268"/>
          </w:tcPr>
          <w:p>
            <w:r>
              <w:t>Métadonnées UC exportées</w:t>
            </w:r>
          </w:p>
        </w:tc>
        <w:tc>
          <w:tcPr>
            <w:tcW w:type="dxa" w:w="2551"/>
          </w:tcPr>
          <w:p>
            <w:r>
              <w:t>Journal 01_uc_metadata</w:t>
            </w:r>
          </w:p>
        </w:tc>
        <w:tc>
          <w:tcPr>
            <w:tcW w:type="dxa" w:w="3685"/>
          </w:tcPr>
          <w:p>
            <w:r>
              <w:t>Nombre de catalogs, schémas et tables cohérent avec l'audit du §3</w:t>
            </w:r>
          </w:p>
        </w:tc>
      </w:tr>
      <w:tr>
        <w:tc>
          <w:tcPr>
            <w:tcW w:type="dxa" w:w="567"/>
          </w:tcPr>
          <w:p>
            <w:r>
              <w:t>2</w:t>
            </w:r>
          </w:p>
        </w:tc>
        <w:tc>
          <w:tcPr>
            <w:tcW w:type="dxa" w:w="2268"/>
          </w:tcPr>
          <w:p>
            <w:r>
              <w:t>Tables clonées sans erreur</w:t>
            </w:r>
          </w:p>
        </w:tc>
        <w:tc>
          <w:tcPr>
            <w:tcW w:type="dxa" w:w="2551"/>
          </w:tcPr>
          <w:p>
            <w:r>
              <w:t>Journal 02_data_clone</w:t>
            </w:r>
          </w:p>
        </w:tc>
        <w:tc>
          <w:tcPr>
            <w:tcW w:type="dxa" w:w="3685"/>
          </w:tcPr>
          <w:p>
            <w:r>
              <w:t>Aucune ligne ERREUR ; les tables ignorées le sont pour un motif explicite (vue, format non clonable)</w:t>
            </w:r>
          </w:p>
        </w:tc>
      </w:tr>
      <w:tr>
        <w:tc>
          <w:tcPr>
            <w:tcW w:type="dxa" w:w="567"/>
          </w:tcPr>
          <w:p>
            <w:r>
              <w:t>3</w:t>
            </w:r>
          </w:p>
        </w:tc>
        <w:tc>
          <w:tcPr>
            <w:tcW w:type="dxa" w:w="2268"/>
          </w:tcPr>
          <w:p>
            <w:r>
              <w:t>Détection de changement active</w:t>
            </w:r>
          </w:p>
        </w:tc>
        <w:tc>
          <w:tcPr>
            <w:tcW w:type="dxa" w:w="2551"/>
          </w:tcPr>
          <w:p>
            <w:r>
              <w:t>Journal 02_data_clone, second run</w:t>
            </w:r>
          </w:p>
        </w:tc>
        <w:tc>
          <w:tcPr>
            <w:tcW w:type="dxa" w:w="3685"/>
          </w:tcPr>
          <w:p>
            <w:r>
              <w:t>Mention d'une version Delta inchangée sur les tables non modifiées</w:t>
            </w:r>
          </w:p>
        </w:tc>
      </w:tr>
      <w:tr>
        <w:tc>
          <w:tcPr>
            <w:tcW w:type="dxa" w:w="567"/>
          </w:tcPr>
          <w:p>
            <w:r>
              <w:t>4</w:t>
            </w:r>
          </w:p>
        </w:tc>
        <w:tc>
          <w:tcPr>
            <w:tcW w:type="dxa" w:w="2268"/>
          </w:tcPr>
          <w:p>
            <w:r>
              <w:t>Reprise sur interruption</w:t>
            </w:r>
          </w:p>
        </w:tc>
        <w:tc>
          <w:tcPr>
            <w:tcW w:type="dxa" w:w="2551"/>
          </w:tcPr>
          <w:p>
            <w:r>
              <w:t>Stockage, incremental/_checkpoints/</w:t>
            </w:r>
          </w:p>
        </w:tc>
        <w:tc>
          <w:tcPr>
            <w:tcW w:type="dxa" w:w="3685"/>
          </w:tcPr>
          <w:p>
            <w:r>
              <w:t>Un fichier daté du jour, contenant les tables déjà traitées</w:t>
            </w:r>
          </w:p>
        </w:tc>
      </w:tr>
      <w:tr>
        <w:tc>
          <w:tcPr>
            <w:tcW w:type="dxa" w:w="567"/>
          </w:tcPr>
          <w:p>
            <w:r>
              <w:t>5</w:t>
            </w:r>
          </w:p>
        </w:tc>
        <w:tc>
          <w:tcPr>
            <w:tcW w:type="dxa" w:w="2268"/>
          </w:tcPr>
          <w:p>
            <w:r>
              <w:t>Configuration du workspace</w:t>
            </w:r>
          </w:p>
        </w:tc>
        <w:tc>
          <w:tcPr>
            <w:tcW w:type="dxa" w:w="2551"/>
          </w:tcPr>
          <w:p>
            <w:r>
              <w:t>Journal 00_orchestrator</w:t>
            </w:r>
          </w:p>
        </w:tc>
        <w:tc>
          <w:tcPr>
            <w:tcW w:type="dxa" w:w="3685"/>
          </w:tcPr>
          <w:p>
            <w:r>
              <w:t>Nombre de jobs et de notebooks chargés dans le manifeste, sans avertissement</w:t>
            </w:r>
          </w:p>
        </w:tc>
      </w:tr>
      <w:tr>
        <w:tc>
          <w:tcPr>
            <w:tcW w:type="dxa" w:w="567"/>
          </w:tcPr>
          <w:p>
            <w:r>
              <w:t>6</w:t>
            </w:r>
          </w:p>
        </w:tc>
        <w:tc>
          <w:tcPr>
            <w:tcW w:type="dxa" w:w="2268"/>
          </w:tcPr>
          <w:p>
            <w:r>
              <w:t>Rétention effectivement posée</w:t>
            </w:r>
          </w:p>
        </w:tc>
        <w:tc>
          <w:tcPr>
            <w:tcW w:type="dxa" w:w="2551"/>
          </w:tcPr>
          <w:p>
            <w:r>
              <w:t>Requête DESCRIBE DETAIL du §6.4</w:t>
            </w:r>
          </w:p>
        </w:tc>
        <w:tc>
          <w:tcPr>
            <w:tcW w:type="dxa" w:w="3685"/>
          </w:tcPr>
          <w:p>
            <w:r>
              <w:t>interval 33 days et interval 32 days</w:t>
            </w:r>
          </w:p>
        </w:tc>
      </w:tr>
      <w:tr>
        <w:tc>
          <w:tcPr>
            <w:tcW w:type="dxa" w:w="567"/>
          </w:tcPr>
          <w:p>
            <w:r>
              <w:t>7</w:t>
            </w:r>
          </w:p>
        </w:tc>
        <w:tc>
          <w:tcPr>
            <w:tcW w:type="dxa" w:w="2268"/>
          </w:tcPr>
          <w:p>
            <w:r>
              <w:t>VACUUM exécuté</w:t>
            </w:r>
          </w:p>
        </w:tc>
        <w:tc>
          <w:tcPr>
            <w:tcW w:type="dxa" w:w="2551"/>
          </w:tcPr>
          <w:p>
            <w:r>
              <w:t>Journal 06_retention, étape 6.5</w:t>
            </w:r>
          </w:p>
        </w:tc>
        <w:tc>
          <w:tcPr>
            <w:tcW w:type="dxa" w:w="3685"/>
          </w:tcPr>
          <w:p>
            <w:r>
              <w:t>Le jour planifié : une ligne par table, 0 fichier supprimé est normal avant 30 jours. Les autres jours : « VACUUM ignoré »</w:t>
            </w:r>
          </w:p>
        </w:tc>
      </w:tr>
      <w:tr>
        <w:tc>
          <w:tcPr>
            <w:tcW w:type="dxa" w:w="567"/>
          </w:tcPr>
          <w:p>
            <w:r>
              <w:t>8</w:t>
            </w:r>
          </w:p>
        </w:tc>
        <w:tc>
          <w:tcPr>
            <w:tcW w:type="dxa" w:w="2268"/>
          </w:tcPr>
          <w:p>
            <w:r>
              <w:t>Restauration fonctionnelle</w:t>
            </w:r>
          </w:p>
        </w:tc>
        <w:tc>
          <w:tcPr>
            <w:tcW w:type="dxa" w:w="2551"/>
          </w:tcPr>
          <w:p>
            <w:r>
              <w:t>Notebook 07_restore en simulation</w:t>
            </w:r>
          </w:p>
        </w:tc>
        <w:tc>
          <w:tcPr>
            <w:tcW w:type="dxa" w:w="3685"/>
          </w:tcPr>
          <w:p>
            <w:r>
              <w:t>Les commandes de restauration sont affichées, aucune n'est exécutée</w:t>
            </w:r>
          </w:p>
        </w:tc>
      </w:tr>
    </w:tbl>
    <w:p/>
    <w:p>
      <w:pPr>
        <w:pStyle w:val="Heading2"/>
        <w:jc w:val="left"/>
      </w:pPr>
      <w:r>
        <w:rPr>
          <w:color w:val="1F497D"/>
        </w:rPr>
        <w:t>7.1 À ajuster selon les résultats</w:t>
      </w:r>
    </w:p>
    <w:p>
      <w:r>
        <w:t>Le paramètre max_parallel vaut 8 par défaut. Cette valeur a été calibrée sur une configuration mono-nœud ; sur un cluster multi-worker, le parallélisme utile provient des exécuteurs Spark et non des threads du pilote. Si le premier run montre un pilote saturé alors que les workers sont peu chargés, réduire max_parallel à 4 et comparer.</w:t>
      </w:r>
    </w:p>
    <w:p>
      <w:r>
        <w:br w:type="page"/>
      </w:r>
    </w:p>
    <w:p>
      <w:pPr>
        <w:pStyle w:val="Heading1"/>
        <w:jc w:val="left"/>
      </w:pPr>
      <w:r>
        <w:rPr>
          <w:color w:val="1F497D"/>
        </w:rPr>
        <w:t>8. Activer les planifications</w:t>
      </w:r>
    </w:p>
    <w:p>
      <w:r>
        <w:t>À faire uniquement après validation du §7. Éditer databricks.yml, puis redéployer.</w:t>
      </w:r>
    </w:p>
    <w:p>
      <w:pPr>
        <w:spacing w:before="40" w:after="40"/>
        <w:ind w:left="283"/>
        <w:shd w:val="clear" w:color="auto" w:fill="F0F0F0"/>
      </w:pPr>
      <w:r>
        <w:rPr>
          <w:rFonts w:ascii="Courier New" w:hAnsi="Courier New"/>
          <w:color w:val="1F497D"/>
          <w:sz w:val="18"/>
        </w:rPr>
        <w:t>schedule:</w:t>
        <w:br/>
        <w:t xml:space="preserve">  quartz_cron_expression: "0 0 1 * * ?"</w:t>
        <w:br/>
        <w:t xml:space="preserve">  timezone_id: UTC</w:t>
        <w:br/>
        <w:t xml:space="preserve">  pause_status: UNPAUSED      # etait PAUSED</w:t>
      </w:r>
    </w:p>
    <w:p>
      <w:pPr>
        <w:spacing w:before="40" w:after="40"/>
        <w:ind w:left="283"/>
        <w:shd w:val="clear" w:color="auto" w:fill="F0F0F0"/>
      </w:pPr>
      <w:r>
        <w:rPr>
          <w:rFonts w:ascii="Courier New" w:hAnsi="Courier New"/>
          <w:color w:val="1F497D"/>
          <w:sz w:val="18"/>
        </w:rPr>
        <w:t>databricks bundle deploy --target prod --profile prod</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3969"/>
            <w:shd w:val="clear" w:color="auto" w:fill="1F497D"/>
          </w:tcPr>
          <w:p>
            <w:r>
              <w:rPr>
                <w:b/>
                <w:color w:val="FFFFFF"/>
              </w:rPr>
              <w:t>Planification par défaut</w:t>
            </w:r>
          </w:p>
        </w:tc>
        <w:tc>
          <w:tcPr>
            <w:tcW w:type="dxa" w:w="2551"/>
            <w:shd w:val="clear" w:color="auto" w:fill="1F497D"/>
          </w:tcPr>
          <w:p>
            <w:r>
              <w:rPr>
                <w:b/>
                <w:color w:val="FFFFFF"/>
              </w:rPr>
              <w:t>Délai maximal</w:t>
            </w:r>
          </w:p>
        </w:tc>
      </w:tr>
      <w:tr>
        <w:tc>
          <w:tcPr>
            <w:tcW w:type="dxa" w:w="2551"/>
          </w:tcPr>
          <w:p>
            <w:r>
              <w:t>dr-backup-daily</w:t>
            </w:r>
          </w:p>
        </w:tc>
        <w:tc>
          <w:tcPr>
            <w:tcW w:type="dxa" w:w="3969"/>
          </w:tcPr>
          <w:p>
            <w:r>
              <w:t>Chaque nuit à 01:00 UTC</w:t>
            </w:r>
          </w:p>
        </w:tc>
        <w:tc>
          <w:tcPr>
            <w:tcW w:type="dxa" w:w="2551"/>
          </w:tcPr>
          <w:p>
            <w:r>
              <w:t>8 heures</w:t>
            </w:r>
          </w:p>
        </w:tc>
      </w:tr>
      <w:tr>
        <w:tc>
          <w:tcPr>
            <w:tcW w:type="dxa" w:w="2551"/>
          </w:tcPr>
          <w:p>
            <w:r>
              <w:t>dr-backup-monthly</w:t>
            </w:r>
          </w:p>
        </w:tc>
        <w:tc>
          <w:tcPr>
            <w:tcW w:type="dxa" w:w="3969"/>
          </w:tcPr>
          <w:p>
            <w:r>
              <w:t>Le 1er de chaque mois à 02:00 UTC</w:t>
            </w:r>
          </w:p>
        </w:tc>
        <w:tc>
          <w:tcPr>
            <w:tcW w:type="dxa" w:w="2551"/>
          </w:tcPr>
          <w:p>
            <w:r>
              <w:t>24 heures</w:t>
            </w:r>
          </w:p>
        </w:tc>
      </w:tr>
    </w:tbl>
    <w:p/>
    <w:p>
      <w:pPr>
        <w:ind w:left="283"/>
      </w:pPr>
      <w:r>
        <w:rPr>
          <w:i/>
          <w:color w:val="707070"/>
          <w:sz w:val="20"/>
        </w:rPr>
        <w:t>Note : les notifications d'échec sont envoyées à l'adresse configurée dans notification_email. Il est recommandé de provoquer volontairement un échec une fois (par exemple avec un chemin de stockage erroné) pour vérifier que l'alerte arrive bien, plutôt que de le découvrir lors d'un incident réel.</w:t>
      </w:r>
    </w:p>
    <w:p>
      <w:r>
        <w:br w:type="page"/>
      </w:r>
    </w:p>
    <w:p>
      <w:pPr>
        <w:pStyle w:val="Heading1"/>
        <w:jc w:val="left"/>
      </w:pPr>
      <w:r>
        <w:rPr>
          <w:color w:val="1F497D"/>
        </w:rPr>
        <w:t>9. Restauration</w:t>
      </w:r>
    </w:p>
    <w:p>
      <w:r>
        <w:t>La procédure détaillée figure dans le document DR Backup — Guide de restauration, livré avec cette solution. Ce chapitre en donne la vue d'ensemble.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Notebook</w:t>
            </w:r>
          </w:p>
        </w:tc>
        <w:tc>
          <w:tcPr>
            <w:tcW w:type="dxa" w:w="2835"/>
            <w:shd w:val="clear" w:color="auto" w:fill="1F497D"/>
          </w:tcPr>
          <w:p>
            <w:r>
              <w:rPr>
                <w:b/>
                <w:color w:val="FFFFFF"/>
              </w:rPr>
              <w:t>Restaure</w:t>
            </w:r>
          </w:p>
        </w:tc>
        <w:tc>
          <w:tcPr>
            <w:tcW w:type="dxa" w:w="3685"/>
            <w:shd w:val="clear" w:color="auto" w:fill="1F497D"/>
          </w:tcPr>
          <w:p>
            <w:r>
              <w:rPr>
                <w:b/>
                <w:color w:val="FFFFFF"/>
              </w:rPr>
              <w:t>Portée</w:t>
            </w:r>
          </w:p>
        </w:tc>
      </w:tr>
      <w:tr>
        <w:tc>
          <w:tcPr>
            <w:tcW w:type="dxa" w:w="2551"/>
          </w:tcPr>
          <w:p>
            <w:r>
              <w:t>07_restore</w:t>
            </w:r>
          </w:p>
        </w:tc>
        <w:tc>
          <w:tcPr>
            <w:tcW w:type="dxa" w:w="2835"/>
          </w:tcPr>
          <w:p>
            <w:r>
              <w:t>Tables Delta</w:t>
            </w:r>
          </w:p>
        </w:tc>
        <w:tc>
          <w:tcPr>
            <w:tcW w:type="dxa" w:w="3685"/>
          </w:tcPr>
          <w:p>
            <w:r>
              <w:t>Une table, un schéma, un catalog, ou l'intégralité</w:t>
            </w:r>
          </w:p>
        </w:tc>
      </w:tr>
      <w:tr>
        <w:tc>
          <w:tcPr>
            <w:tcW w:type="dxa" w:w="2551"/>
          </w:tcPr>
          <w:p>
            <w:r>
              <w:t>08_restore_workspace</w:t>
            </w:r>
          </w:p>
        </w:tc>
        <w:tc>
          <w:tcPr>
            <w:tcW w:type="dxa" w:w="2835"/>
          </w:tcPr>
          <w:p>
            <w:r>
              <w:t>Notebooks, fichiers et dashboards, ACL, repos Git</w:t>
            </w:r>
          </w:p>
        </w:tc>
        <w:tc>
          <w:tcPr>
            <w:tcW w:type="dxa" w:w="3685"/>
          </w:tcPr>
          <w:p>
            <w:r>
              <w:t>Sélectif par chemin</w:t>
            </w:r>
          </w:p>
        </w:tc>
      </w:tr>
      <w:tr>
        <w:tc>
          <w:tcPr>
            <w:tcW w:type="dxa" w:w="2551"/>
          </w:tcPr>
          <w:p>
            <w:r>
              <w:t>09_restore_jobs</w:t>
            </w:r>
          </w:p>
        </w:tc>
        <w:tc>
          <w:tcPr>
            <w:tcW w:type="dxa" w:w="2835"/>
          </w:tcPr>
          <w:p>
            <w:r>
              <w:t>Définitions de jobs</w:t>
            </w:r>
          </w:p>
        </w:tc>
        <w:tc>
          <w:tcPr>
            <w:tcW w:type="dxa" w:w="3685"/>
          </w:tcPr>
          <w:p>
            <w:r>
              <w:t>Tous les jobs sauvegardés</w:t>
            </w:r>
          </w:p>
        </w:tc>
      </w:tr>
      <w:tr>
        <w:tc>
          <w:tcPr>
            <w:tcW w:type="dxa" w:w="2551"/>
          </w:tcPr>
          <w:p>
            <w:r>
              <w:t>10_restore_orchestrator</w:t>
            </w:r>
          </w:p>
        </w:tc>
        <w:tc>
          <w:tcPr>
            <w:tcW w:type="dxa" w:w="2835"/>
          </w:tcPr>
          <w:p>
            <w:r>
              <w:t>Plusieurs périmètres à la fois</w:t>
            </w:r>
          </w:p>
        </w:tc>
        <w:tc>
          <w:tcPr>
            <w:tcW w:type="dxa" w:w="3685"/>
          </w:tcPr>
          <w:p>
            <w:r>
              <w:t>Orchestration de 07, 08, 09, 11, 12, 13 et 15</w:t>
            </w:r>
          </w:p>
        </w:tc>
      </w:tr>
      <w:tr>
        <w:tc>
          <w:tcPr>
            <w:tcW w:type="dxa" w:w="2551"/>
          </w:tcPr>
          <w:p>
            <w:r>
              <w:t>11_restore_grants</w:t>
            </w:r>
          </w:p>
        </w:tc>
        <w:tc>
          <w:tcPr>
            <w:tcW w:type="dxa" w:w="2835"/>
          </w:tcPr>
          <w:p>
            <w:r>
              <w:t>Permissions Unity Catalog</w:t>
            </w:r>
          </w:p>
        </w:tc>
        <w:tc>
          <w:tcPr>
            <w:tcW w:type="dxa" w:w="3685"/>
          </w:tcPr>
          <w:p>
            <w:r>
              <w:t>Catalog, schéma, table, volume, fonction</w:t>
            </w:r>
          </w:p>
        </w:tc>
      </w:tr>
      <w:tr>
        <w:tc>
          <w:tcPr>
            <w:tcW w:type="dxa" w:w="2551"/>
          </w:tcPr>
          <w:p>
            <w:r>
              <w:t>12_restore_uc_objects</w:t>
            </w:r>
          </w:p>
        </w:tc>
        <w:tc>
          <w:tcPr>
            <w:tcW w:type="dxa" w:w="2835"/>
          </w:tcPr>
          <w:p>
            <w:r>
              <w:t>Volumes et fonctions Unity Catalog</w:t>
            </w:r>
          </w:p>
        </w:tc>
        <w:tc>
          <w:tcPr>
            <w:tcW w:type="dxa" w:w="3685"/>
          </w:tcPr>
          <w:p>
            <w:r>
              <w:t>Tous, ou filtrés par catalog</w:t>
            </w:r>
          </w:p>
        </w:tc>
      </w:tr>
      <w:tr>
        <w:tc>
          <w:tcPr>
            <w:tcW w:type="dxa" w:w="2551"/>
          </w:tcPr>
          <w:p>
            <w:r>
              <w:t>13_restore_pipelines</w:t>
            </w:r>
          </w:p>
        </w:tc>
        <w:tc>
          <w:tcPr>
            <w:tcW w:type="dxa" w:w="2835"/>
          </w:tcPr>
          <w:p>
            <w:r>
              <w:t>Pipelines (définition, permissions)</w:t>
            </w:r>
          </w:p>
        </w:tc>
        <w:tc>
          <w:tcPr>
            <w:tcW w:type="dxa" w:w="3685"/>
          </w:tcPr>
          <w:p>
            <w:r>
              <w:t>Tous, ou filtrés par nom ; après les notebooks</w:t>
            </w:r>
          </w:p>
        </w:tc>
      </w:tr>
      <w:tr>
        <w:tc>
          <w:tcPr>
            <w:tcW w:type="dxa" w:w="2551"/>
          </w:tcPr>
          <w:p>
            <w:r>
              <w:t>15_restore_volume_files</w:t>
            </w:r>
          </w:p>
        </w:tc>
        <w:tc>
          <w:tcPr>
            <w:tcW w:type="dxa" w:w="2835"/>
          </w:tcPr>
          <w:p>
            <w:r>
              <w:t>Fichiers des volumes managés</w:t>
            </w:r>
          </w:p>
        </w:tc>
        <w:tc>
          <w:tcPr>
            <w:tcW w:type="dxa" w:w="3685"/>
          </w:tcPr>
          <w:p>
            <w:r>
              <w:t>Un volume ou tous, à une date donnée ; après 12</w:t>
            </w:r>
          </w:p>
        </w:tc>
      </w:tr>
    </w:tbl>
    <w:p/>
    <w:p>
      <w:pPr>
        <w:ind w:left="283"/>
      </w:pPr>
      <w:r>
        <w:rPr>
          <w:b/>
          <w:color w:val="C00000"/>
          <w:sz w:val="20"/>
        </w:rPr>
        <w:t>Attention : tous ces notebooks démarrent en mode simulation (dry_run à true) et n'écrivent rien tant que ce paramètre n'est pas explicitement passé à false. Toujours exécuter une simulation d'abord et lire les commandes proposées.</w:t>
      </w:r>
    </w:p>
    <w:p>
      <w:pPr>
        <w:pStyle w:val="Heading2"/>
        <w:jc w:val="left"/>
      </w:pPr>
      <w:r>
        <w:rPr>
          <w:color w:val="1F497D"/>
        </w:rPr>
        <w:t>9.1 Restauration ponctuelle sans notebook</w:t>
      </w:r>
    </w:p>
    <w:p>
      <w:r>
        <w:t>Pour une table isolée, la restauration peut se faire directement en SQL :</w:t>
      </w:r>
    </w:p>
    <w:p>
      <w:pPr>
        <w:spacing w:before="40" w:after="40"/>
        <w:ind w:left="283"/>
        <w:shd w:val="clear" w:color="auto" w:fill="F0F0F0"/>
      </w:pPr>
      <w:r>
        <w:rPr>
          <w:rFonts w:ascii="Courier New" w:hAnsi="Courier New"/>
          <w:color w:val="1F497D"/>
          <w:sz w:val="18"/>
        </w:rPr>
        <w:t>-- Depuis l'incremental, a une date donnee</w:t>
        <w:br/>
        <w:t>CREATE OR REPLACE TABLE `catalog`.`schema`.`table`</w:t>
        <w:br/>
        <w:t>DEEP CLONE delta.`abfss://.../backup/incremental/catalog/schema/table`</w:t>
        <w:br/>
        <w:t xml:space="preserve">  TIMESTAMP AS OF '2026-07-15';</w:t>
        <w:br/>
        <w:br/>
        <w:t>-- Depuis une archive mensuelle</w:t>
        <w:br/>
        <w:t>CREATE OR REPLACE TABLE `catalog`.`schema`.`table`</w:t>
        <w:br/>
        <w:t>DEEP CLONE delta.`abfss://.../backup/snapshots/monthly/2026-07/catalog/schema/table`;</w:t>
      </w:r>
    </w:p>
    <w:p>
      <w:pPr>
        <w:ind w:left="283"/>
      </w:pPr>
      <w:r>
        <w:rPr>
          <w:i/>
          <w:color w:val="707070"/>
          <w:sz w:val="20"/>
        </w:rPr>
        <w:t>Note : restaurer vers un catalog temporaire plutôt que d'écraser la table de production permet de comparer avant de basculer. Les notebooks de restauration créent automatiquement le schéma cible s'il n'existe pas.</w:t>
      </w:r>
    </w:p>
    <w:p>
      <w:pPr>
        <w:pStyle w:val="Heading2"/>
        <w:jc w:val="left"/>
      </w:pPr>
      <w:r>
        <w:rPr>
          <w:color w:val="1F497D"/>
        </w:rPr>
        <w:t>9.2 Ordre de restauration avec l'infrastructure as code</w:t>
      </w:r>
    </w:p>
    <w:p>
      <w:r>
        <w:t>Le backup reconstitue l'état réel du metastore, y compris des objets que l'infrastructure as code (Terraform, bundle) sait aussi recréer. Le code reste la source de vérité : il passe en premier, le backup complète.</w:t>
      </w:r>
    </w:p>
    <w:p>
      <w:pPr>
        <w:pStyle w:val="ListNumber"/>
      </w:pPr>
      <w:r>
        <w:t>IaC : storage credentials, external locations, connexions, catalogs, volumes, fonctions, pipelines, et grants s'ils sont en code.</w:t>
      </w:r>
    </w:p>
    <w:p>
      <w:pPr>
        <w:pStyle w:val="ListNumber"/>
      </w:pPr>
      <w:r>
        <w:t>Données : tables Delta (scope tables).</w:t>
      </w:r>
    </w:p>
    <w:p>
      <w:pPr>
        <w:pStyle w:val="ListNumber"/>
      </w:pPr>
      <w:r>
        <w:t>Compléments : volumes et fonctions créés hors code (scope uc_objects, sans effet sur les objets déjà recréés), puis permissions (scope grants, ou scripts/restore_uc.py --only-grants).</w:t>
      </w:r>
    </w:p>
    <w:p>
      <w:pPr>
        <w:ind w:left="283"/>
      </w:pPr>
      <w:r>
        <w:rPr>
          <w:b/>
          <w:color w:val="C00000"/>
          <w:sz w:val="20"/>
        </w:rPr>
        <w:t>Attention : ne pas inverser : un objet recréé par le backup avant l'apply Terraform n'est pas dans son state, et l'apply échoue en « already exists ». Si les grants sont gérés en Terraform de façon autoritaire (databricks_grants), ne pas rejouer ceux du backup sur ces objets.</w:t>
      </w:r>
    </w:p>
    <w:p>
      <w:r>
        <w:br w:type="page"/>
      </w:r>
    </w:p>
    <w:p>
      <w:pPr>
        <w:pStyle w:val="Heading1"/>
        <w:jc w:val="left"/>
      </w:pPr>
      <w:r>
        <w:rPr>
          <w:color w:val="1F497D"/>
        </w:rPr>
        <w:t>10. Checklist de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497D"/>
          </w:tcPr>
          <w:p>
            <w:r>
              <w:rPr>
                <w:b/>
                <w:color w:val="FFFFFF"/>
              </w:rPr>
              <w:t>Fait</w:t>
            </w:r>
          </w:p>
        </w:tc>
        <w:tc>
          <w:tcPr>
            <w:tcW w:type="dxa" w:w="6236"/>
            <w:shd w:val="clear" w:color="auto" w:fill="1F497D"/>
          </w:tcPr>
          <w:p>
            <w:r>
              <w:rPr>
                <w:b/>
                <w:color w:val="FFFFFF"/>
              </w:rPr>
              <w:t>Étape</w:t>
            </w:r>
          </w:p>
        </w:tc>
        <w:tc>
          <w:tcPr>
            <w:tcW w:type="dxa" w:w="1984"/>
            <w:shd w:val="clear" w:color="auto" w:fill="1F497D"/>
          </w:tcPr>
          <w:p>
            <w:r>
              <w:rPr>
                <w:b/>
                <w:color w:val="FFFFFF"/>
              </w:rPr>
              <w:t>Section</w:t>
            </w:r>
          </w:p>
        </w:tc>
      </w:tr>
      <w:tr>
        <w:tc>
          <w:tcPr>
            <w:tcW w:type="dxa" w:w="850"/>
          </w:tcPr>
          <w:p>
            <w:r/>
          </w:p>
        </w:tc>
        <w:tc>
          <w:tcPr>
            <w:tcW w:type="dxa" w:w="6236"/>
          </w:tcPr>
          <w:p>
            <w:r>
              <w:t>Compte de stockage et container créés</w:t>
            </w:r>
          </w:p>
        </w:tc>
        <w:tc>
          <w:tcPr>
            <w:tcW w:type="dxa" w:w="1984"/>
          </w:tcPr>
          <w:p>
            <w:r>
              <w:t>2.2</w:t>
            </w:r>
          </w:p>
        </w:tc>
      </w:tr>
      <w:tr>
        <w:tc>
          <w:tcPr>
            <w:tcW w:type="dxa" w:w="850"/>
          </w:tcPr>
          <w:p>
            <w:r/>
          </w:p>
        </w:tc>
        <w:tc>
          <w:tcPr>
            <w:tcW w:type="dxa" w:w="6236"/>
          </w:tcPr>
          <w:p>
            <w:r>
              <w:t>Storage Credential créé et rôle IAM attribué</w:t>
            </w:r>
          </w:p>
        </w:tc>
        <w:tc>
          <w:tcPr>
            <w:tcW w:type="dxa" w:w="1984"/>
          </w:tcPr>
          <w:p>
            <w:r>
              <w:t>2.3</w:t>
            </w:r>
          </w:p>
        </w:tc>
      </w:tr>
      <w:tr>
        <w:tc>
          <w:tcPr>
            <w:tcW w:type="dxa" w:w="850"/>
          </w:tcPr>
          <w:p>
            <w:r/>
          </w:p>
        </w:tc>
        <w:tc>
          <w:tcPr>
            <w:tcW w:type="dxa" w:w="6236"/>
          </w:tcPr>
          <w:p>
            <w:r>
              <w:t>External Location créée et accès vérifié</w:t>
            </w:r>
          </w:p>
        </w:tc>
        <w:tc>
          <w:tcPr>
            <w:tcW w:type="dxa" w:w="1984"/>
          </w:tcPr>
          <w:p>
            <w:r>
              <w:t>2.4</w:t>
            </w:r>
          </w:p>
        </w:tc>
      </w:tr>
      <w:tr>
        <w:tc>
          <w:tcPr>
            <w:tcW w:type="dxa" w:w="850"/>
          </w:tcPr>
          <w:p>
            <w:r/>
          </w:p>
        </w:tc>
        <w:tc>
          <w:tcPr>
            <w:tcW w:type="dxa" w:w="6236"/>
          </w:tcPr>
          <w:p>
            <w:r>
              <w:t>GRANT accordés sur l'External Location et les catalogs</w:t>
            </w:r>
          </w:p>
        </w:tc>
        <w:tc>
          <w:tcPr>
            <w:tcW w:type="dxa" w:w="1984"/>
          </w:tcPr>
          <w:p>
            <w:r>
              <w:t>2.5</w:t>
            </w:r>
          </w:p>
        </w:tc>
      </w:tr>
      <w:tr>
        <w:tc>
          <w:tcPr>
            <w:tcW w:type="dxa" w:w="850"/>
          </w:tcPr>
          <w:p>
            <w:r/>
          </w:p>
        </w:tc>
        <w:tc>
          <w:tcPr>
            <w:tcW w:type="dxa" w:w="6236"/>
          </w:tcPr>
          <w:p>
            <w:r>
              <w:t>Service Principal créé et déclaré dans Databricks</w:t>
            </w:r>
          </w:p>
        </w:tc>
        <w:tc>
          <w:tcPr>
            <w:tcW w:type="dxa" w:w="1984"/>
          </w:tcPr>
          <w:p>
            <w:r>
              <w:t>2.6</w:t>
            </w:r>
          </w:p>
        </w:tc>
      </w:tr>
      <w:tr>
        <w:tc>
          <w:tcPr>
            <w:tcW w:type="dxa" w:w="850"/>
          </w:tcPr>
          <w:p>
            <w:r/>
          </w:p>
        </w:tc>
        <w:tc>
          <w:tcPr>
            <w:tcW w:type="dxa" w:w="6236"/>
          </w:tcPr>
          <w:p>
            <w:r>
              <w:t>CLI Databricks installée, version 0.2xx ou supérieure</w:t>
            </w:r>
          </w:p>
        </w:tc>
        <w:tc>
          <w:tcPr>
            <w:tcW w:type="dxa" w:w="1984"/>
          </w:tcPr>
          <w:p>
            <w:r>
              <w:t>2.7</w:t>
            </w:r>
          </w:p>
        </w:tc>
      </w:tr>
      <w:tr>
        <w:tc>
          <w:tcPr>
            <w:tcW w:type="dxa" w:w="850"/>
          </w:tcPr>
          <w:p>
            <w:r/>
          </w:p>
        </w:tc>
        <w:tc>
          <w:tcPr>
            <w:tcW w:type="dxa" w:w="6236"/>
          </w:tcPr>
          <w:p>
            <w:r>
              <w:t>Audit exécuté, tables à optimiser identifiées</w:t>
            </w:r>
          </w:p>
        </w:tc>
        <w:tc>
          <w:tcPr>
            <w:tcW w:type="dxa" w:w="1984"/>
          </w:tcPr>
          <w:p>
            <w:r>
              <w:t>3.1</w:t>
            </w:r>
          </w:p>
        </w:tc>
      </w:tr>
      <w:tr>
        <w:tc>
          <w:tcPr>
            <w:tcW w:type="dxa" w:w="850"/>
          </w:tcPr>
          <w:p>
            <w:r/>
          </w:p>
        </w:tc>
        <w:tc>
          <w:tcPr>
            <w:tcW w:type="dxa" w:w="6236"/>
          </w:tcPr>
          <w:p>
            <w:r>
              <w:t>OPTIMIZE réalisé sur les tables signalées</w:t>
            </w:r>
          </w:p>
        </w:tc>
        <w:tc>
          <w:tcPr>
            <w:tcW w:type="dxa" w:w="1984"/>
          </w:tcPr>
          <w:p>
            <w:r>
              <w:t>3.3</w:t>
            </w:r>
          </w:p>
        </w:tc>
      </w:tr>
      <w:tr>
        <w:tc>
          <w:tcPr>
            <w:tcW w:type="dxa" w:w="850"/>
          </w:tcPr>
          <w:p>
            <w:r/>
          </w:p>
        </w:tc>
        <w:tc>
          <w:tcPr>
            <w:tcW w:type="dxa" w:w="6236"/>
          </w:tcPr>
          <w:p>
            <w:r>
              <w:t>databricks.yml adapté à l'environnement</w:t>
            </w:r>
          </w:p>
        </w:tc>
        <w:tc>
          <w:tcPr>
            <w:tcW w:type="dxa" w:w="1984"/>
          </w:tcPr>
          <w:p>
            <w:r>
              <w:t>4.2</w:t>
            </w:r>
          </w:p>
        </w:tc>
      </w:tr>
      <w:tr>
        <w:tc>
          <w:tcPr>
            <w:tcW w:type="dxa" w:w="850"/>
          </w:tcPr>
          <w:p>
            <w:r/>
          </w:p>
        </w:tc>
        <w:tc>
          <w:tcPr>
            <w:tcW w:type="dxa" w:w="6236"/>
          </w:tcPr>
          <w:p>
            <w:r>
              <w:t>Profil CLI configuré et connexion vérifiée</w:t>
            </w:r>
          </w:p>
        </w:tc>
        <w:tc>
          <w:tcPr>
            <w:tcW w:type="dxa" w:w="1984"/>
          </w:tcPr>
          <w:p>
            <w:r>
              <w:t>4.3</w:t>
            </w:r>
          </w:p>
        </w:tc>
      </w:tr>
      <w:tr>
        <w:tc>
          <w:tcPr>
            <w:tcW w:type="dxa" w:w="850"/>
          </w:tcPr>
          <w:p>
            <w:r/>
          </w:p>
        </w:tc>
        <w:tc>
          <w:tcPr>
            <w:tcW w:type="dxa" w:w="6236"/>
          </w:tcPr>
          <w:p>
            <w:r>
              <w:t>Test de connectivité de bout en bout réussi</w:t>
            </w:r>
          </w:p>
        </w:tc>
        <w:tc>
          <w:tcPr>
            <w:tcW w:type="dxa" w:w="1984"/>
          </w:tcPr>
          <w:p>
            <w:r>
              <w:t>4.4</w:t>
            </w:r>
          </w:p>
        </w:tc>
      </w:tr>
      <w:tr>
        <w:tc>
          <w:tcPr>
            <w:tcW w:type="dxa" w:w="850"/>
          </w:tcPr>
          <w:p>
            <w:r/>
          </w:p>
        </w:tc>
        <w:tc>
          <w:tcPr>
            <w:tcW w:type="dxa" w:w="6236"/>
          </w:tcPr>
          <w:p>
            <w:r>
              <w:t>Bundle déployé, deux jobs visibles dans Workflows</w:t>
            </w:r>
          </w:p>
        </w:tc>
        <w:tc>
          <w:tcPr>
            <w:tcW w:type="dxa" w:w="1984"/>
          </w:tcPr>
          <w:p>
            <w:r>
              <w:t>4.5</w:t>
            </w:r>
          </w:p>
        </w:tc>
      </w:tr>
      <w:tr>
        <w:tc>
          <w:tcPr>
            <w:tcW w:type="dxa" w:w="850"/>
          </w:tcPr>
          <w:p>
            <w:r/>
          </w:p>
        </w:tc>
        <w:tc>
          <w:tcPr>
            <w:tcW w:type="dxa" w:w="6236"/>
          </w:tcPr>
          <w:p>
            <w:r>
              <w:t>Cluster dimensionné selon le nombre de tables</w:t>
            </w:r>
          </w:p>
        </w:tc>
        <w:tc>
          <w:tcPr>
            <w:tcW w:type="dxa" w:w="1984"/>
          </w:tcPr>
          <w:p>
            <w:r>
              <w:t>5.1</w:t>
            </w:r>
          </w:p>
        </w:tc>
      </w:tr>
      <w:tr>
        <w:tc>
          <w:tcPr>
            <w:tcW w:type="dxa" w:w="850"/>
          </w:tcPr>
          <w:p>
            <w:r/>
          </w:p>
        </w:tc>
        <w:tc>
          <w:tcPr>
            <w:tcW w:type="dxa" w:w="6236"/>
          </w:tcPr>
          <w:p>
            <w:r>
              <w:t>Premier backup exécuté manuellement</w:t>
            </w:r>
          </w:p>
        </w:tc>
        <w:tc>
          <w:tcPr>
            <w:tcW w:type="dxa" w:w="1984"/>
          </w:tcPr>
          <w:p>
            <w:r>
              <w:t>5.4</w:t>
            </w:r>
          </w:p>
        </w:tc>
      </w:tr>
      <w:tr>
        <w:tc>
          <w:tcPr>
            <w:tcW w:type="dxa" w:w="850"/>
          </w:tcPr>
          <w:p>
            <w:r/>
          </w:p>
        </w:tc>
        <w:tc>
          <w:tcPr>
            <w:tcW w:type="dxa" w:w="6236"/>
          </w:tcPr>
          <w:p>
            <w:r>
              <w:t>Les 8 points de validation sont vérifiés</w:t>
            </w:r>
          </w:p>
        </w:tc>
        <w:tc>
          <w:tcPr>
            <w:tcW w:type="dxa" w:w="1984"/>
          </w:tcPr>
          <w:p>
            <w:r>
              <w:t>7</w:t>
            </w:r>
          </w:p>
        </w:tc>
      </w:tr>
      <w:tr>
        <w:tc>
          <w:tcPr>
            <w:tcW w:type="dxa" w:w="850"/>
          </w:tcPr>
          <w:p>
            <w:r/>
          </w:p>
        </w:tc>
        <w:tc>
          <w:tcPr>
            <w:tcW w:type="dxa" w:w="6236"/>
          </w:tcPr>
          <w:p>
            <w:r>
              <w:t>Alerte d'échec testée volontairement</w:t>
            </w:r>
          </w:p>
        </w:tc>
        <w:tc>
          <w:tcPr>
            <w:tcW w:type="dxa" w:w="1984"/>
          </w:tcPr>
          <w:p>
            <w:r>
              <w:t>8</w:t>
            </w:r>
          </w:p>
        </w:tc>
      </w:tr>
      <w:tr>
        <w:tc>
          <w:tcPr>
            <w:tcW w:type="dxa" w:w="850"/>
          </w:tcPr>
          <w:p>
            <w:r/>
          </w:p>
        </w:tc>
        <w:tc>
          <w:tcPr>
            <w:tcW w:type="dxa" w:w="6236"/>
          </w:tcPr>
          <w:p>
            <w:r>
              <w:t>Restauration testée en simulation</w:t>
            </w:r>
          </w:p>
        </w:tc>
        <w:tc>
          <w:tcPr>
            <w:tcW w:type="dxa" w:w="1984"/>
          </w:tcPr>
          <w:p>
            <w:r>
              <w:t>9</w:t>
            </w:r>
          </w:p>
        </w:tc>
      </w:tr>
      <w:tr>
        <w:tc>
          <w:tcPr>
            <w:tcW w:type="dxa" w:w="850"/>
          </w:tcPr>
          <w:p>
            <w:r/>
          </w:p>
        </w:tc>
        <w:tc>
          <w:tcPr>
            <w:tcW w:type="dxa" w:w="6236"/>
          </w:tcPr>
          <w:p>
            <w:r>
              <w:t>Planifications activées</w:t>
            </w:r>
          </w:p>
        </w:tc>
        <w:tc>
          <w:tcPr>
            <w:tcW w:type="dxa" w:w="1984"/>
          </w:tcPr>
          <w:p>
            <w:r>
              <w:t>8</w:t>
            </w:r>
          </w:p>
        </w:tc>
      </w:tr>
    </w:tbl>
    <w:p/>
    <w:p>
      <w:r>
        <w:br w:type="page"/>
      </w:r>
    </w:p>
    <w:p>
      <w:pPr>
        <w:pStyle w:val="Heading1"/>
        <w:jc w:val="left"/>
      </w:pPr>
      <w:r>
        <w:rPr>
          <w:color w:val="1F497D"/>
        </w:rPr>
        <w:t>Annexe A — Dépannage</w:t>
      </w:r>
    </w:p>
    <w:p>
      <w:r>
        <w:t>Les erreurs suivantes ont toutes été rencontrées lors de déploiements réels. Elles sont documentées avec leur message exact pour permettre une recherche directe.</w:t>
      </w:r>
    </w:p>
    <w:p>
      <w:pPr>
        <w:pStyle w:val="Heading2"/>
        <w:jc w:val="left"/>
      </w:pPr>
      <w:r>
        <w:rPr>
          <w:color w:val="1F497D"/>
        </w:rPr>
        <w:t>A.1 bundle deploy échoue sur registry.terraform.io</w:t>
      </w:r>
    </w:p>
    <w:p>
      <w:pPr>
        <w:spacing w:before="40" w:after="40"/>
        <w:ind w:left="283"/>
        <w:shd w:val="clear" w:color="auto" w:fill="F0F0F0"/>
      </w:pPr>
      <w:r>
        <w:rPr>
          <w:rFonts w:ascii="Courier New" w:hAnsi="Courier New"/>
          <w:color w:val="1F497D"/>
          <w:sz w:val="18"/>
        </w:rPr>
        <w:t>Error: terraform init: could not connect to registry.terraform.io</w:t>
      </w:r>
    </w:p>
    <w:p>
      <w:r>
        <w:t>La CLI télécharge un fournisseur Terraform lors du premier déploiement. Un proxy ou un pare-feu d'entreprise peut bloquer cet accès, y compris lorsque le même hôte répond correctement à un curl : le client Terraform n'utilise pas nécessairement la même configuration de proxy que le système.</w:t>
      </w:r>
    </w:p>
    <w:p>
      <w:r>
        <w:t>Contournement, si le déblocage réseau n'est pas immédiat : importer les notebooks directement, sans passer par Terraform.</w:t>
      </w:r>
    </w:p>
    <w:p>
      <w:pPr>
        <w:spacing w:before="40" w:after="40"/>
        <w:ind w:left="283"/>
        <w:shd w:val="clear" w:color="auto" w:fill="F0F0F0"/>
      </w:pPr>
      <w:r>
        <w:rPr>
          <w:rFonts w:ascii="Courier New" w:hAnsi="Courier New"/>
          <w:color w:val="1F497D"/>
          <w:sz w:val="18"/>
        </w:rPr>
        <w:t>databricks workspace import /Workspace/Shared/dr-backup/notebooks/02_data_clone \</w:t>
        <w:br/>
        <w:t xml:space="preserve">  --file notebooks/02_data_clone.py --language PYTHON \</w:t>
        <w:br/>
        <w:t xml:space="preserve">  --format SOURCE --overwrite --profile prod</w:t>
      </w:r>
    </w:p>
    <w:p>
      <w:pPr>
        <w:ind w:left="283"/>
      </w:pPr>
      <w:r>
        <w:rPr>
          <w:i/>
          <w:color w:val="707070"/>
          <w:sz w:val="20"/>
        </w:rPr>
        <w:t>Note : sous Git Bash pour Windows, préfixer la commande par MSYS_NO_PATHCONV=1, sans quoi le chemin /Workspace/... est réécrit en chemin Windows local et l'import échoue.</w:t>
      </w:r>
    </w:p>
    <w:p>
      <w:pPr>
        <w:ind w:left="283"/>
      </w:pPr>
      <w:r>
        <w:rPr>
          <w:b/>
          <w:color w:val="C00000"/>
          <w:sz w:val="20"/>
        </w:rPr>
        <w:t>Attention : ce contournement pousse le code mais ne crée pas les jobs. Il permet de corriger un notebook sur un déploiement existant ; il ne remplace pas un bundle deploy initial.</w:t>
      </w:r>
    </w:p>
    <w:p>
      <w:pPr>
        <w:pStyle w:val="Heading2"/>
        <w:jc w:val="left"/>
      </w:pPr>
      <w:r>
        <w:rPr>
          <w:color w:val="1F497D"/>
        </w:rPr>
        <w:t>A.2 Erreur 403 lors de l'utilisation d'un token personnel</w:t>
      </w:r>
    </w:p>
    <w:p>
      <w:pPr>
        <w:spacing w:before="40" w:after="40"/>
        <w:ind w:left="283"/>
        <w:shd w:val="clear" w:color="auto" w:fill="F0F0F0"/>
      </w:pPr>
      <w:r>
        <w:rPr>
          <w:rFonts w:ascii="Courier New" w:hAnsi="Courier New"/>
          <w:color w:val="1F497D"/>
          <w:sz w:val="18"/>
        </w:rPr>
        <w:t>Error: 403 Forbidden — insufficient scope: all-apis</w:t>
      </w:r>
    </w:p>
    <w:p>
      <w:r>
        <w:t>Un token d'accès personnel créé avec une restriction de périmètre ne couvre pas l'ensemble des API nécessaires au déploiement. Recréer le token sans restriction de périmètre, ou utiliser un Service Principal (§2.6).</w:t>
      </w:r>
    </w:p>
    <w:p>
      <w:pPr>
        <w:pStyle w:val="Heading2"/>
        <w:jc w:val="left"/>
      </w:pPr>
      <w:r>
        <w:rPr>
          <w:color w:val="1F497D"/>
        </w:rPr>
        <w:t>A.3 URL de stockage renseignée à la place de l'URL du workspace</w:t>
      </w:r>
    </w:p>
    <w:p>
      <w:r>
        <w:t>Erreur fréquente lors de la configuration de la CLI. Le champ host attend l'URL du workspace Databricks.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Champ</w:t>
            </w:r>
          </w:p>
        </w:tc>
        <w:tc>
          <w:tcPr>
            <w:tcW w:type="dxa" w:w="6236"/>
            <w:shd w:val="clear" w:color="auto" w:fill="1F497D"/>
          </w:tcPr>
          <w:p>
            <w:r>
              <w:rPr>
                <w:b/>
                <w:color w:val="FFFFFF"/>
              </w:rPr>
              <w:t>Valeur attendue</w:t>
            </w:r>
          </w:p>
        </w:tc>
      </w:tr>
      <w:tr>
        <w:tc>
          <w:tcPr>
            <w:tcW w:type="dxa" w:w="2835"/>
          </w:tcPr>
          <w:p>
            <w:r>
              <w:t>host (profil CLI)</w:t>
            </w:r>
          </w:p>
        </w:tc>
        <w:tc>
          <w:tcPr>
            <w:tcW w:type="dxa" w:w="6236"/>
          </w:tcPr>
          <w:p>
            <w:r>
              <w:t>https://adb-&lt;id&gt;.&lt;n&gt;.azuredatabricks.net</w:t>
            </w:r>
          </w:p>
        </w:tc>
      </w:tr>
      <w:tr>
        <w:tc>
          <w:tcPr>
            <w:tcW w:type="dxa" w:w="2835"/>
          </w:tcPr>
          <w:p>
            <w:r>
              <w:t>backup_root (databricks.yml)</w:t>
            </w:r>
          </w:p>
        </w:tc>
        <w:tc>
          <w:tcPr>
            <w:tcW w:type="dxa" w:w="6236"/>
          </w:tcPr>
          <w:p>
            <w:r>
              <w:t>abfss://&lt;container&gt;@&lt;compte&gt;.dfs.core.windows.net/backup</w:t>
            </w:r>
          </w:p>
        </w:tc>
      </w:tr>
    </w:tbl>
    <w:p/>
    <w:p>
      <w:pPr>
        <w:pStyle w:val="Heading2"/>
        <w:jc w:val="left"/>
      </w:pPr>
      <w:r>
        <w:rPr>
          <w:color w:val="1F497D"/>
        </w:rPr>
        <w:t>A.4 SCHEMA_NOT_FOUND lors d'une restauration</w:t>
      </w:r>
    </w:p>
    <w:p>
      <w:pPr>
        <w:spacing w:before="40" w:after="40"/>
        <w:ind w:left="283"/>
        <w:shd w:val="clear" w:color="auto" w:fill="F0F0F0"/>
      </w:pPr>
      <w:r>
        <w:rPr>
          <w:rFonts w:ascii="Courier New" w:hAnsi="Courier New"/>
          <w:color w:val="1F497D"/>
          <w:sz w:val="18"/>
        </w:rPr>
        <w:t>[SCHEMA_NOT_FOUND] The schema `&lt;catalog&gt;`.`&lt;schema&gt;` cannot be found</w:t>
      </w:r>
    </w:p>
    <w:p>
      <w:r>
        <w:t>Se produit lors d'une restauration vers un catalog neuf : un DEEP CLONE ne crée pas le schéma cible. Les notebooks de restauration exécutent désormais un CREATE SCHEMA IF NOT EXISTS au préalable. En cas de restauration manuelle en SQL, créer le schéma avant le clone.</w:t>
      </w:r>
    </w:p>
    <w:p>
      <w:pPr>
        <w:pStyle w:val="Heading2"/>
        <w:jc w:val="left"/>
      </w:pPr>
      <w:r>
        <w:rPr>
          <w:color w:val="1F497D"/>
        </w:rPr>
        <w:t>A.5 Échec d'écriture vers l'External Location</w:t>
      </w:r>
    </w:p>
    <w:p>
      <w:r>
        <w:t>Trois causes possibles, à vérifier dans cet ordre :</w:t>
      </w:r>
    </w:p>
    <w:p>
      <w:pPr>
        <w:pStyle w:val="ListNumber"/>
      </w:pPr>
      <w:r>
        <w:t>Le cluster n'est pas en mode d'accès Dédié (Single User). C'est la cause la plus fréquente : le passage d'identité vers Unity Catalog n'existe pas en mode Standard.</w:t>
      </w:r>
    </w:p>
    <w:p>
      <w:pPr>
        <w:pStyle w:val="ListNumber"/>
      </w:pPr>
      <w:r>
        <w:t>Les GRANT du §2.5 n'ont pas été accordés au principal qui exécute le job.</w:t>
      </w:r>
    </w:p>
    <w:p>
      <w:pPr>
        <w:pStyle w:val="ListNumber"/>
      </w:pPr>
      <w:r>
        <w:t>Le rôle IAM sur le compte de stockage n'est pas encore propagé. Attendre 10 minutes et réessayer.</w:t>
      </w:r>
    </w:p>
    <w:p>
      <w:pPr>
        <w:pStyle w:val="Heading2"/>
        <w:jc w:val="left"/>
      </w:pPr>
      <w:r>
        <w:rPr>
          <w:color w:val="1F497D"/>
        </w:rPr>
        <w:t>A.6 Une table est absente du backup sans message d'erreur</w:t>
      </w:r>
    </w:p>
    <w:p>
      <w:r>
        <w:t>Comportement attendu dans les cas suivants :</w:t>
      </w:r>
    </w:p>
    <w:p>
      <w:pPr>
        <w:pStyle w:val="ListBullet"/>
      </w:pPr>
      <w:r>
        <w:t>Vue, vue matérialisée ou Streaming Table : non clonable par DEEP CLONE</w:t>
      </w:r>
    </w:p>
    <w:p>
      <w:pPr>
        <w:pStyle w:val="ListBullet"/>
      </w:pPr>
      <w:r>
        <w:t>Table dans un format autre que Delta</w:t>
      </w:r>
    </w:p>
    <w:p>
      <w:pPr>
        <w:pStyle w:val="ListBullet"/>
      </w:pPr>
      <w:r>
        <w:t>Catalog auquel le principal du job n'a pas accès en lecture</w:t>
      </w:r>
    </w:p>
    <w:p>
      <w:pPr>
        <w:pStyle w:val="ListBullet"/>
      </w:pPr>
      <w:r>
        <w:t>Catalog exclu par conception : hive_metastore, system, samples, information_schema</w:t>
      </w:r>
    </w:p>
    <w:p>
      <w:pPr>
        <w:pStyle w:val="ListBullet"/>
      </w:pPr>
      <w:r>
        <w:t>Catalog fédéré ou Delta Sharing : exclu par conception, signalé par une ligne [SKIP] dans 01_uc_metadata</w:t>
      </w:r>
    </w:p>
    <w:p>
      <w:r>
        <w:t>Le point 3 est le seul réellement problématique et le seul silencieux. C'est la raison pour laquelle le point 1 de la validation du §7 consiste à recouper le nombre de tables sauvegardées avec celui relevé lors de l'audit.</w:t>
      </w:r>
    </w:p>
    <w:p>
      <w:pPr>
        <w:pStyle w:val="Heading2"/>
        <w:jc w:val="left"/>
      </w:pPr>
      <w:r>
        <w:rPr>
          <w:color w:val="1F497D"/>
        </w:rPr>
        <w:t>A.7 Erreur 401 à l'authentification du Service Principal</w:t>
      </w:r>
    </w:p>
    <w:p>
      <w:pPr>
        <w:spacing w:before="40" w:after="40"/>
        <w:ind w:left="283"/>
        <w:shd w:val="clear" w:color="auto" w:fill="F0F0F0"/>
      </w:pPr>
      <w:r>
        <w:rPr>
          <w:rFonts w:ascii="Courier New" w:hAnsi="Courier New"/>
          <w:color w:val="1F497D"/>
          <w:sz w:val="18"/>
        </w:rPr>
        <w:t>Error: 401 Unauthorized</w:t>
      </w:r>
    </w:p>
    <w:p>
      <w:r>
        <w:t>Cause la plus fréquente : le secret renseigné ne correspond pas au type de champ utilisé. Un Service Principal peut détenir deux secrets de nature différente, qui ne se configurent pas avec les mêmes clés.</w:t>
      </w:r>
    </w:p>
    <w:tbl>
      <w:tblPr>
        <w:tblStyle w:val="TableGrid"/>
        <w:tblW w:type="auto" w:w="0"/>
        <w:jc w:val="left"/>
        <w:tblLook w:firstColumn="1" w:firstRow="1" w:lastColumn="0" w:lastRow="0" w:noHBand="0" w:noVBand="1" w:val="04A0"/>
      </w:tblPr>
      <w:tblGrid>
        <w:gridCol w:w="4320"/>
        <w:gridCol w:w="4320"/>
      </w:tblGrid>
      <w:tr>
        <w:tc>
          <w:tcPr>
            <w:tcW w:type="dxa" w:w="4535"/>
            <w:shd w:val="clear" w:color="auto" w:fill="1F497D"/>
          </w:tcPr>
          <w:p>
            <w:r>
              <w:rPr>
                <w:b/>
                <w:color w:val="FFFFFF"/>
              </w:rPr>
              <w:t>Origine du secret</w:t>
            </w:r>
          </w:p>
        </w:tc>
        <w:tc>
          <w:tcPr>
            <w:tcW w:type="dxa" w:w="4535"/>
            <w:shd w:val="clear" w:color="auto" w:fill="1F497D"/>
          </w:tcPr>
          <w:p>
            <w:r>
              <w:rPr>
                <w:b/>
                <w:color w:val="FFFFFF"/>
              </w:rPr>
              <w:t>Champs à utiliser</w:t>
            </w:r>
          </w:p>
        </w:tc>
      </w:tr>
      <w:tr>
        <w:tc>
          <w:tcPr>
            <w:tcW w:type="dxa" w:w="4535"/>
          </w:tcPr>
          <w:p>
            <w:r>
              <w:t>Généré dans Databricks (console de compte, onglet Secrets)</w:t>
            </w:r>
          </w:p>
        </w:tc>
        <w:tc>
          <w:tcPr>
            <w:tcW w:type="dxa" w:w="4535"/>
          </w:tcPr>
          <w:p>
            <w:r>
              <w:t>client_id, client_secret</w:t>
            </w:r>
          </w:p>
        </w:tc>
      </w:tr>
      <w:tr>
        <w:tc>
          <w:tcPr>
            <w:tcW w:type="dxa" w:w="4535"/>
          </w:tcPr>
          <w:p>
            <w:r>
              <w:t>Généré dans Microsoft Entra ID (App registration)</w:t>
            </w:r>
          </w:p>
        </w:tc>
        <w:tc>
          <w:tcPr>
            <w:tcW w:type="dxa" w:w="4535"/>
          </w:tcPr>
          <w:p>
            <w:r>
              <w:t>azure_client_id, azure_client_secret, azure_tenant_id</w:t>
            </w:r>
          </w:p>
        </w:tc>
      </w:tr>
    </w:tbl>
    <w:p/>
    <w:p>
      <w:r>
        <w:t>Autres causes, à vérifier ensuite :</w:t>
      </w:r>
    </w:p>
    <w:p>
      <w:pPr>
        <w:pStyle w:val="ListBullet"/>
      </w:pPr>
      <w:r>
        <w:t>Secret expiré : un secret Entra ID a une durée de validité définie à sa création.</w:t>
      </w:r>
    </w:p>
    <w:p>
      <w:pPr>
        <w:pStyle w:val="ListBullet"/>
      </w:pPr>
      <w:r>
        <w:t>Secret tronqué à la copie, ou espace résiduel en fin de ligne dans le fichier de profils.</w:t>
      </w:r>
    </w:p>
    <w:p>
      <w:pPr>
        <w:pStyle w:val="ListBullet"/>
      </w:pPr>
      <w:r>
        <w:t>Fichier enregistré sous un nom incorrect. Sous Windows, le Bloc-notes ajoute une extension .txt si le nom n'est pas saisi entre guillemets.</w:t>
      </w:r>
    </w:p>
    <w:p>
      <w:pPr>
        <w:ind w:left="283"/>
      </w:pPr>
      <w:r>
        <w:rPr>
          <w:i/>
          <w:color w:val="707070"/>
          <w:sz w:val="20"/>
        </w:rPr>
        <w:t>Note : une erreur 401 signifie que l'identité n'a pas été reconnue. Une erreur 403 signifie l'inverse : l'identité est valide mais ne dispose pas des droits nécessaires. Distinguer les deux oriente immédiatement le diagnostic.</w:t>
      </w:r>
    </w:p>
    <w:p>
      <w:r>
        <w:br w:type="page"/>
      </w:r>
    </w:p>
    <w:p>
      <w:pPr>
        <w:pStyle w:val="Heading1"/>
        <w:jc w:val="left"/>
      </w:pPr>
      <w:r>
        <w:rPr>
          <w:color w:val="1F497D"/>
        </w:rPr>
        <w:t>Annexe B — Déploiement de test avec authentification utilisateur</w:t>
      </w:r>
    </w:p>
    <w:p>
      <w:r>
        <w:t>La création d'un Service Principal requiert des droits d'administration sur Microsoft Entra ID, qui ne sont pas toujours disponibles immédiatement. Pour valider un environnement sans attendre, la CLI accepte une authentification utilisateur par OAuth.</w:t>
      </w:r>
    </w:p>
    <w:p>
      <w:pPr>
        <w:spacing w:before="40" w:after="40"/>
        <w:ind w:left="283"/>
        <w:shd w:val="clear" w:color="auto" w:fill="F0F0F0"/>
      </w:pPr>
      <w:r>
        <w:rPr>
          <w:rFonts w:ascii="Courier New" w:hAnsi="Courier New"/>
          <w:color w:val="1F497D"/>
          <w:sz w:val="18"/>
        </w:rPr>
        <w:t>databricks auth login \</w:t>
        <w:br/>
        <w:t xml:space="preserve">  --host https://adb-1234567890123456.7.azuredatabricks.net \</w:t>
        <w:br/>
        <w:t xml:space="preserve">  --profile test</w:t>
        <w:br/>
        <w:br/>
        <w:t>databricks current-user me --profile test</w:t>
        <w:br/>
        <w:t>databricks bundle deploy --target dev --profile test</w:t>
      </w:r>
    </w:p>
    <w:p>
      <w:r>
        <w:t>Le navigateur s'ouvre pour l'authentification, puis le jeton est mis en cache localement. Aucun secret n'est stocké en clair.</w:t>
      </w:r>
    </w:p>
    <w:p>
      <w:pPr>
        <w:ind w:left="283"/>
      </w:pPr>
      <w:r>
        <w:rPr>
          <w:b/>
          <w:color w:val="C00000"/>
          <w:sz w:val="20"/>
        </w:rPr>
        <w:t>Attention : cette méthode convient à la validation d'un environnement, pas à un usage planifié. Les jobs s'exécuteraient sous une identité nominative : les sauvegardes s'interrompraient au départ de la personne ou à la révocation de son accès. Basculer sur le Service Principal (§2.6) avant activation des planifications du §8.</w:t>
      </w:r>
    </w:p>
    <w:p>
      <w:pPr>
        <w:pStyle w:val="Heading2"/>
        <w:jc w:val="left"/>
      </w:pPr>
      <w:r>
        <w:rPr>
          <w:color w:val="1F497D"/>
        </w:rPr>
        <w:t>B.1 Cibles de déploiement</w:t>
      </w:r>
    </w:p>
    <w:p>
      <w:r>
        <w:t>Le bundle définit deux cibles, ce qui permet de valider sur un environnement de test sans toucher à la production. Vérifier que backup_root et workspace.host de la cible dev pointent bien vers l'environnement de test avant tout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1417"/>
            <w:shd w:val="clear" w:color="auto" w:fill="1F497D"/>
          </w:tcPr>
          <w:p>
            <w:r>
              <w:rPr>
                <w:b/>
                <w:color w:val="FFFFFF"/>
              </w:rPr>
              <w:t>Cible</w:t>
            </w:r>
          </w:p>
        </w:tc>
        <w:tc>
          <w:tcPr>
            <w:tcW w:type="dxa" w:w="2551"/>
            <w:shd w:val="clear" w:color="auto" w:fill="1F497D"/>
          </w:tcPr>
          <w:p>
            <w:r>
              <w:rPr>
                <w:b/>
                <w:color w:val="FFFFFF"/>
              </w:rPr>
              <w:t>Usage</w:t>
            </w:r>
          </w:p>
        </w:tc>
        <w:tc>
          <w:tcPr>
            <w:tcW w:type="dxa" w:w="5102"/>
            <w:shd w:val="clear" w:color="auto" w:fill="1F497D"/>
          </w:tcPr>
          <w:p>
            <w:r>
              <w:rPr>
                <w:b/>
                <w:color w:val="FFFFFF"/>
              </w:rPr>
              <w:t>Commande</w:t>
            </w:r>
          </w:p>
        </w:tc>
      </w:tr>
      <w:tr>
        <w:tc>
          <w:tcPr>
            <w:tcW w:type="dxa" w:w="1417"/>
          </w:tcPr>
          <w:p>
            <w:r>
              <w:t>dev</w:t>
            </w:r>
          </w:p>
        </w:tc>
        <w:tc>
          <w:tcPr>
            <w:tcW w:type="dxa" w:w="2551"/>
          </w:tcPr>
          <w:p>
            <w:r>
              <w:t>Validation, tests</w:t>
            </w:r>
          </w:p>
        </w:tc>
        <w:tc>
          <w:tcPr>
            <w:tcW w:type="dxa" w:w="5102"/>
          </w:tcPr>
          <w:p>
            <w:r>
              <w:t>databricks bundle deploy --target dev</w:t>
            </w:r>
          </w:p>
        </w:tc>
      </w:tr>
      <w:tr>
        <w:tc>
          <w:tcPr>
            <w:tcW w:type="dxa" w:w="1417"/>
          </w:tcPr>
          <w:p>
            <w:r>
              <w:t>prod</w:t>
            </w:r>
          </w:p>
        </w:tc>
        <w:tc>
          <w:tcPr>
            <w:tcW w:type="dxa" w:w="2551"/>
          </w:tcPr>
          <w:p>
            <w:r>
              <w:t>Production</w:t>
            </w:r>
          </w:p>
        </w:tc>
        <w:tc>
          <w:tcPr>
            <w:tcW w:type="dxa" w:w="5102"/>
          </w:tcPr>
          <w:p>
            <w:r>
              <w:t>databricks bundle deploy --target prod</w:t>
            </w:r>
          </w:p>
        </w:tc>
      </w:tr>
    </w:tbl>
    <w:p/>
    <w:p>
      <w:pPr>
        <w:ind w:left="283"/>
      </w:pPr>
      <w:r>
        <w:rPr>
          <w:i/>
          <w:color w:val="707070"/>
          <w:sz w:val="20"/>
        </w:rPr>
        <w:t>Note : en cible dev, les jobs sont préfixés du nom de l'utilisateur et restent en pause, ce qui évite toute confusion avec les jobs de production dans la liste des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