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07/10/2026</w:t>
      </w:r>
    </w:p>
    <w:p>
      <w:r>
        <w:br w:type="page"/>
      </w:r>
    </w:p>
    <w:p>
      <w:pPr>
        <w:pStyle w:val="Heading1"/>
        <w:jc w:val="left"/>
      </w:pPr>
      <w:r>
        <w:rPr>
          <w:color w:val="1F497D"/>
        </w:rPr>
        <w:t>1. En résumé</w:t>
      </w:r>
    </w:p>
    <w:p>
      <w:r>
        <w:t>Cette version élargit le périmètre sauvegardé aux volumes et fonctions Unity Catalog, à l'ensemble du workspace (tous les dossiers, notebooks et fichiers) et aux pipelines ; elle corrige la cause de l'échec quotidien du premier run du backup et ajoute un rapport qui indique, objet par objet, ce qui est restaurable et par quel moyen.</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r>
        <w:tc>
          <w:tcPr>
            <w:tcW w:type="dxa" w:w="3685"/>
          </w:tcPr>
          <w:p>
            <w:r>
              <w:t>Les notebooks de tous les dossiers (/Users, dossiers projet) sont sauvegardés, avec les fichiers</w:t>
            </w:r>
          </w:p>
        </w:tc>
        <w:tc>
          <w:tcPr>
            <w:tcW w:type="dxa" w:w="5386"/>
          </w:tcPr>
          <w:p>
            <w:r>
              <w:t>Export complet du workspace (§3.4) ; /Repos reste exclu, son contenu est dans Git</w:t>
            </w:r>
          </w:p>
        </w:tc>
      </w:tr>
      <w:tr>
        <w:tc>
          <w:tcPr>
            <w:tcW w:type="dxa" w:w="3685"/>
          </w:tcPr>
          <w:p>
            <w:r>
              <w:t>Un dossier workspace/ et un dossier pipelines/ dans chaque backup daté</w:t>
            </w:r>
          </w:p>
        </w:tc>
        <w:tc>
          <w:tcPr>
            <w:tcW w:type="dxa" w:w="5386"/>
          </w:tcPr>
          <w:p>
            <w:r>
              <w:t>Nouveau format d'export et sauvegarde des pipelines (§3.4, §3.5)</w:t>
            </w:r>
          </w:p>
        </w:tc>
      </w:tr>
      <w:tr>
        <w:tc>
          <w:tcPr>
            <w:tcW w:type="dxa" w:w="3685"/>
          </w:tcPr>
          <w:p>
            <w:r>
              <w:t>L'étape workspace_config peut durer plus longtemps</w:t>
            </w:r>
          </w:p>
        </w:tc>
        <w:tc>
          <w:tcPr>
            <w:tcW w:type="dxa" w:w="5386"/>
          </w:tcPr>
          <w:p>
            <w:r>
              <w:t>Elle parcourt désormais tout le workspace ; les appels sont parallélisés</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r>
        <w:t>La cause a été identifiée et corrigée dans le notebook de copie : chaque table traitée laissait dans la session un état Delta mis en cache, jamais libéré. Ce cache est désormais vidé toutes les 50 tables, sans effet sur le résultat de la copie. Mesure sur 200 tables :</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497D"/>
          </w:tcPr>
          <w:p>
            <w:r>
              <w:rPr>
                <w:b/>
                <w:color w:val="FFFFFF"/>
              </w:rPr>
              <w:t>200 tables traitées</w:t>
            </w:r>
          </w:p>
        </w:tc>
        <w:tc>
          <w:tcPr>
            <w:tcW w:type="dxa" w:w="2835"/>
            <w:shd w:val="clear" w:color="auto" w:fill="1F497D"/>
          </w:tcPr>
          <w:p>
            <w:r>
              <w:rPr>
                <w:b/>
                <w:color w:val="FFFFFF"/>
              </w:rPr>
              <w:t>Avant</w:t>
            </w:r>
          </w:p>
        </w:tc>
        <w:tc>
          <w:tcPr>
            <w:tcW w:type="dxa" w:w="2835"/>
            <w:shd w:val="clear" w:color="auto" w:fill="1F497D"/>
          </w:tcPr>
          <w:p>
            <w:r>
              <w:rPr>
                <w:b/>
                <w:color w:val="FFFFFF"/>
              </w:rPr>
              <w:t>Après</w:t>
            </w:r>
          </w:p>
        </w:tc>
      </w:tr>
      <w:tr>
        <w:tc>
          <w:tcPr>
            <w:tcW w:type="dxa" w:w="3402"/>
          </w:tcPr>
          <w:p>
            <w:r>
              <w:t>États Delta restés en cache</w:t>
            </w:r>
          </w:p>
        </w:tc>
        <w:tc>
          <w:tcPr>
            <w:tcW w:type="dxa" w:w="2835"/>
          </w:tcPr>
          <w:p>
            <w:r>
              <w:t>200 (un par table)</w:t>
            </w:r>
          </w:p>
        </w:tc>
        <w:tc>
          <w:tcPr>
            <w:tcW w:type="dxa" w:w="2835"/>
          </w:tcPr>
          <w:p>
            <w:r>
              <w:t>0</w:t>
            </w:r>
          </w:p>
        </w:tc>
      </w:tr>
      <w:tr>
        <w:tc>
          <w:tcPr>
            <w:tcW w:type="dxa" w:w="3402"/>
          </w:tcPr>
          <w:p>
            <w:r>
              <w:t>Mémoire du driver</w:t>
            </w:r>
          </w:p>
        </w:tc>
        <w:tc>
          <w:tcPr>
            <w:tcW w:type="dxa" w:w="2835"/>
          </w:tcPr>
          <w:p>
            <w:r>
              <w:t>en hausse continue (+620 Mo)</w:t>
            </w:r>
          </w:p>
        </w:tc>
        <w:tc>
          <w:tcPr>
            <w:tcW w:type="dxa" w:w="2835"/>
          </w:tcPr>
          <w:p>
            <w:r>
              <w:t>stable (~500 Mo)</w:t>
            </w:r>
          </w:p>
        </w:tc>
      </w:tr>
    </w:tbl>
    <w:p/>
    <w:p>
      <w:pPr>
        <w:ind w:left="283"/>
      </w:pPr>
      <w:r>
        <w:rPr>
          <w:i/>
          <w:color w:val="707070"/>
          <w:sz w:val="20"/>
        </w:rPr>
        <w:t>Note : le driver Standard_E8s_v3 reste recommandé comme marge de sécurité : la correction supprime la croissance, la mémoire supplémentaire absorbe les pics.</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pPr>
        <w:pStyle w:val="Heading2"/>
        <w:jc w:val="left"/>
      </w:pPr>
      <w:r>
        <w:rPr>
          <w:color w:val="1F497D"/>
        </w:rPr>
        <w:t>2.4 Permissions héritées exportées comme permissions directes</w:t>
      </w:r>
    </w:p>
    <w:p>
      <w:r>
        <w:t>La commande SHOW GRANTS sur un objet renvoie aussi les droits hérités de son catalog et de son schéma. L'export les réécrivait tous comme des droits posés sur l'objet lui-même : une restauration les aurait matérialisés en droits explicites, objet par objet. Un droit retiré plus tard au niveau du catalog serait alors resté actif sur chaque table. Seuls les droits posés sur l'objet lui-même sont désormais exportés ; sur l'environnement de test, le fichier des permissions est passé de 308 à 150 lignes.</w:t>
      </w:r>
    </w:p>
    <w:p>
      <w:pPr>
        <w:ind w:left="283"/>
      </w:pPr>
      <w:r>
        <w:rPr>
          <w:b/>
          <w:color w:val="C00000"/>
          <w:sz w:val="20"/>
        </w:rPr>
        <w:t>Attention : les fichiers 04_grants.sql produits par les versions précédentes contiennent ces droits hérités. Pour une restauration des permissions, utiliser de préférence un backup réalisé avec la version 4.2.</w:t>
      </w:r>
    </w:p>
    <w:p>
      <w:pPr>
        <w:pStyle w:val="Heading2"/>
        <w:jc w:val="left"/>
      </w:pPr>
      <w:r>
        <w:rPr>
          <w:color w:val="1F497D"/>
        </w:rPr>
        <w:t>2.5 Robustesse de la copie des tables</w:t>
      </w:r>
    </w:p>
    <w:p>
      <w:pPr>
        <w:pStyle w:val="ListBullet"/>
      </w:pPr>
      <w:r>
        <w:t>Le point de reprise est écrit toutes les 50 tables ou toutes les 2 minutes, au lieu de toutes les 5 tables : environ 900 écritures de moins par run. Après une interruption, au plus 50 tables sont recopiées, sans conséquence (la copie est idempotente).</w:t>
      </w:r>
    </w:p>
    <w:p>
      <w:pPr>
        <w:pStyle w:val="ListBullet"/>
      </w:pPr>
      <w:r>
        <w:t>Un accès concurrent entre threads au suivi de progression pouvait interrompre le run (« dictionary changed size during iteration ») ; il est protégé.</w:t>
      </w:r>
    </w:p>
    <w:p>
      <w:pPr>
        <w:pStyle w:val="ListBullet"/>
      </w:pPr>
      <w:r>
        <w:t>Les messages d'erreur stockés dans le suivi et le manifest sont bornés, sans trace Java.</w:t>
      </w:r>
    </w:p>
    <w:p>
      <w:pPr>
        <w:pStyle w:val="Heading2"/>
        <w:jc w:val="left"/>
      </w:pPr>
      <w:r>
        <w:rPr>
          <w:color w:val="1F497D"/>
        </w:rPr>
        <w:t>2.6 Fonctions Python</w:t>
      </w:r>
    </w:p>
    <w:p>
      <w:r>
        <w:t>Le corps d'une fonction Python gagnait une ligne vide au début et à la fin à chaque cycle de sauvegarde et de restauration. Il est désormais restauré à l'identique.</w:t>
      </w:r>
    </w:p>
    <w:p>
      <w:pPr>
        <w:pStyle w:val="Heading2"/>
        <w:jc w:val="left"/>
      </w:pPr>
      <w:r>
        <w:rPr>
          <w:color w:val="1F497D"/>
        </w:rPr>
        <w:t>2.7 Emplacement du dossier lib/</w:t>
      </w:r>
    </w:p>
    <w:p>
      <w:r>
        <w:t>Les jobs cherchaient les modules partagés dans un chemin fixe, la variable lib_path de databricks.yml, alors que databricks bundle deploy dépose lib/ dans le dossier du bundle. Si ce chemin pointait vers une copie ancienne ou absente, la sauvegarde des volumes et fonctions était sautée (simple avertissement) et les restaurations qui utilisent lib/ échouaient. Les jobs utilisent désormais le lib/ déployé par le bundle, toujours à jour avec les notebooks, et un notebook lancé à la main trouve le lib/ situé à côté de lui. La variable lib_path disparaît.</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Fichiers des volumes managés</w:t>
            </w:r>
          </w:p>
        </w:tc>
        <w:tc>
          <w:tcPr>
            <w:tcW w:type="dxa" w:w="2835"/>
          </w:tcPr>
          <w:p>
            <w:r>
              <w:t>Copie incrémentale + index quotidien</w:t>
            </w:r>
          </w:p>
        </w:tc>
        <w:tc>
          <w:tcPr>
            <w:tcW w:type="dxa" w:w="3402"/>
          </w:tcPr>
          <w:p>
            <w:r>
              <w:t>15_restore_volume_files (scope volume_files)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r>
        <w:t>Le contenu des volumes managés est sauvegardé par la nouvelle étape 14_volume_files : seuls les fichiers nouveaux ou modifiés sont copiés chaque jour, et un index conserve l'état complet de chaque volume jour par jour. 15_restore_volume_files (scope volume_files) restaure un volume dans l'état d'une date donnée, sur la rétention quotidienne, plus un état par mois.</w:t>
      </w:r>
    </w:p>
    <w:p>
      <w:pPr>
        <w:ind w:left="283"/>
      </w:pPr>
      <w:r>
        <w:rPr>
          <w:b/>
          <w:color w:val="C00000"/>
          <w:sz w:val="20"/>
        </w:rPr>
        <w:t>Attention : les fichiers des volumes externes ne sont pas copiés : ils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pPr>
        <w:pStyle w:val="Heading2"/>
        <w:jc w:val="left"/>
      </w:pPr>
      <w:r>
        <w:rPr>
          <w:color w:val="1F497D"/>
        </w:rPr>
        <w:t>3.4 Export complet du workspace</w:t>
      </w:r>
    </w:p>
    <w:p>
      <w:r>
        <w:t>Seuls les notebooks de /Shared, sur quatre niveaux de dossiers, étaient sauvegardés. Le workspace entier l'est désormais, sans limite de profondeur : notebooks dans leur format de stockage (source, ou .ipynb si le workspace stocke les notebooks en Jupyter), fichiers (.sh, .yml, .whl…) et dashboards. Le contenu est écrit par lots dans workspace/objects/, accompagné d'un inventaire (workspace/manifest.json). La restauration recrée chaque objet avec son type d'origine.</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 (05_workspace_config)</w:t>
            </w:r>
          </w:p>
        </w:tc>
        <w:tc>
          <w:tcPr>
            <w:tcW w:type="dxa" w:w="1417"/>
            <w:shd w:val="clear" w:color="auto" w:fill="1F497D"/>
          </w:tcPr>
          <w:p>
            <w:r>
              <w:rPr>
                <w:b/>
                <w:color w:val="FFFFFF"/>
              </w:rPr>
              <w:t>Défaut</w:t>
            </w:r>
          </w:p>
        </w:tc>
        <w:tc>
          <w:tcPr>
            <w:tcW w:type="dxa" w:w="4819"/>
            <w:shd w:val="clear" w:color="auto" w:fill="1F497D"/>
          </w:tcPr>
          <w:p>
            <w:r>
              <w:rPr>
                <w:b/>
                <w:color w:val="FFFFFF"/>
              </w:rPr>
              <w:t>Rôle</w:t>
            </w:r>
          </w:p>
        </w:tc>
      </w:tr>
      <w:tr>
        <w:tc>
          <w:tcPr>
            <w:tcW w:type="dxa" w:w="2835"/>
          </w:tcPr>
          <w:p>
            <w:r>
              <w:t>workspace_paths</w:t>
            </w:r>
          </w:p>
        </w:tc>
        <w:tc>
          <w:tcPr>
            <w:tcW w:type="dxa" w:w="1417"/>
          </w:tcPr>
          <w:p>
            <w:r>
              <w:t>/</w:t>
            </w:r>
          </w:p>
        </w:tc>
        <w:tc>
          <w:tcPr>
            <w:tcW w:type="dxa" w:w="4819"/>
          </w:tcPr>
          <w:p>
            <w:r>
              <w:t>Dossiers exportés</w:t>
            </w:r>
          </w:p>
        </w:tc>
      </w:tr>
      <w:tr>
        <w:tc>
          <w:tcPr>
            <w:tcW w:type="dxa" w:w="2835"/>
          </w:tcPr>
          <w:p>
            <w:r>
              <w:t>exclude_paths</w:t>
            </w:r>
          </w:p>
        </w:tc>
        <w:tc>
          <w:tcPr>
            <w:tcW w:type="dxa" w:w="1417"/>
          </w:tcPr>
          <w:p>
            <w:r>
              <w:t>/Repos</w:t>
            </w:r>
          </w:p>
        </w:tc>
        <w:tc>
          <w:tcPr>
            <w:tcW w:type="dxa" w:w="4819"/>
          </w:tcPr>
          <w:p>
            <w:r>
              <w:t>Dossiers exclus ; le contenu des repos Git est dans Git</w:t>
            </w:r>
          </w:p>
        </w:tc>
      </w:tr>
      <w:tr>
        <w:tc>
          <w:tcPr>
            <w:tcW w:type="dxa" w:w="2835"/>
          </w:tcPr>
          <w:p>
            <w:r>
              <w:t>export_pipelines</w:t>
            </w:r>
          </w:p>
        </w:tc>
        <w:tc>
          <w:tcPr>
            <w:tcW w:type="dxa" w:w="1417"/>
          </w:tcPr>
          <w:p>
            <w:r>
              <w:t>true</w:t>
            </w:r>
          </w:p>
        </w:tc>
        <w:tc>
          <w:tcPr>
            <w:tcW w:type="dxa" w:w="4819"/>
          </w:tcPr>
          <w:p>
            <w:r>
              <w:t>Sauvegarde des pipelines</w:t>
            </w:r>
          </w:p>
        </w:tc>
      </w:tr>
      <w:tr>
        <w:tc>
          <w:tcPr>
            <w:tcW w:type="dxa" w:w="2835"/>
          </w:tcPr>
          <w:p>
            <w:r>
              <w:t>max_parallel</w:t>
            </w:r>
          </w:p>
        </w:tc>
        <w:tc>
          <w:tcPr>
            <w:tcW w:type="dxa" w:w="1417"/>
          </w:tcPr>
          <w:p>
            <w:r>
              <w:t>16</w:t>
            </w:r>
          </w:p>
        </w:tc>
        <w:tc>
          <w:tcPr>
            <w:tcW w:type="dxa" w:w="4819"/>
          </w:tcPr>
          <w:p>
            <w:r>
              <w:t>Appels API simultanés</w:t>
            </w:r>
          </w:p>
        </w:tc>
      </w:tr>
    </w:tbl>
    <w:p/>
    <w:p>
      <w:pPr>
        <w:ind w:left="283"/>
      </w:pPr>
      <w:r>
        <w:rPr>
          <w:b/>
          <w:color w:val="C00000"/>
          <w:sz w:val="20"/>
        </w:rPr>
        <w:t>Attention : pour lire les dossiers personnels (/Users), l'identité du job doit être administrateur du workspace. Les dossiers qu'elle ne peut pas lire sont listés dans la sortie de l'étape workspace_config et ne sont pas sauvegardés.</w:t>
      </w:r>
    </w:p>
    <w:p>
      <w:pPr>
        <w:pStyle w:val="Heading2"/>
        <w:jc w:val="left"/>
      </w:pPr>
      <w:r>
        <w:rPr>
          <w:color w:val="1F497D"/>
        </w:rPr>
        <w:t>3.5 Pipelines</w:t>
      </w:r>
    </w:p>
    <w:p>
      <w:r>
        <w:t>La définition complète de chaque pipeline et ses permissions sont sauvegardées dans pipelines/pipelines_all.json. Le nouveau notebook 13_restore_pipelines (scope pipelines de l'orchestrateur, exécuté après les notebooks) les recrée ; les pipelines déployés par un bundle sont ignorés par défaut et se redéploient avec le bundle.</w:t>
      </w:r>
    </w:p>
    <w:p>
      <w:pPr>
        <w:ind w:left="283"/>
      </w:pPr>
      <w:r>
        <w:rPr>
          <w:i/>
          <w:color w:val="707070"/>
          <w:sz w:val="20"/>
        </w:rPr>
        <w:t>Note : les tables produites par un pipeline (vues matérialisées, streaming tables) ne sont pas copiées : elles sont recalculées par le pipeline, dont les sources doivent avoir conservé assez d'historique. Un pipeline continu démarre dès sa recréation.</w:t>
      </w:r>
    </w:p>
    <w:p>
      <w:pPr>
        <w:pStyle w:val="Heading2"/>
        <w:jc w:val="left"/>
      </w:pPr>
      <w:r>
        <w:rPr>
          <w:color w:val="1F497D"/>
        </w:rPr>
        <w:t>3.6 Synchronisation des droits du compte de backup</w:t>
      </w:r>
    </w:p>
    <w:p>
      <w:r>
        <w:t>Le nouveau job dr-backup-grants-sync (en pause par défaut, à 00:30 UTC) compare chaque jour les droits du compte de backup à ceux requis, catalog par catalog, et sur l'External Location du backup. Les droits accordés sur un catalog couvrant tout son contenu futur, il rattrape surtout les nouveaux catalogs. En mode report (défaut), il échoue et notifie en cas d'écart ; en mode apply, il accorde les droits manquants. Il s'exécute avec l'identité qui déploie le bundle, qui doit être admin du metastore.</w:t>
      </w:r>
    </w:p>
    <w:p>
      <w:pPr>
        <w:pStyle w:val="Heading2"/>
        <w:jc w:val="left"/>
      </w:pPr>
      <w:r>
        <w:rPr>
          <w:color w:val="1F497D"/>
        </w:rPr>
        <w:t>3.7 Permissions des jobs</w:t>
      </w:r>
    </w:p>
    <w:p>
      <w:r>
        <w:t>Les permissions de chaque job sont sauvegardées (jobs/jobs_permissions.json) et réappliquées par 09_restore_jobs à la recréation du job. La propriété du job revient à l'identité qui restaure ; un transfert de propriété reste manuel.</w:t>
      </w:r>
    </w:p>
    <w:p>
      <w:r>
        <w:br w:type="page"/>
      </w:r>
    </w:p>
    <w:p>
      <w:pPr>
        <w:pStyle w:val="Heading1"/>
        <w:jc w:val="left"/>
      </w:pPr>
      <w:r>
        <w:rPr>
          <w:color w:val="1F497D"/>
        </w:rPr>
        <w:t>4. Procédure de mise à jour</w:t>
      </w:r>
    </w:p>
    <w:p>
      <w:pPr>
        <w:pStyle w:val="ListNumber"/>
      </w:pPr>
      <w:r>
        <w:t>Extraire l'archive, en conservant le dossier lib/ : la plupart des notebooks en dépendent (seuls 07_restore et 11_restore_grants sont autonomes).</w:t>
      </w:r>
    </w:p>
    <w:p>
      <w:pPr>
        <w:pStyle w:val="ListNumber"/>
      </w:pPr>
      <w:r>
        <w:t>Reporter dans databricks.yml vos valeurs (backup_root, host de chaque cible, notification_email, rétentions) et le nouveau bloc driver_node_type_id du job quotidien.</w:t>
      </w:r>
    </w:p>
    <w:p>
      <w:pPr>
        <w:pStyle w:val="ListNumber"/>
      </w:pPr>
      <w:r>
        <w:t>Dans votre databricks.yml : supprimer la variable lib_path (bloc variables et cibles), remplacer ${var.lib_path} par ${workspace.file_path}/lib dans les paramètres des jobs, et ajouter lib_path: ${workspace.file_path}/lib aux paramètres du job dr-backup-monthly.</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lib/ est déployé par databricks bundle deploy avec les notebooks : aucun chemin à renseigner. Une copie de lib/ faite à la main dans le workspace n'est plus utilisée et peut être supprimée.</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aucun avertissement « lib/uc_ddl.py introuvable ».</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