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DR Backup Databricks</w:t>
      </w:r>
    </w:p>
    <w:p>
      <w:pPr>
        <w:jc w:val="center"/>
      </w:pPr>
      <w:r>
        <w:rPr>
          <w:color w:val="404040"/>
          <w:sz w:val="32"/>
        </w:rPr>
        <w:t>Notes de version</w:t>
      </w:r>
    </w:p>
    <w:p>
      <w:pPr>
        <w:jc w:val="center"/>
      </w:pPr>
      <w:r>
        <w:rPr>
          <w:b/>
          <w:color w:val="404040"/>
          <w:sz w:val="26"/>
        </w:rPr>
        <w:t>Version 4.2</w:t>
      </w:r>
    </w:p>
    <w:p/>
    <w:p>
      <w:pPr>
        <w:jc w:val="center"/>
      </w:pPr>
      <w:r>
        <w:rPr>
          <w:color w:val="808080"/>
          <w:sz w:val="22"/>
        </w:rPr>
        <w:t>KeyIT — 02/10/2026</w:t>
      </w:r>
    </w:p>
    <w:p>
      <w:r>
        <w:br w:type="page"/>
      </w:r>
    </w:p>
    <w:p>
      <w:pPr>
        <w:pStyle w:val="Heading1"/>
        <w:jc w:val="left"/>
      </w:pPr>
      <w:r>
        <w:rPr>
          <w:color w:val="1F497D"/>
        </w:rPr>
        <w:t>1. En résumé</w:t>
      </w:r>
    </w:p>
    <w:p>
      <w:r>
        <w:t>Cette version élargit le périmètre sauvegardé aux volumes et fonctions Unity Catalog, à l'ensemble du workspace (tous les dossiers, notebooks et fichiers) et aux pipelines ; elle corrige la cause de l'échec quotidien du premier run du backup et ajoute un rapport qui indique, objet par objet, ce qui est restaurable et par quel moyen.</w:t>
      </w:r>
    </w:p>
    <w:p>
      <w:pPr>
        <w:ind w:left="283"/>
      </w:pPr>
      <w:r>
        <w:rPr>
          <w:i/>
          <w:color w:val="707070"/>
          <w:sz w:val="20"/>
        </w:rPr>
        <w:t>Note : aucun impact sur vos données ni sur le backup existant. La mise à jour touche les notebooks, le dossier lib/ et la définition du cluster du job quotidien. Aucun re-clonage, aucune perte de fenêtre de restauration.</w:t>
      </w:r>
    </w:p>
    <w:p>
      <w:pPr>
        <w:pStyle w:val="Heading2"/>
        <w:jc w:val="left"/>
      </w:pPr>
      <w:r>
        <w:rPr>
          <w:color w:val="1F497D"/>
        </w:rPr>
        <w:t>1.1 Ce que vous allez constater</w:t>
      </w:r>
    </w:p>
    <w:tbl>
      <w:tblPr>
        <w:tblStyle w:val="TableGrid"/>
        <w:tblW w:type="auto" w:w="0"/>
        <w:jc w:val="left"/>
        <w:tblLook w:firstColumn="1" w:firstRow="1" w:lastColumn="0" w:lastRow="0" w:noHBand="0" w:noVBand="1" w:val="04A0"/>
      </w:tblPr>
      <w:tblGrid>
        <w:gridCol w:w="4320"/>
        <w:gridCol w:w="4320"/>
      </w:tblGrid>
      <w:tr>
        <w:tc>
          <w:tcPr>
            <w:tcW w:type="dxa" w:w="3685"/>
            <w:shd w:val="clear" w:color="auto" w:fill="1F497D"/>
          </w:tcPr>
          <w:p>
            <w:r>
              <w:rPr>
                <w:b/>
                <w:color w:val="FFFFFF"/>
              </w:rPr>
              <w:t>Constat</w:t>
            </w:r>
          </w:p>
        </w:tc>
        <w:tc>
          <w:tcPr>
            <w:tcW w:type="dxa" w:w="5386"/>
            <w:shd w:val="clear" w:color="auto" w:fill="1F497D"/>
          </w:tcPr>
          <w:p>
            <w:r>
              <w:rPr>
                <w:b/>
                <w:color w:val="FFFFFF"/>
              </w:rPr>
              <w:t>Explication</w:t>
            </w:r>
          </w:p>
        </w:tc>
      </w:tr>
      <w:tr>
        <w:tc>
          <w:tcPr>
            <w:tcW w:type="dxa" w:w="3685"/>
          </w:tcPr>
          <w:p>
            <w:r>
              <w:t>Le backup quotidien réussit dès la première tentative</w:t>
            </w:r>
          </w:p>
        </w:tc>
        <w:tc>
          <w:tcPr>
            <w:tcW w:type="dxa" w:w="5386"/>
          </w:tcPr>
          <w:p>
            <w:r>
              <w:t>Le driver du cluster passe en Standard_E8s_v3 : sa mémoire ne sature plus (§2.1)</w:t>
            </w:r>
          </w:p>
        </w:tc>
      </w:tr>
      <w:tr>
        <w:tc>
          <w:tcPr>
            <w:tcW w:type="dxa" w:w="3685"/>
          </w:tcPr>
          <w:p>
            <w:r>
              <w:t>Deux nouveaux fichiers dans uc_metadata/ : 05_volumes.sql, 06_functions.sql</w:t>
            </w:r>
          </w:p>
        </w:tc>
        <w:tc>
          <w:tcPr>
            <w:tcW w:type="dxa" w:w="5386"/>
          </w:tcPr>
          <w:p>
            <w:r>
              <w:t>Définitions des volumes et des fonctions (§3.1)</w:t>
            </w:r>
          </w:p>
        </w:tc>
      </w:tr>
      <w:tr>
        <w:tc>
          <w:tcPr>
            <w:tcW w:type="dxa" w:w="3685"/>
          </w:tcPr>
          <w:p>
            <w:r>
              <w:t>Des lignes [SKIP] Catalog … (FOREIGN_CATALOG) dans la sortie de 01_uc_metadata</w:t>
            </w:r>
          </w:p>
        </w:tc>
        <w:tc>
          <w:tcPr>
            <w:tcW w:type="dxa" w:w="5386"/>
          </w:tcPr>
          <w:p>
            <w:r>
              <w:t>Catalogs fédérés et Delta Sharing désormais exclus par conception (§2.2)</w:t>
            </w:r>
          </w:p>
        </w:tc>
      </w:tr>
      <w:tr>
        <w:tc>
          <w:tcPr>
            <w:tcW w:type="dxa" w:w="3685"/>
          </w:tcPr>
          <w:p>
            <w:r>
              <w:t>Plus de traces Java de plusieurs centaines de lignes dans les sorties</w:t>
            </w:r>
          </w:p>
        </w:tc>
        <w:tc>
          <w:tcPr>
            <w:tcW w:type="dxa" w:w="5386"/>
          </w:tcPr>
          <w:p>
            <w:r>
              <w:t>Les avertissements n'affichent plus que le message utile (§2.3)</w:t>
            </w:r>
          </w:p>
        </w:tc>
      </w:tr>
      <w:tr>
        <w:tc>
          <w:tcPr>
            <w:tcW w:type="dxa" w:w="3685"/>
          </w:tcPr>
          <w:p>
            <w:r>
              <w:t>Un nouveau périmètre uc_objects dans l'orchestrateur de restauration</w:t>
            </w:r>
          </w:p>
        </w:tc>
        <w:tc>
          <w:tcPr>
            <w:tcW w:type="dxa" w:w="5386"/>
          </w:tcPr>
          <w:p>
            <w:r>
              <w:t>Restauration des volumes et fonctions (§3.2)</w:t>
            </w:r>
          </w:p>
        </w:tc>
      </w:tr>
      <w:tr>
        <w:tc>
          <w:tcPr>
            <w:tcW w:type="dxa" w:w="3685"/>
          </w:tcPr>
          <w:p>
            <w:r>
              <w:t>Les notebooks de tous les dossiers (/Users, dossiers projet) sont sauvegardés, avec les fichiers</w:t>
            </w:r>
          </w:p>
        </w:tc>
        <w:tc>
          <w:tcPr>
            <w:tcW w:type="dxa" w:w="5386"/>
          </w:tcPr>
          <w:p>
            <w:r>
              <w:t>Export complet du workspace (§3.4) ; /Repos reste exclu, son contenu est dans Git</w:t>
            </w:r>
          </w:p>
        </w:tc>
      </w:tr>
      <w:tr>
        <w:tc>
          <w:tcPr>
            <w:tcW w:type="dxa" w:w="3685"/>
          </w:tcPr>
          <w:p>
            <w:r>
              <w:t>Un dossier workspace/ et un dossier pipelines/ dans chaque backup daté</w:t>
            </w:r>
          </w:p>
        </w:tc>
        <w:tc>
          <w:tcPr>
            <w:tcW w:type="dxa" w:w="5386"/>
          </w:tcPr>
          <w:p>
            <w:r>
              <w:t>Nouveau format d'export et sauvegarde des pipelines (§3.4, §3.5)</w:t>
            </w:r>
          </w:p>
        </w:tc>
      </w:tr>
      <w:tr>
        <w:tc>
          <w:tcPr>
            <w:tcW w:type="dxa" w:w="3685"/>
          </w:tcPr>
          <w:p>
            <w:r>
              <w:t>L'étape workspace_config peut durer plus longtemps</w:t>
            </w:r>
          </w:p>
        </w:tc>
        <w:tc>
          <w:tcPr>
            <w:tcW w:type="dxa" w:w="5386"/>
          </w:tcPr>
          <w:p>
            <w:r>
              <w:t>Elle parcourt désormais tout le workspace ; les appels sont parallélisés</w:t>
            </w:r>
          </w:p>
        </w:tc>
      </w:tr>
    </w:tbl>
    <w:p/>
    <w:p>
      <w:r>
        <w:br w:type="page"/>
      </w:r>
    </w:p>
    <w:p>
      <w:pPr>
        <w:pStyle w:val="Heading1"/>
        <w:jc w:val="left"/>
      </w:pPr>
      <w:r>
        <w:rPr>
          <w:color w:val="1F497D"/>
        </w:rPr>
        <w:t>2. Corrections</w:t>
      </w:r>
    </w:p>
    <w:p>
      <w:pPr>
        <w:pStyle w:val="Heading2"/>
        <w:jc w:val="left"/>
      </w:pPr>
      <w:r>
        <w:rPr>
          <w:color w:val="1F497D"/>
        </w:rPr>
        <w:t>2.1 Échec quotidien du premier run (mémoire du driver)</w:t>
      </w:r>
    </w:p>
    <w:p>
      <w:r>
        <w:t>Chaque nuit, la première tentative du job dr-backup-daily s'arrêtait avec l'erreur GC overhead limit exceeded après environ deux heures, et seule une seconde tentative terminait le backup. Les métriques montrent une mémoire Java du driver saturée (16,8 Go sur Standard_DS4_v2) peu après le début de la copie des tables.</w:t>
      </w:r>
    </w:p>
    <w:p>
      <w:r>
        <w:t>La mémoire du driver croît avec le nombre de tables traitées dans un même run, pas avec leur volume : la seconde tentative aboutissait parce qu'elle repartait d'un driver neuf avec seulement les tables restantes. Le driver passe en Standard_E8s_v3 (64 Go, environ 40 Go de mémoire Java) ; les workers restent inchangés.</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F497D"/>
          </w:tcPr>
          <w:p>
            <w:r>
              <w:rPr>
                <w:b/>
                <w:color w:val="FFFFFF"/>
              </w:rPr>
              <w:t>Élément</w:t>
            </w:r>
          </w:p>
        </w:tc>
        <w:tc>
          <w:tcPr>
            <w:tcW w:type="dxa" w:w="3402"/>
            <w:shd w:val="clear" w:color="auto" w:fill="1F497D"/>
          </w:tcPr>
          <w:p>
            <w:r>
              <w:rPr>
                <w:b/>
                <w:color w:val="FFFFFF"/>
              </w:rPr>
              <w:t>Avant</w:t>
            </w:r>
          </w:p>
        </w:tc>
        <w:tc>
          <w:tcPr>
            <w:tcW w:type="dxa" w:w="3685"/>
            <w:shd w:val="clear" w:color="auto" w:fill="1F497D"/>
          </w:tcPr>
          <w:p>
            <w:r>
              <w:rPr>
                <w:b/>
                <w:color w:val="FFFFFF"/>
              </w:rPr>
              <w:t>Après</w:t>
            </w:r>
          </w:p>
        </w:tc>
      </w:tr>
      <w:tr>
        <w:tc>
          <w:tcPr>
            <w:tcW w:type="dxa" w:w="1984"/>
          </w:tcPr>
          <w:p>
            <w:r>
              <w:t>Driver</w:t>
            </w:r>
          </w:p>
        </w:tc>
        <w:tc>
          <w:tcPr>
            <w:tcW w:type="dxa" w:w="3402"/>
          </w:tcPr>
          <w:p>
            <w:r>
              <w:t>Standard_DS4_v2 (28 Go)</w:t>
            </w:r>
          </w:p>
        </w:tc>
        <w:tc>
          <w:tcPr>
            <w:tcW w:type="dxa" w:w="3685"/>
          </w:tcPr>
          <w:p>
            <w:r>
              <w:t>Standard_E8s_v3 (64 Go)</w:t>
            </w:r>
          </w:p>
        </w:tc>
      </w:tr>
      <w:tr>
        <w:tc>
          <w:tcPr>
            <w:tcW w:type="dxa" w:w="1984"/>
          </w:tcPr>
          <w:p>
            <w:r>
              <w:t>Workers</w:t>
            </w:r>
          </w:p>
        </w:tc>
        <w:tc>
          <w:tcPr>
            <w:tcW w:type="dxa" w:w="3402"/>
          </w:tcPr>
          <w:p>
            <w:r>
              <w:t>4 × Standard_DS4_v2</w:t>
            </w:r>
          </w:p>
        </w:tc>
        <w:tc>
          <w:tcPr>
            <w:tcW w:type="dxa" w:w="3685"/>
          </w:tcPr>
          <w:p>
            <w:r>
              <w:t>inchangé</w:t>
            </w:r>
          </w:p>
        </w:tc>
      </w:tr>
      <w:tr>
        <w:tc>
          <w:tcPr>
            <w:tcW w:type="dxa" w:w="1984"/>
          </w:tcPr>
          <w:p>
            <w:r>
              <w:t>Coût du driver</w:t>
            </w:r>
          </w:p>
        </w:tc>
        <w:tc>
          <w:tcPr>
            <w:tcW w:type="dxa" w:w="3402"/>
          </w:tcPr>
          <w:p>
            <w:r>
              <w:t>—</w:t>
            </w:r>
          </w:p>
        </w:tc>
        <w:tc>
          <w:tcPr>
            <w:tcW w:type="dxa" w:w="3685"/>
          </w:tcPr>
          <w:p>
            <w:r>
              <w:t>quelques centimes de plus par heure</w:t>
            </w:r>
          </w:p>
        </w:tc>
      </w:tr>
      <w:tr>
        <w:tc>
          <w:tcPr>
            <w:tcW w:type="dxa" w:w="1984"/>
          </w:tcPr>
          <w:p>
            <w:r>
              <w:t>Coût total attendu</w:t>
            </w:r>
          </w:p>
        </w:tc>
        <w:tc>
          <w:tcPr>
            <w:tcW w:type="dxa" w:w="3402"/>
          </w:tcPr>
          <w:p>
            <w:r>
              <w:t>run en échec (~2 h de cluster complet) + seconde tentative</w:t>
            </w:r>
          </w:p>
        </w:tc>
        <w:tc>
          <w:tcPr>
            <w:tcW w:type="dxa" w:w="3685"/>
          </w:tcPr>
          <w:p>
            <w:r>
              <w:t>un seul run</w:t>
            </w:r>
          </w:p>
        </w:tc>
      </w:tr>
    </w:tbl>
    <w:p/>
    <w:p>
      <w:r>
        <w:t>La cause a été identifiée et corrigée dans le notebook de copie : chaque table traitée laissait dans la session un état Delta mis en cache, jamais libéré. Ce cache est désormais vidé toutes les 50 tables, sans effet sur le résultat de la copie. Mesure sur 200 tables :</w:t>
      </w:r>
    </w:p>
    <w:tbl>
      <w:tblPr>
        <w:tblStyle w:val="TableGrid"/>
        <w:tblW w:type="auto" w:w="0"/>
        <w:jc w:val="left"/>
        <w:tblLook w:firstColumn="1" w:firstRow="1" w:lastColumn="0" w:lastRow="0" w:noHBand="0" w:noVBand="1" w:val="04A0"/>
      </w:tblPr>
      <w:tblGrid>
        <w:gridCol w:w="2880"/>
        <w:gridCol w:w="2880"/>
        <w:gridCol w:w="2880"/>
      </w:tblGrid>
      <w:tr>
        <w:tc>
          <w:tcPr>
            <w:tcW w:type="dxa" w:w="3402"/>
            <w:shd w:val="clear" w:color="auto" w:fill="1F497D"/>
          </w:tcPr>
          <w:p>
            <w:r>
              <w:rPr>
                <w:b/>
                <w:color w:val="FFFFFF"/>
              </w:rPr>
              <w:t>200 tables traitées</w:t>
            </w:r>
          </w:p>
        </w:tc>
        <w:tc>
          <w:tcPr>
            <w:tcW w:type="dxa" w:w="2835"/>
            <w:shd w:val="clear" w:color="auto" w:fill="1F497D"/>
          </w:tcPr>
          <w:p>
            <w:r>
              <w:rPr>
                <w:b/>
                <w:color w:val="FFFFFF"/>
              </w:rPr>
              <w:t>Avant</w:t>
            </w:r>
          </w:p>
        </w:tc>
        <w:tc>
          <w:tcPr>
            <w:tcW w:type="dxa" w:w="2835"/>
            <w:shd w:val="clear" w:color="auto" w:fill="1F497D"/>
          </w:tcPr>
          <w:p>
            <w:r>
              <w:rPr>
                <w:b/>
                <w:color w:val="FFFFFF"/>
              </w:rPr>
              <w:t>Après</w:t>
            </w:r>
          </w:p>
        </w:tc>
      </w:tr>
      <w:tr>
        <w:tc>
          <w:tcPr>
            <w:tcW w:type="dxa" w:w="3402"/>
          </w:tcPr>
          <w:p>
            <w:r>
              <w:t>États Delta restés en cache</w:t>
            </w:r>
          </w:p>
        </w:tc>
        <w:tc>
          <w:tcPr>
            <w:tcW w:type="dxa" w:w="2835"/>
          </w:tcPr>
          <w:p>
            <w:r>
              <w:t>200 (un par table)</w:t>
            </w:r>
          </w:p>
        </w:tc>
        <w:tc>
          <w:tcPr>
            <w:tcW w:type="dxa" w:w="2835"/>
          </w:tcPr>
          <w:p>
            <w:r>
              <w:t>0</w:t>
            </w:r>
          </w:p>
        </w:tc>
      </w:tr>
      <w:tr>
        <w:tc>
          <w:tcPr>
            <w:tcW w:type="dxa" w:w="3402"/>
          </w:tcPr>
          <w:p>
            <w:r>
              <w:t>Mémoire du driver</w:t>
            </w:r>
          </w:p>
        </w:tc>
        <w:tc>
          <w:tcPr>
            <w:tcW w:type="dxa" w:w="2835"/>
          </w:tcPr>
          <w:p>
            <w:r>
              <w:t>en hausse continue (+620 Mo)</w:t>
            </w:r>
          </w:p>
        </w:tc>
        <w:tc>
          <w:tcPr>
            <w:tcW w:type="dxa" w:w="2835"/>
          </w:tcPr>
          <w:p>
            <w:r>
              <w:t>stable (~500 Mo)</w:t>
            </w:r>
          </w:p>
        </w:tc>
      </w:tr>
    </w:tbl>
    <w:p/>
    <w:p>
      <w:pPr>
        <w:ind w:left="283"/>
      </w:pPr>
      <w:r>
        <w:rPr>
          <w:i/>
          <w:color w:val="707070"/>
          <w:sz w:val="20"/>
        </w:rPr>
        <w:t>Note : le driver Standard_E8s_v3 reste recommandé comme marge de sécurité : la correction supprime la croissance, la mémoire supplémentaire absorbe les pics.</w:t>
      </w:r>
    </w:p>
    <w:p>
      <w:pPr>
        <w:pStyle w:val="Heading2"/>
        <w:jc w:val="left"/>
      </w:pPr>
      <w:r>
        <w:rPr>
          <w:color w:val="1F497D"/>
        </w:rPr>
        <w:t>2.2 Catalogs fédérés et Delta Sharing</w:t>
      </w:r>
    </w:p>
    <w:p>
      <w:r>
        <w:t>Les catalogs Lakehouse Federation (par exemple vers SQL Server) étaient traités comme des catalogs standards : le backup exportait un CREATE CATALOG simple qui, rejoué, aurait créé un catalog vide à la place du catalog fédéré, et interrogeait la base source à chaque exécution (erreur FAILED_JDBC si la connexion est cassée). Ces catalogs, ainsi que ceux de Delta Sharing, sont désormais exclus : leurs données ne sont pas dans Databricks et leur définition (connexion, partage) relève de l'infrastructure as code.</w:t>
      </w:r>
    </w:p>
    <w:p>
      <w:pPr>
        <w:pStyle w:val="Heading2"/>
        <w:jc w:val="left"/>
      </w:pPr>
      <w:r>
        <w:rPr>
          <w:color w:val="1F497D"/>
        </w:rPr>
        <w:t>2.3 Sorties de notebooks tronquées</w:t>
      </w:r>
    </w:p>
    <w:p>
      <w:r>
        <w:t>Un catalog inaccessible faisait afficher l'exception complète, avec une trace Java de plusieurs centaines de lignes. La sortie dépassait la limite de l'interface et la synthèse finale était perdue. Les avertissements n'affichent plus que le message, par exemple :</w:t>
      </w:r>
    </w:p>
    <w:p>
      <w:pPr>
        <w:spacing w:before="40" w:after="40"/>
        <w:ind w:left="283"/>
        <w:shd w:val="clear" w:color="auto" w:fill="F0F0F0"/>
      </w:pPr>
      <w:r>
        <w:rPr>
          <w:rFonts w:ascii="Courier New" w:hAnsi="Courier New"/>
          <w:color w:val="1F497D"/>
          <w:sz w:val="18"/>
        </w:rPr>
        <w:t>[WARN] Volumes de db_demo non listables : [INSUFFICIENT_PERMISSIONS] User does not have USE CATALOG on Catalog 'db_demo'.</w:t>
      </w:r>
    </w:p>
    <w:p>
      <w:pPr>
        <w:pStyle w:val="Heading2"/>
        <w:jc w:val="left"/>
      </w:pPr>
      <w:r>
        <w:rPr>
          <w:color w:val="1F497D"/>
        </w:rPr>
        <w:t>2.4 Permissions héritées exportées comme permissions directes</w:t>
      </w:r>
    </w:p>
    <w:p>
      <w:r>
        <w:t>La commande SHOW GRANTS sur un objet renvoie aussi les droits hérités de son catalog et de son schéma. L'export les réécrivait tous comme des droits posés sur l'objet lui-même : une restauration les aurait matérialisés en droits explicites, objet par objet. Un droit retiré plus tard au niveau du catalog serait alors resté actif sur chaque table. Seuls les droits posés sur l'objet lui-même sont désormais exportés ; sur l'environnement de test, le fichier des permissions est passé de 308 à 150 lignes.</w:t>
      </w:r>
    </w:p>
    <w:p>
      <w:pPr>
        <w:ind w:left="283"/>
      </w:pPr>
      <w:r>
        <w:rPr>
          <w:b/>
          <w:color w:val="C00000"/>
          <w:sz w:val="20"/>
        </w:rPr>
        <w:t>Attention : les fichiers 04_grants.sql produits par les versions précédentes contiennent ces droits hérités. Pour une restauration des permissions, utiliser de préférence un backup réalisé avec la version 4.2.</w:t>
      </w:r>
    </w:p>
    <w:p>
      <w:pPr>
        <w:pStyle w:val="Heading2"/>
        <w:jc w:val="left"/>
      </w:pPr>
      <w:r>
        <w:rPr>
          <w:color w:val="1F497D"/>
        </w:rPr>
        <w:t>2.5 Robustesse de la copie des tables</w:t>
      </w:r>
    </w:p>
    <w:p>
      <w:pPr>
        <w:pStyle w:val="ListBullet"/>
      </w:pPr>
      <w:r>
        <w:t>Le point de reprise est écrit toutes les 50 tables ou toutes les 2 minutes, au lieu de toutes les 5 tables : environ 900 écritures de moins par run. Après une interruption, au plus 50 tables sont recopiées, sans conséquence (la copie est idempotente).</w:t>
      </w:r>
    </w:p>
    <w:p>
      <w:pPr>
        <w:pStyle w:val="ListBullet"/>
      </w:pPr>
      <w:r>
        <w:t>Un accès concurrent entre threads au suivi de progression pouvait interrompre le run (« dictionary changed size during iteration ») ; il est protégé.</w:t>
      </w:r>
    </w:p>
    <w:p>
      <w:pPr>
        <w:pStyle w:val="ListBullet"/>
      </w:pPr>
      <w:r>
        <w:t>Les messages d'erreur stockés dans le suivi et le manifest sont bornés, sans trace Java.</w:t>
      </w:r>
    </w:p>
    <w:p>
      <w:pPr>
        <w:pStyle w:val="Heading2"/>
        <w:jc w:val="left"/>
      </w:pPr>
      <w:r>
        <w:rPr>
          <w:color w:val="1F497D"/>
        </w:rPr>
        <w:t>2.6 Fonctions Python</w:t>
      </w:r>
    </w:p>
    <w:p>
      <w:r>
        <w:t>Le corps d'une fonction Python gagnait une ligne vide au début et à la fin à chaque cycle de sauvegarde et de restauration. Il est désormais restauré à l'identique.</w:t>
      </w:r>
    </w:p>
    <w:p>
      <w:r>
        <w:br w:type="page"/>
      </w:r>
    </w:p>
    <w:p>
      <w:pPr>
        <w:pStyle w:val="Heading1"/>
        <w:jc w:val="left"/>
      </w:pPr>
      <w:r>
        <w:rPr>
          <w:color w:val="1F497D"/>
        </w:rPr>
        <w:t>3. Ajouts</w:t>
      </w:r>
    </w:p>
    <w:p>
      <w:pPr>
        <w:pStyle w:val="Heading2"/>
        <w:jc w:val="left"/>
      </w:pPr>
      <w:r>
        <w:rPr>
          <w:color w:val="1F497D"/>
        </w:rPr>
        <w:t>3.1 Volumes et fonctions Unity Catalog</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Objet</w:t>
            </w:r>
          </w:p>
        </w:tc>
        <w:tc>
          <w:tcPr>
            <w:tcW w:type="dxa" w:w="2835"/>
            <w:shd w:val="clear" w:color="auto" w:fill="1F497D"/>
          </w:tcPr>
          <w:p>
            <w:r>
              <w:rPr>
                <w:b/>
                <w:color w:val="FFFFFF"/>
              </w:rPr>
              <w:t>Sauvegardé</w:t>
            </w:r>
          </w:p>
        </w:tc>
        <w:tc>
          <w:tcPr>
            <w:tcW w:type="dxa" w:w="3402"/>
            <w:shd w:val="clear" w:color="auto" w:fill="1F497D"/>
          </w:tcPr>
          <w:p>
            <w:r>
              <w:rPr>
                <w:b/>
                <w:color w:val="FFFFFF"/>
              </w:rPr>
              <w:t>Restauré par</w:t>
            </w:r>
          </w:p>
        </w:tc>
      </w:tr>
      <w:tr>
        <w:tc>
          <w:tcPr>
            <w:tcW w:type="dxa" w:w="2835"/>
          </w:tcPr>
          <w:p>
            <w:r>
              <w:t>Volumes (managés et externes)</w:t>
            </w:r>
          </w:p>
        </w:tc>
        <w:tc>
          <w:tcPr>
            <w:tcW w:type="dxa" w:w="2835"/>
          </w:tcPr>
          <w:p>
            <w:r>
              <w:t>Définition + permissions</w:t>
            </w:r>
          </w:p>
        </w:tc>
        <w:tc>
          <w:tcPr>
            <w:tcW w:type="dxa" w:w="3402"/>
          </w:tcPr>
          <w:p>
            <w:r>
              <w:t>12_restore_uc_objects (scope uc_objects)</w:t>
            </w:r>
          </w:p>
        </w:tc>
      </w:tr>
      <w:tr>
        <w:tc>
          <w:tcPr>
            <w:tcW w:type="dxa" w:w="2835"/>
          </w:tcPr>
          <w:p>
            <w:r>
              <w:t>Fichiers des volumes managés</w:t>
            </w:r>
          </w:p>
        </w:tc>
        <w:tc>
          <w:tcPr>
            <w:tcW w:type="dxa" w:w="2835"/>
          </w:tcPr>
          <w:p>
            <w:r>
              <w:t>Copie incrémentale + index quotidien</w:t>
            </w:r>
          </w:p>
        </w:tc>
        <w:tc>
          <w:tcPr>
            <w:tcW w:type="dxa" w:w="3402"/>
          </w:tcPr>
          <w:p>
            <w:r>
              <w:t>15_restore_volume_files (scope volume_files)</w:t>
            </w:r>
          </w:p>
        </w:tc>
      </w:tr>
      <w:tr>
        <w:tc>
          <w:tcPr>
            <w:tcW w:type="dxa" w:w="2835"/>
          </w:tcPr>
          <w:p>
            <w:r>
              <w:t>Fonctions SQL, Python, fonctions table</w:t>
            </w:r>
          </w:p>
        </w:tc>
        <w:tc>
          <w:tcPr>
            <w:tcW w:type="dxa" w:w="2835"/>
          </w:tcPr>
          <w:p>
            <w:r>
              <w:t>DDL complet + permissions</w:t>
            </w:r>
          </w:p>
        </w:tc>
        <w:tc>
          <w:tcPr>
            <w:tcW w:type="dxa" w:w="3402"/>
          </w:tcPr>
          <w:p>
            <w:r>
              <w:t>12_restore_uc_objects (scope uc_objects)</w:t>
            </w:r>
          </w:p>
        </w:tc>
      </w:tr>
    </w:tbl>
    <w:p/>
    <w:p>
      <w:r>
        <w:t>Le contenu des volumes managés est sauvegardé par la nouvelle étape 14_volume_files : seuls les fichiers nouveaux ou modifiés sont copiés chaque jour, et un index conserve l'état complet de chaque volume jour par jour. 15_restore_volume_files (scope volume_files) restaure un volume dans l'état d'une date donnée, sur la rétention quotidienne, plus un état par mois.</w:t>
      </w:r>
    </w:p>
    <w:p>
      <w:pPr>
        <w:ind w:left="283"/>
      </w:pPr>
      <w:r>
        <w:rPr>
          <w:b/>
          <w:color w:val="C00000"/>
          <w:sz w:val="20"/>
        </w:rPr>
        <w:t>Attention : les fichiers des volumes externes ne sont pas copiés : ils restent sur leur compte de stockage, dont la protection (soft delete, versioning, réplication) relève de sa configuration Azure.</w:t>
      </w:r>
    </w:p>
    <w:p>
      <w:pPr>
        <w:pStyle w:val="Heading2"/>
        <w:jc w:val="left"/>
      </w:pPr>
      <w:r>
        <w:rPr>
          <w:color w:val="1F497D"/>
        </w:rPr>
        <w:t>3.2 Restauration</w:t>
      </w:r>
    </w:p>
    <w:p>
      <w:pPr>
        <w:pStyle w:val="ListBullet"/>
      </w:pPr>
      <w:r>
        <w:t>Nouveau scope uc_objects dans 10_restore_orchestrator, exécuté entre les tables et les permissions.</w:t>
      </w:r>
    </w:p>
    <w:p>
      <w:pPr>
        <w:pStyle w:val="ListBullet"/>
      </w:pPr>
      <w:r>
        <w:t>11_restore_grants restaure aussi les permissions des volumes et des fonctions.</w:t>
      </w:r>
    </w:p>
    <w:p>
      <w:pPr>
        <w:pStyle w:val="ListBullet"/>
      </w:pPr>
      <w:r>
        <w:t>scripts/restore_uc.py rejoue les fichiers dans le bon ordre (permissions en dernier), retente une fois les vues et fonctions dépendantes, et accepte --only-grants.</w:t>
      </w:r>
    </w:p>
    <w:p>
      <w:pPr>
        <w:pStyle w:val="Heading2"/>
        <w:jc w:val="left"/>
      </w:pPr>
      <w:r>
        <w:rPr>
          <w:color w:val="1F497D"/>
        </w:rPr>
        <w:t>3.3 Diagnostic</w:t>
      </w:r>
    </w:p>
    <w:p>
      <w:pPr>
        <w:pStyle w:val="ListBullet"/>
      </w:pPr>
      <w:r>
        <w:t>diag_01_audit mesure le contenu des volumes managés (fichiers, taille, changements sur 24 h) et liste les catalogs inaccessibles à l'identité qui l'exécute.</w:t>
      </w:r>
    </w:p>
    <w:p>
      <w:pPr>
        <w:pStyle w:val="ListBullet"/>
      </w:pPr>
      <w:r>
        <w:t>Nouveau diag_03_backup_coverage : rapport HTML + Excel de tous les objets du metastore et du workspace, avec pour chacun le moyen de restauration (backup, as code, autre) ou son absence, les droits du compte de backup et le résultat du dernier backup.</w:t>
      </w:r>
    </w:p>
    <w:p>
      <w:pPr>
        <w:pStyle w:val="Heading2"/>
        <w:jc w:val="left"/>
      </w:pPr>
      <w:r>
        <w:rPr>
          <w:color w:val="1F497D"/>
        </w:rPr>
        <w:t>3.4 Export complet du workspace</w:t>
      </w:r>
    </w:p>
    <w:p>
      <w:r>
        <w:t>Seuls les notebooks de /Shared, sur quatre niveaux de dossiers, étaient sauvegardés. Le workspace entier l'est désormais, sans limite de profondeur : notebooks dans leur format de stockage (source, ou .ipynb si le workspace stocke les notebooks en Jupyter), fichiers (.sh, .yml, .whl…) et dashboards. Le contenu est écrit par lots dans workspace/objects/, accompagné d'un inventaire (workspace/manifest.json). La restauration recrée chaque objet avec son type d'origine.</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Paramètre (05_workspace_config)</w:t>
            </w:r>
          </w:p>
        </w:tc>
        <w:tc>
          <w:tcPr>
            <w:tcW w:type="dxa" w:w="1417"/>
            <w:shd w:val="clear" w:color="auto" w:fill="1F497D"/>
          </w:tcPr>
          <w:p>
            <w:r>
              <w:rPr>
                <w:b/>
                <w:color w:val="FFFFFF"/>
              </w:rPr>
              <w:t>Défaut</w:t>
            </w:r>
          </w:p>
        </w:tc>
        <w:tc>
          <w:tcPr>
            <w:tcW w:type="dxa" w:w="4819"/>
            <w:shd w:val="clear" w:color="auto" w:fill="1F497D"/>
          </w:tcPr>
          <w:p>
            <w:r>
              <w:rPr>
                <w:b/>
                <w:color w:val="FFFFFF"/>
              </w:rPr>
              <w:t>Rôle</w:t>
            </w:r>
          </w:p>
        </w:tc>
      </w:tr>
      <w:tr>
        <w:tc>
          <w:tcPr>
            <w:tcW w:type="dxa" w:w="2835"/>
          </w:tcPr>
          <w:p>
            <w:r>
              <w:t>workspace_paths</w:t>
            </w:r>
          </w:p>
        </w:tc>
        <w:tc>
          <w:tcPr>
            <w:tcW w:type="dxa" w:w="1417"/>
          </w:tcPr>
          <w:p>
            <w:r>
              <w:t>/</w:t>
            </w:r>
          </w:p>
        </w:tc>
        <w:tc>
          <w:tcPr>
            <w:tcW w:type="dxa" w:w="4819"/>
          </w:tcPr>
          <w:p>
            <w:r>
              <w:t>Dossiers exportés</w:t>
            </w:r>
          </w:p>
        </w:tc>
      </w:tr>
      <w:tr>
        <w:tc>
          <w:tcPr>
            <w:tcW w:type="dxa" w:w="2835"/>
          </w:tcPr>
          <w:p>
            <w:r>
              <w:t>exclude_paths</w:t>
            </w:r>
          </w:p>
        </w:tc>
        <w:tc>
          <w:tcPr>
            <w:tcW w:type="dxa" w:w="1417"/>
          </w:tcPr>
          <w:p>
            <w:r>
              <w:t>/Repos</w:t>
            </w:r>
          </w:p>
        </w:tc>
        <w:tc>
          <w:tcPr>
            <w:tcW w:type="dxa" w:w="4819"/>
          </w:tcPr>
          <w:p>
            <w:r>
              <w:t>Dossiers exclus ; le contenu des repos Git est dans Git</w:t>
            </w:r>
          </w:p>
        </w:tc>
      </w:tr>
      <w:tr>
        <w:tc>
          <w:tcPr>
            <w:tcW w:type="dxa" w:w="2835"/>
          </w:tcPr>
          <w:p>
            <w:r>
              <w:t>export_pipelines</w:t>
            </w:r>
          </w:p>
        </w:tc>
        <w:tc>
          <w:tcPr>
            <w:tcW w:type="dxa" w:w="1417"/>
          </w:tcPr>
          <w:p>
            <w:r>
              <w:t>true</w:t>
            </w:r>
          </w:p>
        </w:tc>
        <w:tc>
          <w:tcPr>
            <w:tcW w:type="dxa" w:w="4819"/>
          </w:tcPr>
          <w:p>
            <w:r>
              <w:t>Sauvegarde des pipelines</w:t>
            </w:r>
          </w:p>
        </w:tc>
      </w:tr>
      <w:tr>
        <w:tc>
          <w:tcPr>
            <w:tcW w:type="dxa" w:w="2835"/>
          </w:tcPr>
          <w:p>
            <w:r>
              <w:t>max_parallel</w:t>
            </w:r>
          </w:p>
        </w:tc>
        <w:tc>
          <w:tcPr>
            <w:tcW w:type="dxa" w:w="1417"/>
          </w:tcPr>
          <w:p>
            <w:r>
              <w:t>16</w:t>
            </w:r>
          </w:p>
        </w:tc>
        <w:tc>
          <w:tcPr>
            <w:tcW w:type="dxa" w:w="4819"/>
          </w:tcPr>
          <w:p>
            <w:r>
              <w:t>Appels API simultanés</w:t>
            </w:r>
          </w:p>
        </w:tc>
      </w:tr>
    </w:tbl>
    <w:p/>
    <w:p>
      <w:pPr>
        <w:ind w:left="283"/>
      </w:pPr>
      <w:r>
        <w:rPr>
          <w:b/>
          <w:color w:val="C00000"/>
          <w:sz w:val="20"/>
        </w:rPr>
        <w:t>Attention : pour lire les dossiers personnels (/Users), l'identité du job doit être administrateur du workspace. Les dossiers qu'elle ne peut pas lire sont listés dans la sortie de l'étape workspace_config et ne sont pas sauvegardés.</w:t>
      </w:r>
    </w:p>
    <w:p>
      <w:pPr>
        <w:pStyle w:val="Heading2"/>
        <w:jc w:val="left"/>
      </w:pPr>
      <w:r>
        <w:rPr>
          <w:color w:val="1F497D"/>
        </w:rPr>
        <w:t>3.5 Pipelines</w:t>
      </w:r>
    </w:p>
    <w:p>
      <w:r>
        <w:t>La définition complète de chaque pipeline et ses permissions sont sauvegardées dans pipelines/pipelines_all.json. Le nouveau notebook 13_restore_pipelines (scope pipelines de l'orchestrateur, exécuté après les notebooks) les recrée ; les pipelines déployés par un bundle sont ignorés par défaut et se redéploient avec le bundle.</w:t>
      </w:r>
    </w:p>
    <w:p>
      <w:pPr>
        <w:ind w:left="283"/>
      </w:pPr>
      <w:r>
        <w:rPr>
          <w:i/>
          <w:color w:val="707070"/>
          <w:sz w:val="20"/>
        </w:rPr>
        <w:t>Note : les tables produites par un pipeline (vues matérialisées, streaming tables) ne sont pas copiées : elles sont recalculées par le pipeline, dont les sources doivent avoir conservé assez d'historique. Un pipeline continu démarre dès sa recréation.</w:t>
      </w:r>
    </w:p>
    <w:p>
      <w:pPr>
        <w:pStyle w:val="Heading2"/>
        <w:jc w:val="left"/>
      </w:pPr>
      <w:r>
        <w:rPr>
          <w:color w:val="1F497D"/>
        </w:rPr>
        <w:t>3.6 Synchronisation des droits du compte de backup</w:t>
      </w:r>
    </w:p>
    <w:p>
      <w:r>
        <w:t>Le nouveau job dr-backup-grants-sync (en pause par défaut, à 00:30 UTC) compare chaque jour les droits du compte de backup à ceux requis, catalog par catalog, et sur l'External Location du backup. Les droits accordés sur un catalog couvrant tout son contenu futur, il rattrape surtout les nouveaux catalogs. En mode report (défaut), il échoue et notifie en cas d'écart ; en mode apply, il accorde les droits manquants. Il s'exécute avec l'identité qui déploie le bundle, qui doit être admin du metastore.</w:t>
      </w:r>
    </w:p>
    <w:p>
      <w:pPr>
        <w:pStyle w:val="Heading2"/>
        <w:jc w:val="left"/>
      </w:pPr>
      <w:r>
        <w:rPr>
          <w:color w:val="1F497D"/>
        </w:rPr>
        <w:t>3.7 Permissions des jobs</w:t>
      </w:r>
    </w:p>
    <w:p>
      <w:r>
        <w:t>Les permissions de chaque job sont sauvegardées (jobs/jobs_permissions.json) et réappliquées par 09_restore_jobs à la recréation du job. La propriété du job revient à l'identité qui restaure ; un transfert de propriété reste manuel.</w:t>
      </w:r>
    </w:p>
    <w:p>
      <w:r>
        <w:br w:type="page"/>
      </w:r>
    </w:p>
    <w:p>
      <w:pPr>
        <w:pStyle w:val="Heading1"/>
        <w:jc w:val="left"/>
      </w:pPr>
      <w:r>
        <w:rPr>
          <w:color w:val="1F497D"/>
        </w:rPr>
        <w:t>4. Procédure de mise à jour</w:t>
      </w:r>
    </w:p>
    <w:p>
      <w:pPr>
        <w:pStyle w:val="ListNumber"/>
      </w:pPr>
      <w:r>
        <w:t>Extraire l'archive, en conservant le dossier lib/ : 01_uc_metadata et 12_restore_uc_objects en dépendent.</w:t>
      </w:r>
    </w:p>
    <w:p>
      <w:pPr>
        <w:pStyle w:val="ListNumber"/>
      </w:pPr>
      <w:r>
        <w:t>Reporter dans databricks.yml vos valeurs (backup_root, host de chaque cible, notification_email, rétentions) et le nouveau bloc driver_node_type_id du job quotidien.</w:t>
      </w:r>
    </w:p>
    <w:p>
      <w:pPr>
        <w:pStyle w:val="ListNumber"/>
      </w:pPr>
      <w:r>
        <w:t>Vérifier que le quota de vCPU de la famille ESv3 permet 8 vCPU supplémentaires dans la région, et qu'aucune politique de cluster n'interdit Standard_E8s_v3.</w:t>
      </w:r>
    </w:p>
    <w:p>
      <w:pPr>
        <w:pStyle w:val="ListNumber"/>
      </w:pPr>
      <w:r>
        <w:t>databricks bundle validate --target &lt;cible&gt; — vérifier les lignes Host: et User:.</w:t>
      </w:r>
    </w:p>
    <w:p>
      <w:pPr>
        <w:pStyle w:val="ListNumber"/>
      </w:pPr>
      <w:r>
        <w:t>databricks bundle deploy --target &lt;cible&gt;.</w:t>
      </w:r>
    </w:p>
    <w:p>
      <w:pPr>
        <w:pStyle w:val="ListNumber"/>
      </w:pPr>
      <w:r>
        <w:t>Lancer une exécution manuelle de contrôle avant de réactiver la planification.</w:t>
      </w:r>
    </w:p>
    <w:p>
      <w:pPr>
        <w:ind w:left="283"/>
      </w:pPr>
      <w:r>
        <w:rPr>
          <w:b/>
          <w:color w:val="C00000"/>
          <w:sz w:val="20"/>
        </w:rPr>
        <w:t>Attention : ne pas remplacer votre databricks.yml par celui de l'archive : vous perdriez vos chemins de stockage et votre adresse de notification. Reporter uniquement les blocs modifiés.</w:t>
      </w:r>
    </w:p>
    <w:p>
      <w:pPr>
        <w:ind w:left="283"/>
      </w:pPr>
      <w:r>
        <w:rPr>
          <w:i/>
          <w:color w:val="707070"/>
          <w:sz w:val="20"/>
        </w:rPr>
        <w:t>Note : si lib/ n'est pas redéployé, le backup ne s'arrête pas : seule la sauvegarde des volumes et fonctions est sautée, avec un avertissement dans la sortie de 01_uc_metadata.</w:t>
      </w:r>
    </w:p>
    <w:p>
      <w:pPr>
        <w:pStyle w:val="Heading2"/>
        <w:jc w:val="left"/>
      </w:pPr>
      <w:r>
        <w:rPr>
          <w:color w:val="1F497D"/>
        </w:rPr>
        <w:t>4.1 Vérification après mise à jour</w:t>
      </w:r>
    </w:p>
    <w:p>
      <w:pPr>
        <w:pStyle w:val="ListBullet"/>
      </w:pPr>
      <w:r>
        <w:t>Statut du run : réussi dès la première tentative.</w:t>
      </w:r>
    </w:p>
    <w:p>
      <w:pPr>
        <w:pStyle w:val="ListBullet"/>
      </w:pPr>
      <w:r>
        <w:t>Metrics du driver : pic de JVM heap usage nettement sous 40 Go, pauses GC basses.</w:t>
      </w:r>
    </w:p>
    <w:p>
      <w:pPr>
        <w:pStyle w:val="ListBullet"/>
      </w:pPr>
      <w:r>
        <w:t>Dossier uc_metadata/ du jour : présence de 05_volumes.sql et 06_functions.sql.</w:t>
      </w:r>
    </w:p>
    <w:p>
      <w:pPr>
        <w:pStyle w:val="ListBullet"/>
      </w:pPr>
      <w:r>
        <w:t>Sortie de 01_uc_metadata : les lignes [SKIP] correspondent bien à vos catalogs fédérés.</w:t>
      </w:r>
    </w:p>
    <w:p>
      <w:pPr>
        <w:ind w:left="283"/>
      </w:pPr>
      <w:r>
        <w:rPr>
          <w:i/>
          <w:color w:val="707070"/>
          <w:sz w:val="20"/>
        </w:rPr>
        <w:t>Note : la transmission des graphiques mémoire du driver après le premier run nous permettra de confirmer la marge disponible sur votre volume de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