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41.png" ContentType="image/png"/>
  <Override PartName="/word/media/rId14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8</w:t>
      </w:r>
    </w:p>
    <w:p>
      <w:pPr>
        <w:pStyle w:val="Subtitle"/>
      </w:pPr>
      <w:r>
        <w:t xml:space="preserve">Реализация основных моделей в дискретно-событийном подходе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на языке Julia, выполнить анализ параметров, сравнить варианты модели и подготовить воспроизводимый комплект результатов.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работе требуется создать рабочий каталог, установить необходимые пакеты, выполнить предложенный код, преобразовать его в литературный стиль, сгенерировать чистый код, Jupyter notebook и документацию Quarto, выполнить notebook, интегрировать документацию в отчёт, добавить вычисления для набора параметров и повторить генерацию артефактов.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Дискретно-событийная имитационная модель описывает систему через события, которые происходят в отдельные моменты виртуального времени. В модели SIR каждый агент находится в одном из трёх состояний: восприимчивый</w:t>
      </w:r>
      <w:r>
        <w:t xml:space="preserve"> </w:t>
      </w:r>
      <w:r>
        <w:rPr>
          <w:rStyle w:val="VerbatimChar"/>
        </w:rPr>
        <w:t xml:space="preserve">S</w:t>
      </w:r>
      <w:r>
        <w:t xml:space="preserve">, инфицированный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или переболевший</w:t>
      </w:r>
      <w:r>
        <w:t xml:space="preserve"> </w:t>
      </w:r>
      <w:r>
        <w:rPr>
          <w:rStyle w:val="VerbatimChar"/>
        </w:rPr>
        <w:t xml:space="preserve">R</w:t>
      </w:r>
      <w:r>
        <w:t xml:space="preserve">. События заражения и выздоровления изменяют состояние агента и обновляют временные ряды численности групп.</w:t>
      </w:r>
    </w:p>
    <w:p>
      <w:pPr>
        <w:pStyle w:val="BodyText"/>
      </w:pPr>
      <w:r>
        <w:t xml:space="preserve">В работе используются пакеты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CSV.jl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[@concurrentsim; @literatejl]</w:t>
      </w:r>
      <w:r>
        <w:t xml:space="preserve">. Документация и производные форматы отчёта/презентации собираются через Quarto</w:t>
      </w:r>
      <w:r>
        <w:t xml:space="preserve"> </w:t>
      </w:r>
      <w:r>
        <w:t xml:space="preserve">[@quarto]</w:t>
      </w:r>
      <w:r>
        <w:t xml:space="preserve">.</w:t>
      </w:r>
    </w:p>
    <w:bookmarkEnd w:id="11"/>
    <w:bookmarkStart w:id="5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2" w:name="структура-проекта"/>
    <w:p>
      <w:pPr>
        <w:pStyle w:val="Heading2"/>
      </w:pPr>
      <w:r>
        <w:t xml:space="preserve">Структура проекта</w:t>
      </w:r>
    </w:p>
    <w:p>
      <w:pPr>
        <w:pStyle w:val="FirstParagraph"/>
      </w:pPr>
      <w:r>
        <w:t xml:space="preserve">Основная реализация находится в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, сценарии запусков находятся в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литературный код находится в</w:t>
      </w:r>
      <w:r>
        <w:t xml:space="preserve"> </w:t>
      </w:r>
      <w:r>
        <w:rPr>
          <w:rStyle w:val="VerbatimChar"/>
        </w:rPr>
        <w:t xml:space="preserve">literate/</w:t>
      </w:r>
      <w:r>
        <w:t xml:space="preserve">, сгенерированные notebook и документация находятся в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Результаты моделирования сохраняются в</w:t>
      </w:r>
      <w:r>
        <w:t xml:space="preserve"> </w:t>
      </w:r>
      <w:r>
        <w:rPr>
          <w:rStyle w:val="VerbatimChar"/>
        </w:rPr>
        <w:t xml:space="preserve">data/sims/</w:t>
      </w:r>
      <w:r>
        <w:t xml:space="preserve">, графики сохраняются в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.</w:t>
      </w:r>
    </w:p>
    <w:bookmarkEnd w:id="12"/>
    <w:bookmarkStart w:id="18" w:name="базовая-sir-модель"/>
    <w:p>
      <w:pPr>
        <w:pStyle w:val="Heading2"/>
      </w:pPr>
      <w:r>
        <w:t xml:space="preserve">Базовая SIR модель</w:t>
      </w:r>
    </w:p>
    <w:p>
      <w:pPr>
        <w:pStyle w:val="FirstParagraph"/>
      </w:pPr>
      <w:r>
        <w:t xml:space="preserve">Модель создаётся функцией</w:t>
      </w:r>
      <w:r>
        <w:t xml:space="preserve"> </w:t>
      </w:r>
      <w:r>
        <w:rPr>
          <w:rStyle w:val="VerbatimChar"/>
        </w:rPr>
        <w:t xml:space="preserve">MakeSIRModel(u0, p)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u0=[S0,I0,R0]</w:t>
      </w:r>
      <w:r>
        <w:t xml:space="preserve">, а</w:t>
      </w:r>
      <w:r>
        <w:t xml:space="preserve"> </w:t>
      </w:r>
      <w:r>
        <w:rPr>
          <w:rStyle w:val="VerbatimChar"/>
        </w:rPr>
        <w:t xml:space="preserve">p=[β,c,γ]</w:t>
      </w:r>
      <w:r>
        <w:t xml:space="preserve">. Процессы агентов запускаются функцией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, симуляция выполняется функцией</w:t>
      </w:r>
      <w:r>
        <w:t xml:space="preserve"> </w:t>
      </w:r>
      <w:r>
        <w:rPr>
          <w:rStyle w:val="VerbatimChar"/>
        </w:rPr>
        <w:t xml:space="preserve">sir_run</w:t>
      </w:r>
      <w:r>
        <w:t xml:space="preserve">, результаты собираются функцией</w:t>
      </w:r>
      <w:r>
        <w:t xml:space="preserve"> </w:t>
      </w:r>
      <w:r>
        <w:rPr>
          <w:rStyle w:val="VerbatimChar"/>
        </w:rPr>
        <w:t xml:space="preserve">out</w:t>
      </w:r>
      <w:r>
        <w:t xml:space="preserve">.</w:t>
      </w:r>
    </w:p>
    <w:p>
      <w:pPr>
        <w:pStyle w:val="BodyText"/>
      </w:pPr>
      <w:r>
        <w:t xml:space="preserve">Базовый эксперимент выполнен с параметрами, приведёнными в</w:t>
      </w:r>
      <w:r>
        <w:t xml:space="preserve"> </w:t>
      </w:r>
      <w:r>
        <w:t xml:space="preserve">[табл. @tbl-base-params]</w:t>
      </w:r>
      <w:r>
        <w:t xml:space="preserve">.</w:t>
      </w:r>
    </w:p>
    <w:bookmarkStart w:id="13" w:name="tbl-base-params"/>
    <w:p>
      <w:pPr>
        <w:pStyle w:val="TableCaption"/>
      </w:pPr>
      <w:r>
        <w:t xml:space="preserve">Параметры базового эксперимента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базового эксперимент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длительность моделирования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</w:pPr>
            <w:r>
              <w:t xml:space="preserve">начальное число восприимчивых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начальное число инфицированных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начальное число переболевших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вероятность заражения при контакте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частота контактов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интенсивность выздоровления</w:t>
            </w:r>
          </w:p>
        </w:tc>
      </w:tr>
    </w:tbl>
    <w:bookmarkEnd w:id="13"/>
    <w:p>
      <w:pPr>
        <w:pStyle w:val="BodyText"/>
      </w:pPr>
      <w:r>
        <w:t xml:space="preserve">На</w:t>
      </w:r>
      <w:r>
        <w:t xml:space="preserve"> </w:t>
      </w:r>
      <w:r>
        <w:t xml:space="preserve">[рис. @fig-sir-des]</w:t>
      </w:r>
      <w:r>
        <w:t xml:space="preserve"> </w:t>
      </w:r>
      <w:r>
        <w:t xml:space="preserve">показана динамика базовой дискретно-событийной модели.</w:t>
      </w:r>
    </w:p>
    <w:bookmarkStart w:id="17" w:name="fig-sir-des"/>
    <w:p>
      <w:pPr>
        <w:pStyle w:val="CaptionedFigure"/>
      </w:pPr>
      <w:r>
        <w:drawing>
          <wp:inline>
            <wp:extent cx="4800600" cy="3200400"/>
            <wp:effectExtent b="0" l="0" r="0" t="0"/>
            <wp:docPr descr="Базовая дискретно-событийная SIR модель" title="" id="15" name="Picture"/>
            <a:graphic>
              <a:graphicData uri="http://schemas.openxmlformats.org/drawingml/2006/picture">
                <pic:pic>
                  <pic:nvPicPr>
                    <pic:cNvPr descr="../plots/sir_d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дискретно-событийная SIR модель</w:t>
      </w:r>
    </w:p>
    <w:bookmarkEnd w:id="17"/>
    <w:bookmarkEnd w:id="18"/>
    <w:bookmarkStart w:id="31" w:name="анализ-чувствительности"/>
    <w:p>
      <w:pPr>
        <w:pStyle w:val="Heading2"/>
      </w:pPr>
      <w:r>
        <w:t xml:space="preserve">Анализ чувствительности</w:t>
      </w:r>
    </w:p>
    <w:p>
      <w:pPr>
        <w:pStyle w:val="FirstParagraph"/>
      </w:pPr>
      <w:r>
        <w:t xml:space="preserve">Для анализа чувствительности выполнены серии запусков по параметрам</w:t>
      </w:r>
      <w:r>
        <w:t xml:space="preserve"> </w:t>
      </w:r>
      <w:r>
        <w:rPr>
          <w:rStyle w:val="VerbatimChar"/>
        </w:rPr>
        <w:t xml:space="preserve">β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γ</w:t>
      </w:r>
      <w:r>
        <w:t xml:space="preserve">. Увеличение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усиливает распространение инфекции, повышает пик инфицированных и ускоряет его наступление. Увеличение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сокращает среднее время болезни, поэтому пик инфекции уменьшается, а эпидемическая волна затухает быстрее.</w:t>
      </w:r>
    </w:p>
    <w:p>
      <w:pPr>
        <w:pStyle w:val="BodyText"/>
      </w:pPr>
      <w:r>
        <w:t xml:space="preserve">Пример влияния вероятности заражения показан на</w:t>
      </w:r>
      <w:r>
        <w:t xml:space="preserve"> </w:t>
      </w:r>
      <w:r>
        <w:t xml:space="preserve">[рис. @fig-beta-003]</w:t>
      </w:r>
      <w:r>
        <w:t xml:space="preserve">,</w:t>
      </w:r>
      <w:r>
        <w:t xml:space="preserve"> </w:t>
      </w:r>
      <w:r>
        <w:t xml:space="preserve">[рис. @fig-beta-005]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@fig-beta-007]</w:t>
      </w:r>
      <w:r>
        <w:t xml:space="preserve">.</w:t>
      </w:r>
    </w:p>
    <w:bookmarkStart w:id="22" w:name="fig-beta-003"/>
    <w:p>
      <w:pPr>
        <w:pStyle w:val="CaptionedFigure"/>
      </w:pPr>
      <w:r>
        <w:drawing>
          <wp:inline>
            <wp:extent cx="4267200" cy="2844800"/>
            <wp:effectExtent b="0" l="0" r="0" t="0"/>
            <wp:docPr descr="SIR при β=0.03" title="" id="20" name="Picture"/>
            <a:graphic>
              <a:graphicData uri="http://schemas.openxmlformats.org/drawingml/2006/picture">
                <pic:pic>
                  <pic:nvPicPr>
                    <pic:cNvPr descr="../plots/sir_beta_0.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при β=0.03</w:t>
      </w:r>
    </w:p>
    <w:bookmarkEnd w:id="22"/>
    <w:bookmarkStart w:id="26" w:name="fig-beta-005"/>
    <w:p>
      <w:pPr>
        <w:pStyle w:val="CaptionedFigure"/>
      </w:pPr>
      <w:r>
        <w:drawing>
          <wp:inline>
            <wp:extent cx="4267200" cy="2844800"/>
            <wp:effectExtent b="0" l="0" r="0" t="0"/>
            <wp:docPr descr="SIR при β=0.05" title="" id="24" name="Picture"/>
            <a:graphic>
              <a:graphicData uri="http://schemas.openxmlformats.org/drawingml/2006/picture">
                <pic:pic>
                  <pic:nvPicPr>
                    <pic:cNvPr descr="../plots/sir_beta_0.0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при β=0.05</w:t>
      </w:r>
    </w:p>
    <w:bookmarkEnd w:id="26"/>
    <w:bookmarkStart w:id="30" w:name="fig-beta-007"/>
    <w:p>
      <w:pPr>
        <w:pStyle w:val="CaptionedFigure"/>
      </w:pPr>
      <w:r>
        <w:drawing>
          <wp:inline>
            <wp:extent cx="4267200" cy="2844800"/>
            <wp:effectExtent b="0" l="0" r="0" t="0"/>
            <wp:docPr descr="SIR при β=0.07" title="" id="28" name="Picture"/>
            <a:graphic>
              <a:graphicData uri="http://schemas.openxmlformats.org/drawingml/2006/picture">
                <pic:pic>
                  <pic:nvPicPr>
                    <pic:cNvPr descr="../plots/sir_beta_0.0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при β=0.07</w:t>
      </w:r>
    </w:p>
    <w:bookmarkEnd w:id="30"/>
    <w:bookmarkEnd w:id="31"/>
    <w:bookmarkStart w:id="36" w:name="детерминированная-длительность-болезни"/>
    <w:p>
      <w:pPr>
        <w:pStyle w:val="Heading2"/>
      </w:pPr>
      <w:r>
        <w:t xml:space="preserve">Детерминированная длительность болезни</w:t>
      </w:r>
    </w:p>
    <w:p>
      <w:pPr>
        <w:pStyle w:val="FirstParagraph"/>
      </w:pPr>
      <w:r>
        <w:t xml:space="preserve">В стохастической версии время выздоровления распределено экспоненциально. В модифицированной версии оно заменено фиксированной величиной</w:t>
      </w:r>
      <w:r>
        <w:t xml:space="preserve"> </w:t>
      </w:r>
      <w:r>
        <w:rPr>
          <w:rStyle w:val="VerbatimChar"/>
        </w:rPr>
        <w:t xml:space="preserve">1/γ</w:t>
      </w:r>
      <w:r>
        <w:t xml:space="preserve">. Сравнение числа инфицированных приведено на</w:t>
      </w:r>
      <w:r>
        <w:t xml:space="preserve"> </w:t>
      </w:r>
      <w:r>
        <w:t xml:space="preserve">[рис. @fig-recovery-compare]</w:t>
      </w:r>
      <w:r>
        <w:t xml:space="preserve">.</w:t>
      </w:r>
    </w:p>
    <w:bookmarkStart w:id="35" w:name="fig-recovery-compare"/>
    <w:p>
      <w:pPr>
        <w:pStyle w:val="CaptionedFigure"/>
      </w:pPr>
      <w:r>
        <w:drawing>
          <wp:inline>
            <wp:extent cx="4800600" cy="3200400"/>
            <wp:effectExtent b="0" l="0" r="0" t="0"/>
            <wp:docPr descr="Сравнение стохастического и детерминированного выздоровления" title="" id="33" name="Picture"/>
            <a:graphic>
              <a:graphicData uri="http://schemas.openxmlformats.org/drawingml/2006/picture">
                <pic:pic>
                  <pic:nvPicPr>
                    <pic:cNvPr descr="../plots/sir_recovery_compa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стохастического и детерминированного выздоровления</w:t>
      </w:r>
    </w:p>
    <w:bookmarkEnd w:id="35"/>
    <w:bookmarkEnd w:id="36"/>
    <w:bookmarkStart w:id="49" w:name="вакцинация-демография-и-seir"/>
    <w:p>
      <w:pPr>
        <w:pStyle w:val="Heading2"/>
      </w:pPr>
      <w:r>
        <w:t xml:space="preserve">Вакцинация, демография и SEIR</w:t>
      </w:r>
    </w:p>
    <w:p>
      <w:pPr>
        <w:pStyle w:val="FirstParagraph"/>
      </w:pPr>
      <w:r>
        <w:t xml:space="preserve">Событие вакцинации переводит заданную долю восприимчивых индивидов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в фиксированный момент времени. Результат вакцинации 30% восприимчивых в момент</w:t>
      </w:r>
      <w:r>
        <w:t xml:space="preserve"> </w:t>
      </w:r>
      <w:r>
        <w:rPr>
          <w:rStyle w:val="VerbatimChar"/>
        </w:rPr>
        <w:t xml:space="preserve">t=10</w:t>
      </w:r>
      <w:r>
        <w:t xml:space="preserve"> </w:t>
      </w:r>
      <w:r>
        <w:t xml:space="preserve">показан на</w:t>
      </w:r>
      <w:r>
        <w:t xml:space="preserve"> </w:t>
      </w:r>
      <w:r>
        <w:t xml:space="preserve">[рис. @fig-vaccination]</w:t>
      </w:r>
      <w:r>
        <w:t xml:space="preserve">.</w:t>
      </w:r>
    </w:p>
    <w:bookmarkStart w:id="40" w:name="fig-vaccination"/>
    <w:p>
      <w:pPr>
        <w:pStyle w:val="CaptionedFigure"/>
      </w:pPr>
      <w:r>
        <w:drawing>
          <wp:inline>
            <wp:extent cx="4800600" cy="3200400"/>
            <wp:effectExtent b="0" l="0" r="0" t="0"/>
            <wp:docPr descr="SIR модель с вакцинацией" title="" id="38" name="Picture"/>
            <a:graphic>
              <a:graphicData uri="http://schemas.openxmlformats.org/drawingml/2006/picture">
                <pic:pic>
                  <pic:nvPicPr>
                    <pic:cNvPr descr="../plots/sir_vaccin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модель с вакцинацией</w:t>
      </w:r>
    </w:p>
    <w:bookmarkEnd w:id="40"/>
    <w:p>
      <w:pPr>
        <w:pStyle w:val="BodyText"/>
      </w:pPr>
      <w:r>
        <w:t xml:space="preserve">Демографическая модификация учитывает рождения и смерти, что позволяет получить модель с изменяющейся численностью популяции. Результат показан на</w:t>
      </w:r>
      <w:r>
        <w:t xml:space="preserve"> </w:t>
      </w:r>
      <w:r>
        <w:t xml:space="preserve">[рис. @fig-demographic]</w:t>
      </w:r>
      <w:r>
        <w:t xml:space="preserve">.</w:t>
      </w:r>
    </w:p>
    <w:bookmarkStart w:id="44" w:name="fig-demographic"/>
    <w:p>
      <w:pPr>
        <w:pStyle w:val="CaptionedFigure"/>
      </w:pPr>
      <w:r>
        <w:drawing>
          <wp:inline>
            <wp:extent cx="4800600" cy="3200400"/>
            <wp:effectExtent b="0" l="0" r="0" t="0"/>
            <wp:docPr descr="SIR модель с демографическими событиями" title="" id="42" name="Picture"/>
            <a:graphic>
              <a:graphicData uri="http://schemas.openxmlformats.org/drawingml/2006/picture">
                <pic:pic>
                  <pic:nvPicPr>
                    <pic:cNvPr descr="../plots/sir_demographic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 модель с демографическими событиями</w:t>
      </w:r>
    </w:p>
    <w:bookmarkEnd w:id="44"/>
    <w:p>
      <w:pPr>
        <w:pStyle w:val="BodyText"/>
      </w:pPr>
      <w:r>
        <w:t xml:space="preserve">В модели SEIR добавлено латентное состояние</w:t>
      </w:r>
      <w:r>
        <w:t xml:space="preserve"> </w:t>
      </w:r>
      <w:r>
        <w:rPr>
          <w:rStyle w:val="VerbatimChar"/>
        </w:rPr>
        <w:t xml:space="preserve">E</w:t>
      </w:r>
      <w:r>
        <w:t xml:space="preserve">. После заражения индивид сначала переходит в</w:t>
      </w:r>
      <w:r>
        <w:t xml:space="preserve"> </w:t>
      </w:r>
      <w:r>
        <w:rPr>
          <w:rStyle w:val="VerbatimChar"/>
        </w:rPr>
        <w:t xml:space="preserve">E</w:t>
      </w:r>
      <w:r>
        <w:t xml:space="preserve">, затем становится инфекционным</w:t>
      </w:r>
      <w:r>
        <w:t xml:space="preserve"> </w:t>
      </w:r>
      <w:r>
        <w:rPr>
          <w:rStyle w:val="VerbatimChar"/>
        </w:rPr>
        <w:t xml:space="preserve">I</w:t>
      </w:r>
      <w:r>
        <w:t xml:space="preserve">, а после выздоровления переходит в</w:t>
      </w:r>
      <w:r>
        <w:t xml:space="preserve"> </w:t>
      </w:r>
      <w:r>
        <w:rPr>
          <w:rStyle w:val="VerbatimChar"/>
        </w:rPr>
        <w:t xml:space="preserve">R</w:t>
      </w:r>
      <w:r>
        <w:t xml:space="preserve">. Результат приведён на</w:t>
      </w:r>
      <w:r>
        <w:t xml:space="preserve"> </w:t>
      </w:r>
      <w:r>
        <w:t xml:space="preserve">[рис. @fig-seir]</w:t>
      </w:r>
      <w:r>
        <w:t xml:space="preserve">.</w:t>
      </w:r>
    </w:p>
    <w:bookmarkStart w:id="48" w:name="fig-seir"/>
    <w:p>
      <w:pPr>
        <w:pStyle w:val="CaptionedFigure"/>
      </w:pPr>
      <w:r>
        <w:drawing>
          <wp:inline>
            <wp:extent cx="4800600" cy="3200400"/>
            <wp:effectExtent b="0" l="0" r="0" t="0"/>
            <wp:docPr descr="SEIR модель с латентным периодом" title="" id="46" name="Picture"/>
            <a:graphic>
              <a:graphicData uri="http://schemas.openxmlformats.org/drawingml/2006/picture">
                <pic:pic>
                  <pic:nvPicPr>
                    <pic:cNvPr descr="../plots/sei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SEIR модель с латентным периодом</w:t>
      </w:r>
    </w:p>
    <w:bookmarkEnd w:id="48"/>
    <w:bookmarkEnd w:id="49"/>
    <w:bookmarkStart w:id="50" w:name="производительность"/>
    <w:p>
      <w:pPr>
        <w:pStyle w:val="Heading2"/>
      </w:pPr>
      <w:r>
        <w:t xml:space="preserve">Производительность</w:t>
      </w:r>
    </w:p>
    <w:p>
      <w:pPr>
        <w:pStyle w:val="FirstParagraph"/>
      </w:pPr>
      <w:r>
        <w:t xml:space="preserve">Для оценки производительности используется</w:t>
      </w:r>
      <w:r>
        <w:t xml:space="preserve"> </w:t>
      </w:r>
      <w:r>
        <w:rPr>
          <w:rStyle w:val="VerbatimChar"/>
        </w:rPr>
        <w:t xml:space="preserve">BenchmarkTools.@benchmark</w:t>
      </w:r>
      <w:r>
        <w:t xml:space="preserve"> </w:t>
      </w:r>
      <w:r>
        <w:t xml:space="preserve">на популяции 10000 индивидов. Результат сохраняется в</w:t>
      </w:r>
      <w:r>
        <w:t xml:space="preserve"> </w:t>
      </w:r>
      <w:r>
        <w:rPr>
          <w:rStyle w:val="VerbatimChar"/>
        </w:rPr>
        <w:t xml:space="preserve">data/sims/benchmark.txt</w:t>
      </w:r>
      <w:r>
        <w:t xml:space="preserve">. Возможные направления оптимизации: хранить списки индивидов по состояниям, предварительно генерировать случайные величины, уменьшать число обращений к полному массиву агентов при выборе контакта.</w:t>
      </w:r>
    </w:p>
    <w:bookmarkEnd w:id="50"/>
    <w:bookmarkStart w:id="51" w:name="литературный-код"/>
    <w:p>
      <w:pPr>
        <w:pStyle w:val="Heading2"/>
      </w:pPr>
      <w:r>
        <w:t xml:space="preserve">Литературный код</w:t>
      </w:r>
    </w:p>
    <w:p>
      <w:pPr>
        <w:pStyle w:val="FirstParagraph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literate/sir_literate.jl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literate/sir_parameters.jl</w:t>
      </w:r>
      <w:r>
        <w:t xml:space="preserve"> </w:t>
      </w:r>
      <w:r>
        <w:t xml:space="preserve">являются источниками, из которых генерируются чистые Julia-скрипты, Jupyter notebooks и Markdown/Quarto-документация. Это обеспечивает воспроизводимость: один источник используется для кода, notebook и документации.</w:t>
      </w:r>
    </w:p>
    <w:bookmarkEnd w:id="51"/>
    <w:bookmarkEnd w:id="52"/>
    <w:bookmarkStart w:id="5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реализована дискретно-событийная стохастическая SIR модель на Julia, выполнен базовый прогон, сохранены графики и CSV-файлы, проведён анализ чувствительности параметров, добавлены модификации с детерминированным выздоровлением, вакцинацией, демографическими событиями и латентным периодом SEIR. Подготовлены литературные исходники, notebook, Quarto-документация, отчёт и презентация.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41" Target="media/rId41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</dc:title>
  <dc:creator/>
  <cp:keywords/>
  <dcterms:created xsi:type="dcterms:W3CDTF">2026-05-30T13:09:13Z</dcterms:created>
  <dcterms:modified xsi:type="dcterms:W3CDTF">2026-05-30T13:09:13Z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Реализация основных моделей в дискретно-событийном подходе</vt:lpwstr>
  </property>
</Properties>
</file>