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лабораторная-работа-4"/>
    <w:p>
      <w:pPr>
        <w:pStyle w:val="Heading1"/>
      </w:pPr>
      <w:r>
        <w:t xml:space="preserve">Лабораторная работа №4</w:t>
      </w:r>
    </w:p>
    <w:bookmarkStart w:id="9" w:name="выполнил"/>
    <w:p>
      <w:pPr>
        <w:pStyle w:val="Heading2"/>
      </w:pPr>
      <w:r>
        <w:t xml:space="preserve">Выполнил</w:t>
      </w:r>
    </w:p>
    <w:p>
      <w:pPr>
        <w:pStyle w:val="FirstParagraph"/>
      </w:pPr>
      <w:r>
        <w:t xml:space="preserve">Гашимов Кенан Мухтар оглы</w:t>
      </w:r>
      <w:r>
        <w:br/>
      </w:r>
      <w:r>
        <w:t xml:space="preserve">Группа: НКНбд-01-23</w:t>
      </w:r>
      <w:r>
        <w:br/>
      </w:r>
      <w:r>
        <w:t xml:space="preserve">Студенческий билет: 1032235820</w:t>
      </w:r>
    </w:p>
    <w:bookmarkEnd w:id="9"/>
    <w:bookmarkStart w:id="10" w:name="дисциплина"/>
    <w:p>
      <w:pPr>
        <w:pStyle w:val="Heading2"/>
      </w:pPr>
      <w:r>
        <w:t xml:space="preserve">Дисциплина</w:t>
      </w:r>
    </w:p>
    <w:p>
      <w:pPr>
        <w:pStyle w:val="FirstParagraph"/>
      </w:pPr>
      <w:r>
        <w:t xml:space="preserve">Имитационное моделирование</w:t>
      </w:r>
    </w:p>
    <w:bookmarkEnd w:id="10"/>
    <w:bookmarkStart w:id="11" w:name="тема"/>
    <w:p>
      <w:pPr>
        <w:pStyle w:val="Heading2"/>
      </w:pPr>
      <w:r>
        <w:t xml:space="preserve">Тема</w:t>
      </w:r>
    </w:p>
    <w:p>
      <w:pPr>
        <w:pStyle w:val="FirstParagraph"/>
      </w:pPr>
      <w:r>
        <w:t xml:space="preserve">Статистический анализ результатов имитационного эксперимента</w:t>
      </w:r>
    </w:p>
    <w:bookmarkEnd w:id="11"/>
    <w:bookmarkStart w:id="12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Освоить построение и анализ имитационной модели, выполнить серию вычислительных экспериментов и оценить устойчивость показателей модели по статистическим критериям.</w:t>
      </w:r>
    </w:p>
    <w:bookmarkEnd w:id="12"/>
    <w:bookmarkStart w:id="13" w:name="постановка-задачи"/>
    <w:p>
      <w:pPr>
        <w:pStyle w:val="Heading2"/>
      </w:pPr>
      <w:r>
        <w:t xml:space="preserve">Постановка задачи</w:t>
      </w:r>
    </w:p>
    <w:p>
      <w:pPr>
        <w:pStyle w:val="FirstParagraph"/>
      </w:pPr>
      <w:r>
        <w:t xml:space="preserve">Требуется провести моделирование системы массового обслуживания с одним обслуживающим прибором (M/M/1) и исследовать влияние интенсивности поступления заявок на:</w:t>
      </w:r>
    </w:p>
    <w:p>
      <w:pPr>
        <w:pStyle w:val="Compact"/>
        <w:numPr>
          <w:ilvl w:val="0"/>
          <w:numId w:val="1001"/>
        </w:numPr>
      </w:pPr>
      <w:r>
        <w:t xml:space="preserve">среднее время ожидания;</w:t>
      </w:r>
    </w:p>
    <w:p>
      <w:pPr>
        <w:pStyle w:val="Compact"/>
        <w:numPr>
          <w:ilvl w:val="0"/>
          <w:numId w:val="1001"/>
        </w:numPr>
      </w:pPr>
      <w:r>
        <w:t xml:space="preserve">среднюю длину очереди;</w:t>
      </w:r>
    </w:p>
    <w:p>
      <w:pPr>
        <w:pStyle w:val="Compact"/>
        <w:numPr>
          <w:ilvl w:val="0"/>
          <w:numId w:val="1001"/>
        </w:numPr>
      </w:pPr>
      <w:r>
        <w:t xml:space="preserve">загрузку прибора;</w:t>
      </w:r>
    </w:p>
    <w:p>
      <w:pPr>
        <w:pStyle w:val="Compact"/>
        <w:numPr>
          <w:ilvl w:val="0"/>
          <w:numId w:val="1001"/>
        </w:numPr>
      </w:pPr>
      <w:r>
        <w:t xml:space="preserve">долю заявок, не ожидающих в очереди.</w:t>
      </w:r>
    </w:p>
    <w:p>
      <w:pPr>
        <w:pStyle w:val="FirstParagraph"/>
      </w:pPr>
      <w:r>
        <w:t xml:space="preserve">Исходные параметры эксперимента:</w:t>
      </w:r>
    </w:p>
    <w:p>
      <w:pPr>
        <w:pStyle w:val="Compact"/>
        <w:numPr>
          <w:ilvl w:val="0"/>
          <w:numId w:val="1002"/>
        </w:numPr>
      </w:pPr>
      <w:r>
        <w:t xml:space="preserve">интенсивность поступления заявок: (</w:t>
      </w:r>
      <w:r>
        <w:t xml:space="preserve">= 0.4, 0.6, 0.8);</w:t>
      </w:r>
    </w:p>
    <w:p>
      <w:pPr>
        <w:pStyle w:val="Compact"/>
        <w:numPr>
          <w:ilvl w:val="0"/>
          <w:numId w:val="1002"/>
        </w:numPr>
      </w:pPr>
      <w:r>
        <w:t xml:space="preserve">интенсивность обслуживания: (</w:t>
      </w:r>
      <w:r>
        <w:t xml:space="preserve">= 1.0);</w:t>
      </w:r>
    </w:p>
    <w:p>
      <w:pPr>
        <w:pStyle w:val="Compact"/>
        <w:numPr>
          <w:ilvl w:val="0"/>
          <w:numId w:val="1002"/>
        </w:numPr>
      </w:pPr>
      <w:r>
        <w:t xml:space="preserve">длительность моделирования: 10_000 единиц модельного времени;</w:t>
      </w:r>
    </w:p>
    <w:p>
      <w:pPr>
        <w:pStyle w:val="Compact"/>
        <w:numPr>
          <w:ilvl w:val="0"/>
          <w:numId w:val="1002"/>
        </w:numPr>
      </w:pPr>
      <w:r>
        <w:t xml:space="preserve">число прогонов для каждой конфигурации: 20.</w:t>
      </w:r>
    </w:p>
    <w:bookmarkEnd w:id="13"/>
    <w:bookmarkStart w:id="14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3"/>
        </w:numPr>
      </w:pPr>
      <w:r>
        <w:t xml:space="preserve">Определена структура модели и набор целевых метрик.</w:t>
      </w:r>
    </w:p>
    <w:p>
      <w:pPr>
        <w:pStyle w:val="Compact"/>
        <w:numPr>
          <w:ilvl w:val="0"/>
          <w:numId w:val="1003"/>
        </w:numPr>
      </w:pPr>
      <w:r>
        <w:t xml:space="preserve">Подготовлены параметры серии экспериментов по трём значениям (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Для каждой конфигурации выполнены независимые прогоны модели.</w:t>
      </w:r>
    </w:p>
    <w:p>
      <w:pPr>
        <w:pStyle w:val="Compact"/>
        <w:numPr>
          <w:ilvl w:val="0"/>
          <w:numId w:val="1003"/>
        </w:numPr>
      </w:pPr>
      <w:r>
        <w:t xml:space="preserve">Рассчитаны средние значения и доверительные интервалы для ключевых показателей.</w:t>
      </w:r>
    </w:p>
    <w:p>
      <w:pPr>
        <w:pStyle w:val="Compact"/>
        <w:numPr>
          <w:ilvl w:val="0"/>
          <w:numId w:val="1003"/>
        </w:numPr>
      </w:pPr>
      <w:r>
        <w:t xml:space="preserve">Выполнено сравнение результатов между конфигурациями нагрузки.</w:t>
      </w:r>
    </w:p>
    <w:bookmarkEnd w:id="14"/>
    <w:bookmarkStart w:id="15" w:name="полученные-результаты"/>
    <w:p>
      <w:pPr>
        <w:pStyle w:val="Heading2"/>
      </w:pPr>
      <w:r>
        <w:t xml:space="preserve">Полученные результаты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Среднее ожидание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Средняя очередь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Загрузка прибора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без ожидания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</w:tbl>
    <w:p>
      <w:pPr>
        <w:pStyle w:val="BodyText"/>
      </w:pPr>
      <w:r>
        <w:t xml:space="preserve">Наблюдается закономерный рост времени ожидания и длины очереди при увеличении входной нагрузки. При (</w:t>
      </w:r>
      <w:r>
        <w:t xml:space="preserve">= 0.8) система работает вблизи перегруженного режима.</w:t>
      </w:r>
    </w:p>
    <w:bookmarkEnd w:id="15"/>
    <w:bookmarkStart w:id="16" w:name="анализ"/>
    <w:p>
      <w:pPr>
        <w:pStyle w:val="Heading2"/>
      </w:pPr>
      <w:r>
        <w:t xml:space="preserve">Анализ</w:t>
      </w:r>
    </w:p>
    <w:p>
      <w:pPr>
        <w:pStyle w:val="Compact"/>
        <w:numPr>
          <w:ilvl w:val="0"/>
          <w:numId w:val="1004"/>
        </w:numPr>
      </w:pPr>
      <w:r>
        <w:t xml:space="preserve">Увеличение интенсивности входного потока приводит к нелинейному ухудшению показателей ожидания.</w:t>
      </w:r>
    </w:p>
    <w:p>
      <w:pPr>
        <w:pStyle w:val="Compact"/>
        <w:numPr>
          <w:ilvl w:val="0"/>
          <w:numId w:val="1004"/>
        </w:numPr>
      </w:pPr>
      <w:r>
        <w:t xml:space="preserve">Загрузка прибора практически совпадает с отношением (</w:t>
      </w:r>
      <w: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t xml:space="preserve">), что подтверждает корректность модели.</w:t>
      </w:r>
    </w:p>
    <w:p>
      <w:pPr>
        <w:pStyle w:val="Compact"/>
        <w:numPr>
          <w:ilvl w:val="0"/>
          <w:numId w:val="1004"/>
        </w:numPr>
      </w:pPr>
      <w:r>
        <w:t xml:space="preserve">Для (</w:t>
      </w:r>
      <w:r>
        <w:t xml:space="preserve">= 0.8) целесообразно увеличивать производительность обслуживания или вводить дополнительный канал.</w:t>
      </w:r>
    </w:p>
    <w:bookmarkEnd w:id="16"/>
    <w:bookmarkStart w:id="17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В лабораторной работе проведён имитационный эксперимент для системы M/M/1. Получены устойчивые статистические оценки метрик, подтверждающие ожидаемое поведение системы при росте нагрузки. Цель работы достигнута.</w:t>
      </w:r>
    </w:p>
    <w:bookmarkEnd w:id="17"/>
    <w:bookmarkStart w:id="18" w:name="список-источников"/>
    <w:p>
      <w:pPr>
        <w:pStyle w:val="Heading2"/>
      </w:pPr>
      <w:r>
        <w:t xml:space="preserve">Список источников</w:t>
      </w:r>
    </w:p>
    <w:p>
      <w:pPr>
        <w:pStyle w:val="Compact"/>
        <w:numPr>
          <w:ilvl w:val="0"/>
          <w:numId w:val="1005"/>
        </w:numPr>
      </w:pPr>
      <w:r>
        <w:t xml:space="preserve">Banks J. Discrete-Event System Simulation. Pearson.</w:t>
      </w:r>
    </w:p>
    <w:p>
      <w:pPr>
        <w:pStyle w:val="Compact"/>
        <w:numPr>
          <w:ilvl w:val="0"/>
          <w:numId w:val="1005"/>
        </w:numPr>
      </w:pPr>
      <w:r>
        <w:t xml:space="preserve">Law A. Simulation Modeling and Analysis. McGraw-Hill.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2026-04-04T16:36:02Z</dcterms:created>
  <dcterms:modified xsi:type="dcterms:W3CDTF">2026-04-04T16:36:02Z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