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7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1.png" ContentType="image/png"/>
  <Override PartName="/word/media/rId26.png" ContentType="image/png"/>
  <Override PartName="/word/media/rId84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29.png" ContentType="image/png"/>
  <Override PartName="/word/media/rId109.png" ContentType="image/png"/>
  <Override PartName="/word/media/rId112.png" ContentType="image/png"/>
  <Override PartName="/word/media/rId115.png" ContentType="image/png"/>
  <Override PartName="/word/media/rId119.png" ContentType="image/png"/>
  <Override PartName="/word/media/rId122.png" ContentType="image/png"/>
  <Override PartName="/word/media/rId32.png" ContentType="image/png"/>
  <Override PartName="/word/media/rId36.png" ContentType="image/png"/>
  <Override PartName="/word/media/rId39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Реализация SIR-модели в агентном подходе</w:t>
      </w:r>
    </w:p>
    <w:bookmarkStart w:id="15" w:name="общая-информация"/>
    <w:p>
      <w:pPr>
        <w:pStyle w:val="Heading1"/>
      </w:pPr>
      <w:r>
        <w:t xml:space="preserve">Общая информация</w:t>
      </w:r>
    </w:p>
    <w:bookmarkStart w:id="9" w:name="данные-студента"/>
    <w:p>
      <w:pPr>
        <w:pStyle w:val="Heading2"/>
      </w:pPr>
      <w:r>
        <w:t xml:space="preserve">Данные студента</w:t>
      </w:r>
    </w:p>
    <w:p>
      <w:pPr>
        <w:pStyle w:val="Compact"/>
        <w:numPr>
          <w:ilvl w:val="0"/>
          <w:numId w:val="1001"/>
        </w:numPr>
      </w:pPr>
      <w:r>
        <w:t xml:space="preserve">ФИО:</w:t>
      </w:r>
      <w:r>
        <w:t xml:space="preserve"> </w:t>
      </w:r>
      <w:r>
        <w:rPr>
          <w:b/>
          <w:bCs/>
        </w:rPr>
        <w:t xml:space="preserve">Гашимов Кенан Мухтар оглы</w:t>
      </w:r>
    </w:p>
    <w:p>
      <w:pPr>
        <w:pStyle w:val="Compact"/>
        <w:numPr>
          <w:ilvl w:val="0"/>
          <w:numId w:val="1001"/>
        </w:numPr>
      </w:pPr>
      <w:r>
        <w:t xml:space="preserve">Группа:</w:t>
      </w:r>
      <w:r>
        <w:t xml:space="preserve"> </w:t>
      </w:r>
      <w:r>
        <w:rPr>
          <w:b/>
          <w:bCs/>
        </w:rPr>
        <w:t xml:space="preserve">НКНбд-01-23</w:t>
      </w:r>
    </w:p>
    <w:p>
      <w:pPr>
        <w:pStyle w:val="Compact"/>
        <w:numPr>
          <w:ilvl w:val="0"/>
          <w:numId w:val="1001"/>
        </w:numPr>
      </w:pPr>
      <w:r>
        <w:t xml:space="preserve">Студенческий билет:</w:t>
      </w:r>
      <w:r>
        <w:t xml:space="preserve"> </w:t>
      </w:r>
      <w:r>
        <w:rPr>
          <w:b/>
          <w:bCs/>
        </w:rPr>
        <w:t xml:space="preserve">1032235820</w:t>
      </w:r>
    </w:p>
    <w:bookmarkEnd w:id="9"/>
    <w:bookmarkStart w:id="14" w:name="ссылки-на-репозиторий-и-релизы"/>
    <w:p>
      <w:pPr>
        <w:pStyle w:val="Heading2"/>
      </w:pPr>
      <w:r>
        <w:t xml:space="preserve">Ссылки на репозиторий и релизы</w:t>
      </w:r>
    </w:p>
    <w:p>
      <w:pPr>
        <w:pStyle w:val="Compact"/>
        <w:numPr>
          <w:ilvl w:val="0"/>
          <w:numId w:val="1002"/>
        </w:numPr>
      </w:pPr>
      <w:r>
        <w:t xml:space="preserve">GitHub (repo):</w:t>
      </w:r>
      <w:r>
        <w:t xml:space="preserve"> </w:t>
      </w:r>
      <w:hyperlink r:id="rId10">
        <w:r>
          <w:rPr>
            <w:rStyle w:val="Hyperlink"/>
          </w:rPr>
          <w:t xml:space="preserve">https://github.com/Eddie-dk1/2026-1--study--simulation-modeling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GitHub (release):</w:t>
      </w:r>
      <w:r>
        <w:t xml:space="preserve"> </w:t>
      </w:r>
      <w:hyperlink r:id="rId11">
        <w:r>
          <w:rPr>
            <w:rStyle w:val="Hyperlink"/>
          </w:rPr>
          <w:t xml:space="preserve">https://github.com/Eddie-dk1/2026-1--study--simulation-modeling/releases/tag/lab04</w:t>
        </w:r>
      </w:hyperlink>
    </w:p>
    <w:p>
      <w:pPr>
        <w:pStyle w:val="Compact"/>
        <w:numPr>
          <w:ilvl w:val="0"/>
          <w:numId w:val="1002"/>
        </w:numPr>
      </w:pPr>
      <w:r>
        <w:t xml:space="preserve">GitVerse (repo):</w:t>
      </w:r>
      <w:r>
        <w:t xml:space="preserve"> </w:t>
      </w:r>
      <w:hyperlink r:id="rId12">
        <w:r>
          <w:rPr>
            <w:rStyle w:val="Hyperlink"/>
          </w:rPr>
          <w:t xml:space="preserve">https://gitverse.ru/Kenan/2026-1--study--simulation-modeling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GitVerse (release):</w:t>
      </w:r>
      <w:r>
        <w:t xml:space="preserve"> </w:t>
      </w:r>
      <w:hyperlink r:id="rId13">
        <w:r>
          <w:rPr>
            <w:rStyle w:val="Hyperlink"/>
          </w:rPr>
          <w:t xml:space="preserve">https://gitverse.ru/Kenan/2026-1--study--simulation-modeling/releases/tag/lab04</w:t>
        </w:r>
      </w:hyperlink>
    </w:p>
    <w:bookmarkEnd w:id="14"/>
    <w:bookmarkEnd w:id="15"/>
    <w:bookmarkStart w:id="19" w:name="цель-задачи-и-инструменты"/>
    <w:p>
      <w:pPr>
        <w:pStyle w:val="Heading1"/>
      </w:pPr>
      <w:r>
        <w:t xml:space="preserve">Цель, задачи и инструменты</w:t>
      </w:r>
    </w:p>
    <w:bookmarkStart w:id="16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Разработать и исследовать агентную эпидемиологическую модель SIR, провести серию вычислительных экспериментов, проанализировать влияние ключевых параметров и подготовить воспроизводимый комплект материалов лабораторной работы.</w:t>
      </w:r>
    </w:p>
    <w:bookmarkEnd w:id="16"/>
    <w:bookmarkStart w:id="17" w:name="задачи"/>
    <w:p>
      <w:pPr>
        <w:pStyle w:val="Heading2"/>
      </w:pPr>
      <w:r>
        <w:t xml:space="preserve">Задачи</w:t>
      </w:r>
    </w:p>
    <w:p>
      <w:pPr>
        <w:pStyle w:val="Compact"/>
        <w:numPr>
          <w:ilvl w:val="0"/>
          <w:numId w:val="1003"/>
        </w:numPr>
      </w:pPr>
      <w:r>
        <w:t xml:space="preserve">Подготовить проект на базе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Реализовать SIR-модель в агентном подходе (</w:t>
      </w:r>
      <w:r>
        <w:rPr>
          <w:rStyle w:val="VerbatimChar"/>
        </w:rPr>
        <w:t xml:space="preserve">Agents.jl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Провести базовый и расширенные эксперименты.</w:t>
      </w:r>
    </w:p>
    <w:p>
      <w:pPr>
        <w:pStyle w:val="Compact"/>
        <w:numPr>
          <w:ilvl w:val="0"/>
          <w:numId w:val="1003"/>
        </w:numPr>
      </w:pPr>
      <w:r>
        <w:t xml:space="preserve">Выполнить дополнительные задания (порог, миграция, гетерогенность, карантин, оптимизация).</w:t>
      </w:r>
    </w:p>
    <w:p>
      <w:pPr>
        <w:pStyle w:val="Compact"/>
        <w:numPr>
          <w:ilvl w:val="0"/>
          <w:numId w:val="1003"/>
        </w:numPr>
      </w:pPr>
      <w:r>
        <w:t xml:space="preserve">Подготовить отчёт, презентацию и релизные файлы.</w:t>
      </w:r>
    </w:p>
    <w:bookmarkEnd w:id="17"/>
    <w:bookmarkStart w:id="18" w:name="стек"/>
    <w:p>
      <w:pPr>
        <w:pStyle w:val="Heading2"/>
      </w:pPr>
      <w:r>
        <w:t xml:space="preserve">Стек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Julia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Agents.jl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DrWatson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Literate.jl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BlackBoxOptim</w:t>
      </w:r>
    </w:p>
    <w:bookmarkEnd w:id="18"/>
    <w:bookmarkEnd w:id="19"/>
    <w:bookmarkStart w:id="22" w:name="теоретические-положения"/>
    <w:p>
      <w:pPr>
        <w:pStyle w:val="Heading1"/>
      </w:pPr>
      <w:r>
        <w:t xml:space="preserve">Теоретические положения</w:t>
      </w:r>
    </w:p>
    <w:bookmarkStart w:id="20" w:name="sir-модель"/>
    <w:p>
      <w:pPr>
        <w:pStyle w:val="Heading2"/>
      </w:pPr>
      <w:r>
        <w:t xml:space="preserve">SIR-модель</w:t>
      </w:r>
    </w:p>
    <w:p>
      <w:pPr>
        <w:pStyle w:val="FirstParagraph"/>
      </w:pPr>
      <w:r>
        <w:t xml:space="preserve">Классическая SIR-модель использует три состояния популяции: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— восприимчивые;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</w:t>
      </w:r>
      <w:r>
        <w:t xml:space="preserve"> </w:t>
      </w:r>
      <w:r>
        <w:t xml:space="preserve">— инфицированные;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— выздоровевшие.</w:t>
      </w:r>
    </w:p>
    <w:p>
      <w:pPr>
        <w:pStyle w:val="FirstParagraph"/>
      </w:pPr>
      <w:r>
        <w:t xml:space="preserve">В агентном подходе каждый человек моделируется отдельным агентом, что позволяет добавлять локальные правила (миграцию, карантин, неоднородность параметров).</w:t>
      </w:r>
    </w:p>
    <w:bookmarkEnd w:id="20"/>
    <w:bookmarkStart w:id="21" w:name="базовые-параметры-эксперимента"/>
    <w:p>
      <w:pPr>
        <w:pStyle w:val="Heading2"/>
      </w:pPr>
      <w:r>
        <w:t xml:space="preserve">Базовые параметры эксперимента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[1000, 1000, 1000]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beta_det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infection_period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detection_time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death_rate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reinfection_probability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</w:tr>
    </w:tbl>
    <w:bookmarkEnd w:id="21"/>
    <w:bookmarkEnd w:id="22"/>
    <w:bookmarkStart w:id="43" w:name="подготовка-окружения"/>
    <w:p>
      <w:pPr>
        <w:pStyle w:val="Heading1"/>
      </w:pPr>
      <w:r>
        <w:t xml:space="preserve">Подготовка окружения</w:t>
      </w:r>
    </w:p>
    <w:bookmarkStart w:id="35" w:name="инициализация-и-активация"/>
    <w:p>
      <w:pPr>
        <w:pStyle w:val="Heading2"/>
      </w:pPr>
      <w:r>
        <w:t xml:space="preserve">Инициализация и активация</w:t>
      </w:r>
    </w:p>
    <w:p>
      <w:pPr>
        <w:pStyle w:val="FirstParagraph"/>
      </w:pPr>
      <w:r>
        <w:drawing>
          <wp:inline>
            <wp:extent cx="2560320" cy="14401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/0juli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/1drwats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560320" cy="14401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/2init_proj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/4pkg_activat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установка-зависимостей"/>
    <w:p>
      <w:pPr>
        <w:pStyle w:val="Heading2"/>
      </w:pPr>
      <w:r>
        <w:t xml:space="preserve">Установка зависимостей</w:t>
      </w:r>
    </w:p>
    <w:p>
      <w:pPr>
        <w:pStyle w:val="FirstParagraph"/>
      </w:pPr>
      <w:r>
        <w:drawing>
          <wp:inline>
            <wp:extent cx="2560320" cy="144018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/5pkg_ad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/6pkg_finish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88" w:name="основные-эксперименты"/>
    <w:p>
      <w:pPr>
        <w:pStyle w:val="Heading1"/>
      </w:pPr>
      <w:r>
        <w:t xml:space="preserve">Основные эксперименты</w:t>
      </w:r>
    </w:p>
    <w:bookmarkStart w:id="50" w:name="базовый-запуск"/>
    <w:p>
      <w:pPr>
        <w:pStyle w:val="Heading2"/>
      </w:pPr>
      <w:r>
        <w:t xml:space="preserve">1. Базовый запуск</w:t>
      </w:r>
    </w:p>
    <w:p>
      <w:pPr>
        <w:pStyle w:val="FirstParagraph"/>
      </w:pPr>
      <w:r>
        <w:drawing>
          <wp:inline>
            <wp:extent cx="2240280" cy="126015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/7.0sir_run_basic.j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260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880360" cy="162020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/7.1sir_basic_dynami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1620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06"/>
        </w:numPr>
      </w:pPr>
      <w:r>
        <w:t xml:space="preserve">наблюдается типичная форма эпидемической волны;</w:t>
      </w:r>
    </w:p>
    <w:p>
      <w:pPr>
        <w:pStyle w:val="Compact"/>
        <w:numPr>
          <w:ilvl w:val="0"/>
          <w:numId w:val="1006"/>
        </w:numPr>
      </w:pPr>
      <w:r>
        <w:t xml:space="preserve">при выбранных параметрах эпидемия развивается устойчиво.</w:t>
      </w:r>
    </w:p>
    <w:bookmarkEnd w:id="50"/>
    <w:bookmarkStart w:id="60" w:name="literate-генерация"/>
    <w:p>
      <w:pPr>
        <w:pStyle w:val="Heading2"/>
      </w:pPr>
      <w:r>
        <w:t xml:space="preserve">2. Literate-генерация</w:t>
      </w:r>
    </w:p>
    <w:p>
      <w:pPr>
        <w:pStyle w:val="FirstParagraph"/>
      </w:pPr>
      <w:r>
        <w:drawing>
          <wp:inline>
            <wp:extent cx="1706880" cy="96012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/8sir_run_basic_clea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/9sir_run_basic_literate.m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/10sir_run_basic_literate.ipynb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07"/>
        </w:numPr>
      </w:pPr>
      <w:r>
        <w:t xml:space="preserve">получены три формата (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) из одного источника;</w:t>
      </w:r>
    </w:p>
    <w:p>
      <w:pPr>
        <w:pStyle w:val="Compact"/>
        <w:numPr>
          <w:ilvl w:val="0"/>
          <w:numId w:val="1007"/>
        </w:numPr>
      </w:pPr>
      <w:r>
        <w:t xml:space="preserve">повышена воспроизводимость и проверяемость экспериментов.</w:t>
      </w:r>
    </w:p>
    <w:bookmarkEnd w:id="60"/>
    <w:bookmarkStart w:id="70" w:name="сканирование-beta"/>
    <w:p>
      <w:pPr>
        <w:pStyle w:val="Heading2"/>
      </w:pPr>
      <w:r>
        <w:t xml:space="preserve">3. Сканирование</w:t>
      </w:r>
      <w:r>
        <w:t xml:space="preserve"> </w:t>
      </w:r>
      <w:r>
        <w:rPr>
          <w:rStyle w:val="VerbatimChar"/>
        </w:rPr>
        <w:t xml:space="preserve">beta</w:t>
      </w:r>
    </w:p>
    <w:p>
      <w:pPr>
        <w:pStyle w:val="FirstParagraph"/>
      </w:pPr>
      <w:r>
        <w:drawing>
          <wp:inline>
            <wp:extent cx="1920240" cy="108013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/11.0sir_scan_beta.jl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08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093720" cy="174021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/11.1beta_sca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740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00300" cy="135016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/11.2beta_scan_all.csv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08"/>
        </w:numPr>
      </w:pPr>
      <w:r>
        <w:t xml:space="preserve">рост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приводит к росту пика заражения;</w:t>
      </w:r>
    </w:p>
    <w:p>
      <w:pPr>
        <w:pStyle w:val="Compact"/>
        <w:numPr>
          <w:ilvl w:val="0"/>
          <w:numId w:val="1008"/>
        </w:numPr>
      </w:pPr>
      <w:r>
        <w:t xml:space="preserve">наблюдается пороговая зона перехода к интенсивной вспышке.</w:t>
      </w:r>
    </w:p>
    <w:bookmarkEnd w:id="70"/>
    <w:bookmarkStart w:id="80" w:name="влияние-миграции"/>
    <w:p>
      <w:pPr>
        <w:pStyle w:val="Heading2"/>
      </w:pPr>
      <w:r>
        <w:t xml:space="preserve">4. Влияние миграции</w:t>
      </w:r>
    </w:p>
    <w:p>
      <w:pPr>
        <w:pStyle w:val="FirstParagraph"/>
      </w:pPr>
      <w:r>
        <w:drawing>
          <wp:inline>
            <wp:extent cx="1920240" cy="108013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/15.0sir_migration_effect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08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093720" cy="174021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/15.1migration_effect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740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00300" cy="135016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/15.2migration_scan_all.csv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09"/>
        </w:numPr>
      </w:pPr>
      <w:r>
        <w:t xml:space="preserve">ненулевая миграция ускоряет межгородское распространение;</w:t>
      </w:r>
    </w:p>
    <w:p>
      <w:pPr>
        <w:pStyle w:val="Compact"/>
        <w:numPr>
          <w:ilvl w:val="0"/>
          <w:numId w:val="1009"/>
        </w:numPr>
      </w:pPr>
      <w:r>
        <w:t xml:space="preserve">пик достигается раньше при более активном обмене агентами.</w:t>
      </w:r>
    </w:p>
    <w:bookmarkEnd w:id="80"/>
    <w:bookmarkStart w:id="87" w:name="оптимизация-параметров"/>
    <w:p>
      <w:pPr>
        <w:pStyle w:val="Heading2"/>
      </w:pPr>
      <w:r>
        <w:t xml:space="preserve">5. Оптимизация параметров</w:t>
      </w:r>
    </w:p>
    <w:p>
      <w:pPr>
        <w:pStyle w:val="FirstParagraph"/>
      </w:pPr>
      <w:r>
        <w:drawing>
          <wp:inline>
            <wp:extent cx="2400300" cy="13501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/19sir_optimize_paramet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667000" cy="150018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/23.1comprehensive_analysi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Вывод:</w:t>
      </w:r>
    </w:p>
    <w:p>
      <w:pPr>
        <w:pStyle w:val="Compact"/>
        <w:numPr>
          <w:ilvl w:val="0"/>
          <w:numId w:val="1010"/>
        </w:numPr>
      </w:pPr>
      <w:r>
        <w:t xml:space="preserve">оптимизационный блок позволяет подобрать параметры со снижением эпидемического ущерба;</w:t>
      </w:r>
    </w:p>
    <w:p>
      <w:pPr>
        <w:pStyle w:val="Compact"/>
        <w:numPr>
          <w:ilvl w:val="0"/>
          <w:numId w:val="1010"/>
        </w:numPr>
      </w:pPr>
      <w:r>
        <w:t xml:space="preserve">итоговая визуализация облегчает сравнительный анализ сценариев.</w:t>
      </w:r>
    </w:p>
    <w:bookmarkEnd w:id="87"/>
    <w:bookmarkEnd w:id="88"/>
    <w:bookmarkStart w:id="126" w:name="дополнительные-задания"/>
    <w:p>
      <w:pPr>
        <w:pStyle w:val="Heading1"/>
      </w:pPr>
      <w:r>
        <w:t xml:space="preserve">Дополнительные задания</w:t>
      </w:r>
    </w:p>
    <w:bookmarkStart w:id="93" w:name="r0-и-порог-эпидемии"/>
    <w:p>
      <w:pPr>
        <w:pStyle w:val="Heading2"/>
      </w:pPr>
      <w:r>
        <w:t xml:space="preserve">1–2.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и порог эпидемии</w:t>
      </w:r>
    </w:p>
    <w:p>
      <w:pPr>
        <w:pStyle w:val="FirstParagraph"/>
      </w:pPr>
      <w:r>
        <w:drawing>
          <wp:inline>
            <wp:extent cx="2400300" cy="135016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/7.1sir_basic_dynamic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400300" cy="135016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/11.2beta_scan_all.csv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3" w:name="гетерогенность"/>
    <w:p>
      <w:pPr>
        <w:pStyle w:val="Heading2"/>
      </w:pPr>
      <w:r>
        <w:t xml:space="preserve">3. Гетерогенность</w:t>
      </w:r>
    </w:p>
    <w:p>
      <w:pPr>
        <w:pStyle w:val="FirstParagraph"/>
      </w:pPr>
      <w:r>
        <w:drawing>
          <wp:inline>
            <wp:extent cx="1706880" cy="96012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/27.0sir_heterogeneity_effect.jl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/27.1heterogeneity_effec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/27.3heterogeneity_summary.csv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миграция"/>
    <w:p>
      <w:pPr>
        <w:pStyle w:val="Heading2"/>
      </w:pPr>
      <w:r>
        <w:t xml:space="preserve">4. Миграция</w:t>
      </w:r>
    </w:p>
    <w:p>
      <w:pPr>
        <w:pStyle w:val="FirstParagraph"/>
      </w:pPr>
      <w:r>
        <w:drawing>
          <wp:inline>
            <wp:extent cx="2560320" cy="144018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/15.1migration_effect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144018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/15.2migration_scan_all.csv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8" w:name="карантин"/>
    <w:p>
      <w:pPr>
        <w:pStyle w:val="Heading2"/>
      </w:pPr>
      <w:r>
        <w:t xml:space="preserve">5. Карантин</w:t>
      </w:r>
    </w:p>
    <w:p>
      <w:pPr>
        <w:pStyle w:val="FirstParagraph"/>
      </w:pPr>
      <w:r>
        <w:drawing>
          <wp:inline>
            <wp:extent cx="1706880" cy="96012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/31.0sir_quarantine_effect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/31.1quarantine_effect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706880" cy="96012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/31.4quarantine_summary.csv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5" w:name="оптимизация-с-ограничением"/>
    <w:p>
      <w:pPr>
        <w:pStyle w:val="Heading2"/>
      </w:pPr>
      <w:r>
        <w:t xml:space="preserve">6. Оптимизация с ограничением</w:t>
      </w:r>
    </w:p>
    <w:p>
      <w:pPr>
        <w:pStyle w:val="FirstParagraph"/>
      </w:pPr>
      <w:r>
        <w:drawing>
          <wp:inline>
            <wp:extent cx="2400300" cy="1350168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/35sir_optimize_with_constraint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400300" cy="1350168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/38.1optimization_with_constraint.csv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350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End w:id="126"/>
    <w:bookmarkStart w:id="129" w:name="итоги"/>
    <w:p>
      <w:pPr>
        <w:pStyle w:val="Heading1"/>
      </w:pPr>
      <w:r>
        <w:t xml:space="preserve">Итоги</w:t>
      </w:r>
    </w:p>
    <w:bookmarkStart w:id="127" w:name="основные-результаты"/>
    <w:p>
      <w:pPr>
        <w:pStyle w:val="Heading2"/>
      </w:pPr>
      <w:r>
        <w:t xml:space="preserve">Основные результаты</w:t>
      </w:r>
    </w:p>
    <w:p>
      <w:pPr>
        <w:pStyle w:val="Compact"/>
        <w:numPr>
          <w:ilvl w:val="0"/>
          <w:numId w:val="1011"/>
        </w:numPr>
      </w:pPr>
      <w:r>
        <w:t xml:space="preserve">Реализован агентный вариант SIR-модели с расширениями.</w:t>
      </w:r>
    </w:p>
    <w:p>
      <w:pPr>
        <w:pStyle w:val="Compact"/>
        <w:numPr>
          <w:ilvl w:val="0"/>
          <w:numId w:val="1011"/>
        </w:numPr>
      </w:pPr>
      <w:r>
        <w:t xml:space="preserve">Проведены базовые и расширенные эксперименты.</w:t>
      </w:r>
    </w:p>
    <w:p>
      <w:pPr>
        <w:pStyle w:val="Compact"/>
        <w:numPr>
          <w:ilvl w:val="0"/>
          <w:numId w:val="1011"/>
        </w:numPr>
      </w:pPr>
      <w:r>
        <w:t xml:space="preserve">Получены данные для анализа порога, гетерогенности, миграции, карантина и оптимизации.</w:t>
      </w:r>
    </w:p>
    <w:p>
      <w:pPr>
        <w:pStyle w:val="Compact"/>
        <w:numPr>
          <w:ilvl w:val="0"/>
          <w:numId w:val="1011"/>
        </w:numPr>
      </w:pPr>
      <w:r>
        <w:t xml:space="preserve">Подготовлены материалы для защиты: отчёт, презентация, релизные файлы.</w:t>
      </w:r>
    </w:p>
    <w:bookmarkEnd w:id="127"/>
    <w:bookmarkStart w:id="128" w:name="практическая-ценность"/>
    <w:p>
      <w:pPr>
        <w:pStyle w:val="Heading2"/>
      </w:pPr>
      <w:r>
        <w:t xml:space="preserve">Практическая ценность</w:t>
      </w:r>
    </w:p>
    <w:p>
      <w:pPr>
        <w:pStyle w:val="Compact"/>
        <w:numPr>
          <w:ilvl w:val="0"/>
          <w:numId w:val="1012"/>
        </w:numPr>
      </w:pPr>
      <w:r>
        <w:t xml:space="preserve">Модель демонстрирует влияние параметров и управленческих мер на эпидемическую динамику.</w:t>
      </w:r>
    </w:p>
    <w:p>
      <w:pPr>
        <w:pStyle w:val="Compact"/>
        <w:numPr>
          <w:ilvl w:val="0"/>
          <w:numId w:val="1012"/>
        </w:numPr>
      </w:pPr>
      <w:r>
        <w:t xml:space="preserve">Подход пригоден для сценарного анализа и сравнения стратегий вмешательства.</w:t>
      </w:r>
    </w:p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26" Target="media/rId26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29" Target="media/rId29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hyperlink" Id="rId10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2" Target="https://gitverse.ru/Kenan/2026-1--study--simulation-modeling" TargetMode="External" /><Relationship Type="http://schemas.openxmlformats.org/officeDocument/2006/relationships/hyperlink" Id="rId13" Target="https://gitverse.ru/Kenan/2026-1--study--simulation-modeling/releases/tag/lab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Eddie-dk1/2026-1--study--simulation-modeling" TargetMode="External" /><Relationship Type="http://schemas.openxmlformats.org/officeDocument/2006/relationships/hyperlink" Id="rId11" Target="https://github.com/Eddie-dk1/2026-1--study--simulation-modeling/releases/tag/lab04" TargetMode="External" /><Relationship Type="http://schemas.openxmlformats.org/officeDocument/2006/relationships/hyperlink" Id="rId12" Target="https://gitverse.ru/Kenan/2026-1--study--simulation-modeling" TargetMode="External" /><Relationship Type="http://schemas.openxmlformats.org/officeDocument/2006/relationships/hyperlink" Id="rId13" Target="https://gitverse.ru/Kenan/2026-1--study--simulation-modeling/releases/tag/lab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/>
  <dc:language>ru-RU</dc:language>
  <cp:keywords/>
  <dcterms:created xsi:type="dcterms:W3CDTF">2026-04-04T17:50:02Z</dcterms:created>
  <dcterms:modified xsi:type="dcterms:W3CDTF">2026-04-04T17:50:02Z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Лабораторная работа №4. Реализация SIR-модели в агентном подходе</vt:lpwstr>
  </property>
</Properties>
</file>