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87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23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4.png" ContentType="image/png"/>
  <Override PartName="/word/media/rId90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Агентная реализация SIR-модели и анализ сценариев</w:t>
      </w:r>
    </w:p>
    <w:bookmarkStart w:id="15" w:name="общие-сведения"/>
    <w:p>
      <w:pPr>
        <w:pStyle w:val="Heading1"/>
      </w:pPr>
      <w:r>
        <w:t xml:space="preserve">Общие сведения</w:t>
      </w:r>
    </w:p>
    <w:bookmarkStart w:id="9" w:name="данные-студента"/>
    <w:p>
      <w:pPr>
        <w:pStyle w:val="Heading2"/>
      </w:pPr>
      <w:r>
        <w:t xml:space="preserve">Данные студента</w:t>
      </w:r>
    </w:p>
    <w:p>
      <w:pPr>
        <w:pStyle w:val="Compact"/>
        <w:numPr>
          <w:ilvl w:val="0"/>
          <w:numId w:val="1001"/>
        </w:numPr>
      </w:pPr>
      <w:r>
        <w:t xml:space="preserve">ФИО:</w:t>
      </w:r>
      <w:r>
        <w:t xml:space="preserve"> </w:t>
      </w:r>
      <w:r>
        <w:rPr>
          <w:b/>
          <w:bCs/>
        </w:rPr>
        <w:t xml:space="preserve">Гашимов Кенан Мухтар оглы</w:t>
      </w:r>
    </w:p>
    <w:p>
      <w:pPr>
        <w:pStyle w:val="Compact"/>
        <w:numPr>
          <w:ilvl w:val="0"/>
          <w:numId w:val="1001"/>
        </w:numPr>
      </w:pPr>
      <w:r>
        <w:t xml:space="preserve">Группа:</w:t>
      </w:r>
      <w:r>
        <w:t xml:space="preserve"> </w:t>
      </w:r>
      <w:r>
        <w:rPr>
          <w:b/>
          <w:bCs/>
        </w:rPr>
        <w:t xml:space="preserve">НКНбд-01-23</w:t>
      </w:r>
    </w:p>
    <w:p>
      <w:pPr>
        <w:pStyle w:val="Compact"/>
        <w:numPr>
          <w:ilvl w:val="0"/>
          <w:numId w:val="1001"/>
        </w:numPr>
      </w:pPr>
      <w:r>
        <w:t xml:space="preserve">Студенческий билет:</w:t>
      </w:r>
      <w:r>
        <w:t xml:space="preserve"> </w:t>
      </w:r>
      <w:r>
        <w:rPr>
          <w:b/>
          <w:bCs/>
        </w:rPr>
        <w:t xml:space="preserve">1032235820</w:t>
      </w:r>
    </w:p>
    <w:bookmarkEnd w:id="9"/>
    <w:bookmarkStart w:id="14" w:name="репозитории-и-релизы"/>
    <w:p>
      <w:pPr>
        <w:pStyle w:val="Heading2"/>
      </w:pPr>
      <w:r>
        <w:t xml:space="preserve">Репозитории и релизы</w:t>
      </w:r>
    </w:p>
    <w:p>
      <w:pPr>
        <w:pStyle w:val="Compact"/>
        <w:numPr>
          <w:ilvl w:val="0"/>
          <w:numId w:val="1002"/>
        </w:numPr>
      </w:pPr>
      <w:r>
        <w:t xml:space="preserve">GitHub (repo):</w:t>
      </w:r>
      <w:r>
        <w:t xml:space="preserve"> </w:t>
      </w:r>
      <w:hyperlink r:id="rId10">
        <w:r>
          <w:rPr>
            <w:rStyle w:val="Hyperlink"/>
          </w:rPr>
          <w:t xml:space="preserve">https://github.com/Eddie-dk1/2026-1--study--simulation-modeling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GitHub (release):</w:t>
      </w:r>
      <w:r>
        <w:t xml:space="preserve"> </w:t>
      </w:r>
      <w:hyperlink r:id="rId11">
        <w:r>
          <w:rPr>
            <w:rStyle w:val="Hyperlink"/>
          </w:rPr>
          <w:t xml:space="preserve">https://github.com/Eddie-dk1/2026-1--study--simulation-modeling/releases/tag/lab04</w:t>
        </w:r>
      </w:hyperlink>
    </w:p>
    <w:p>
      <w:pPr>
        <w:pStyle w:val="Compact"/>
        <w:numPr>
          <w:ilvl w:val="0"/>
          <w:numId w:val="1002"/>
        </w:numPr>
      </w:pPr>
      <w:r>
        <w:t xml:space="preserve">GitVerse (repo):</w:t>
      </w:r>
      <w:r>
        <w:t xml:space="preserve"> </w:t>
      </w:r>
      <w:hyperlink r:id="rId12">
        <w:r>
          <w:rPr>
            <w:rStyle w:val="Hyperlink"/>
          </w:rPr>
          <w:t xml:space="preserve">https://gitverse.ru/Kenan/2026-1--study--simulation-modeling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GitVerse (release):</w:t>
      </w:r>
      <w:r>
        <w:t xml:space="preserve"> </w:t>
      </w:r>
      <w:hyperlink r:id="rId13">
        <w:r>
          <w:rPr>
            <w:rStyle w:val="Hyperlink"/>
          </w:rPr>
          <w:t xml:space="preserve">https://gitverse.ru/Kenan/2026-1--study--simulation-modeling/releases/tag/lab04</w:t>
        </w:r>
      </w:hyperlink>
    </w:p>
    <w:bookmarkEnd w:id="14"/>
    <w:bookmarkEnd w:id="15"/>
    <w:bookmarkStart w:id="18" w:name="цель-и-задачи-работы"/>
    <w:p>
      <w:pPr>
        <w:pStyle w:val="Heading1"/>
      </w:pPr>
      <w:r>
        <w:t xml:space="preserve">Цель и задачи работы</w:t>
      </w:r>
    </w:p>
    <w:bookmarkStart w:id="16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Разработать агентную имитационную модель распространения инфекции типа SIR, провести серию вычислительных экспериментов и оценить влияние управляемых факторов (миграция, карантин, неоднородность популяции, подбор параметров) на эпидемическую динамику.</w:t>
      </w:r>
    </w:p>
    <w:bookmarkEnd w:id="16"/>
    <w:bookmarkStart w:id="17" w:name="задачи"/>
    <w:p>
      <w:pPr>
        <w:pStyle w:val="Heading2"/>
      </w:pPr>
      <w:r>
        <w:t xml:space="preserve">Задачи</w:t>
      </w:r>
    </w:p>
    <w:p>
      <w:pPr>
        <w:pStyle w:val="Compact"/>
        <w:numPr>
          <w:ilvl w:val="0"/>
          <w:numId w:val="1003"/>
        </w:numPr>
      </w:pPr>
      <w:r>
        <w:t xml:space="preserve">Подготовить воспроизводимую структуру проекта на базе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Реализовать базовый сценарий SIR-модели в агентной постановке (</w:t>
      </w:r>
      <w:r>
        <w:rPr>
          <w:rStyle w:val="VerbatimChar"/>
        </w:rPr>
        <w:t xml:space="preserve">Agents.jl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Провести параметрические эксперименты и собрать результаты в табличном виде.</w:t>
      </w:r>
    </w:p>
    <w:p>
      <w:pPr>
        <w:pStyle w:val="Compact"/>
        <w:numPr>
          <w:ilvl w:val="0"/>
          <w:numId w:val="1003"/>
        </w:numPr>
      </w:pPr>
      <w:r>
        <w:t xml:space="preserve">Исследовать дополнительные сценарии: порог эпидемии, миграцию, гетерогенность, карантин, оптимизацию.</w:t>
      </w:r>
    </w:p>
    <w:p>
      <w:pPr>
        <w:pStyle w:val="Compact"/>
        <w:numPr>
          <w:ilvl w:val="0"/>
          <w:numId w:val="1003"/>
        </w:numPr>
      </w:pPr>
      <w:r>
        <w:t xml:space="preserve">Сформировать отчёт, презентацию и релизные артефакты.</w:t>
      </w:r>
    </w:p>
    <w:bookmarkEnd w:id="17"/>
    <w:bookmarkEnd w:id="18"/>
    <w:bookmarkStart w:id="21" w:name="теоретическая-часть"/>
    <w:p>
      <w:pPr>
        <w:pStyle w:val="Heading1"/>
      </w:pPr>
      <w:r>
        <w:t xml:space="preserve">Теоретическая часть</w:t>
      </w:r>
    </w:p>
    <w:bookmarkStart w:id="19" w:name="классическая-модель-sir"/>
    <w:p>
      <w:pPr>
        <w:pStyle w:val="Heading2"/>
      </w:pPr>
      <w:r>
        <w:t xml:space="preserve">Классическая модель SIR</w:t>
      </w:r>
    </w:p>
    <w:p>
      <w:pPr>
        <w:pStyle w:val="FirstParagraph"/>
      </w:pPr>
      <w:r>
        <w:t xml:space="preserve">Популяция разбивается на три группы: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восприимчивые;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инфицированные;</w:t>
      </w:r>
    </w:p>
    <w:p>
      <w:pPr>
        <w:pStyle w:val="Compact"/>
        <w:numPr>
          <w:ilvl w:val="0"/>
          <w:numId w:val="1004"/>
        </w:numPr>
      </w:pP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выздоровевшие (или удалённые из процесса передачи).</w:t>
      </w:r>
    </w:p>
    <w:p>
      <w:pPr>
        <w:pStyle w:val="FirstParagraph"/>
      </w:pPr>
      <w:r>
        <w:t xml:space="preserve">В непрерывной форме базовая динамика описывается системой: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интенсивность передачи,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интенсивность выздоровления.</w:t>
      </w:r>
    </w:p>
    <w:p>
      <w:pPr>
        <w:pStyle w:val="BodyText"/>
      </w:pPr>
      <w:r>
        <w:t xml:space="preserve">В агентной модели эти соотношения реализуются как локальные правила переходов между состояниями отдельных агентов, что позволяет естественно учитывать пространственные и организационные ограничения (города, карантин, мобильность).</w:t>
      </w:r>
    </w:p>
    <w:bookmarkEnd w:id="19"/>
    <w:bookmarkStart w:id="20" w:name="базовые-параметры-моделирования"/>
    <w:p>
      <w:pPr>
        <w:pStyle w:val="Heading2"/>
      </w:pPr>
      <w:r>
        <w:t xml:space="preserve">Базовые параметры моделирования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Размеры подгрупп (</w:t>
            </w:r>
            <w:r>
              <w:rPr>
                <w:rStyle w:val="VerbatimChar"/>
              </w:rPr>
              <w:t xml:space="preserve">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[1000, 1000, 1000]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Базовая заразность (</w:t>
            </w:r>
            <w:r>
              <w:rPr>
                <w:rStyle w:val="VerbatimChar"/>
              </w:rPr>
              <w:t xml:space="preserve">beta_und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Детектированная заразность (</w:t>
            </w:r>
            <w:r>
              <w:rPr>
                <w:rStyle w:val="VerbatimChar"/>
              </w:rPr>
              <w:t xml:space="preserve">beta_det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Период инфекционности (</w:t>
            </w:r>
            <w:r>
              <w:rPr>
                <w:rStyle w:val="VerbatimChar"/>
              </w:rPr>
              <w:t xml:space="preserve">infection_period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выявления (</w:t>
            </w:r>
            <w:r>
              <w:rPr>
                <w:rStyle w:val="VerbatimChar"/>
              </w:rPr>
              <w:t xml:space="preserve">detection_time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Летальность (</w:t>
            </w:r>
            <w:r>
              <w:rPr>
                <w:rStyle w:val="VerbatimChar"/>
              </w:rPr>
              <w:t xml:space="preserve">death_rate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повторного заражения (</w:t>
            </w:r>
            <w:r>
              <w:rPr>
                <w:rStyle w:val="VerbatimChar"/>
              </w:rPr>
              <w:t xml:space="preserve">reinfection_probability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</w:tbl>
    <w:bookmarkEnd w:id="20"/>
    <w:bookmarkEnd w:id="21"/>
    <w:bookmarkStart w:id="36" w:name="инструментальная-часть"/>
    <w:p>
      <w:pPr>
        <w:pStyle w:val="Heading1"/>
      </w:pPr>
      <w:r>
        <w:t xml:space="preserve">Инструментальная часть</w:t>
      </w:r>
    </w:p>
    <w:bookmarkStart w:id="22" w:name="программный-стек"/>
    <w:p>
      <w:pPr>
        <w:pStyle w:val="Heading2"/>
      </w:pPr>
      <w:r>
        <w:t xml:space="preserve">Программный стек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Julia</w:t>
      </w:r>
      <w:r>
        <w:t xml:space="preserve"> </w:t>
      </w:r>
      <w:r>
        <w:t xml:space="preserve">— язык реализации модели;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Agents.jl</w:t>
      </w:r>
      <w:r>
        <w:t xml:space="preserve"> </w:t>
      </w:r>
      <w:r>
        <w:t xml:space="preserve">— агентное моделирование;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DrWatson</w:t>
      </w:r>
      <w:r>
        <w:t xml:space="preserve"> </w:t>
      </w:r>
      <w:r>
        <w:t xml:space="preserve">— структура и воспроизводимость проекта;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Literate.jl</w:t>
      </w:r>
      <w:r>
        <w:t xml:space="preserve"> </w:t>
      </w:r>
      <w:r>
        <w:t xml:space="preserve">— генерация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из исходных сценариев;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BlackBoxOptim</w:t>
      </w:r>
      <w:r>
        <w:t xml:space="preserve"> </w:t>
      </w:r>
      <w:r>
        <w:t xml:space="preserve">— оптимизационные эксперименты.</w:t>
      </w:r>
    </w:p>
    <w:bookmarkEnd w:id="22"/>
    <w:bookmarkStart w:id="35" w:name="подготовка-окружения"/>
    <w:p>
      <w:pPr>
        <w:pStyle w:val="Heading2"/>
      </w:pPr>
      <w:r>
        <w:t xml:space="preserve">Подготовка окружения</w:t>
      </w:r>
    </w:p>
    <w:p>
      <w:pPr>
        <w:pStyle w:val="FirstParagraph"/>
      </w:pPr>
      <w:r>
        <w:t xml:space="preserve">Инициализация проекта и подключение зависимостей выполнялись последовательно.</w:t>
      </w:r>
    </w:p>
    <w:p>
      <w:pPr>
        <w:pStyle w:val="BodyText"/>
      </w:pPr>
      <w:r>
        <w:drawing>
          <wp:inline>
            <wp:extent cx="2560320" cy="14401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/2init_proj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/4pkg_activat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60320" cy="14401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/5pkg_ad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/6pkg_finishe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Результат этапа: сформировано рабочее окружение с фиксируемой структурой каталогов и воспроизводимым набором библиотек.</w:t>
      </w:r>
    </w:p>
    <w:bookmarkEnd w:id="35"/>
    <w:bookmarkEnd w:id="36"/>
    <w:bookmarkStart w:id="94" w:name="X24fe8a3a191a6e7b3b6d496f5ba8faef3e6dcee"/>
    <w:p>
      <w:pPr>
        <w:pStyle w:val="Heading1"/>
      </w:pPr>
      <w:r>
        <w:t xml:space="preserve">Ход выполнения и результаты экспериментов</w:t>
      </w:r>
    </w:p>
    <w:bookmarkStart w:id="43" w:name="эксперимент-1.-базовый-запуск-sir"/>
    <w:p>
      <w:pPr>
        <w:pStyle w:val="Heading2"/>
      </w:pPr>
      <w:r>
        <w:t xml:space="preserve">Эксперимент 1. Базовый запуск SIR</w:t>
      </w:r>
    </w:p>
    <w:p>
      <w:pPr>
        <w:pStyle w:val="FirstParagraph"/>
      </w:pPr>
      <w:r>
        <w:t xml:space="preserve">Постановка: выполнить контрольный запуск модели при базовых параметрах и получить опорную траекторию эпидемии.</w:t>
      </w:r>
    </w:p>
    <w:p>
      <w:pPr>
        <w:pStyle w:val="BodyText"/>
      </w:pPr>
      <w:r>
        <w:drawing>
          <wp:inline>
            <wp:extent cx="2240280" cy="126015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/7.0sir_run_basic.j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260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880360" cy="162020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/7.1sir_basic_dynamic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1620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Результат:</w:t>
      </w:r>
    </w:p>
    <w:p>
      <w:pPr>
        <w:pStyle w:val="Compact"/>
        <w:numPr>
          <w:ilvl w:val="0"/>
          <w:numId w:val="1006"/>
        </w:numPr>
      </w:pPr>
      <w:r>
        <w:t xml:space="preserve">наблюдается выраженная эпидемическая волна;</w:t>
      </w:r>
    </w:p>
    <w:p>
      <w:pPr>
        <w:pStyle w:val="Compact"/>
        <w:numPr>
          <w:ilvl w:val="0"/>
          <w:numId w:val="1006"/>
        </w:numPr>
      </w:pPr>
      <w:r>
        <w:t xml:space="preserve">после пика доля инфицированных снижается за счёт перехода части популяции в состояние</w:t>
      </w:r>
      <w:r>
        <w:t xml:space="preserve"> </w:t>
      </w:r>
      <w:r>
        <w:rPr>
          <w:rStyle w:val="VerbatimChar"/>
        </w:rPr>
        <w:t xml:space="preserve">R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базовый сценарий принят как эталон для последующего сравнения.</w:t>
      </w:r>
    </w:p>
    <w:bookmarkEnd w:id="43"/>
    <w:bookmarkStart w:id="53" w:name="X52b4e889d90fa5f9ccfa7008481e6424edcd671"/>
    <w:p>
      <w:pPr>
        <w:pStyle w:val="Heading2"/>
      </w:pPr>
      <w:r>
        <w:t xml:space="preserve">Эксперимент 2. Параметрический анализ по коэффициенту передачи</w:t>
      </w:r>
    </w:p>
    <w:p>
      <w:pPr>
        <w:pStyle w:val="FirstParagraph"/>
      </w:pPr>
      <w:r>
        <w:t xml:space="preserve">Постановка: оценить чувствительность модели к изменению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и выявить границу между затухающим и развивающимся процессом.</w:t>
      </w:r>
    </w:p>
    <w:p>
      <w:pPr>
        <w:pStyle w:val="BodyText"/>
      </w:pPr>
      <w:r>
        <w:drawing>
          <wp:inline>
            <wp:extent cx="2026920" cy="114014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/11.0sir_scan_beta.j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140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987040" cy="168021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/11.1beta_sca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933700" cy="165020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/11.2beta_scan_all.csv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650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Результат:</w:t>
      </w:r>
    </w:p>
    <w:p>
      <w:pPr>
        <w:pStyle w:val="Compact"/>
        <w:numPr>
          <w:ilvl w:val="0"/>
          <w:numId w:val="1007"/>
        </w:numPr>
      </w:pPr>
      <w:r>
        <w:t xml:space="preserve">при увеличении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растут пик инфицированных и скорость выхода к пику;</w:t>
      </w:r>
    </w:p>
    <w:p>
      <w:pPr>
        <w:pStyle w:val="Compact"/>
        <w:numPr>
          <w:ilvl w:val="0"/>
          <w:numId w:val="1007"/>
        </w:numPr>
      </w:pPr>
      <w:r>
        <w:t xml:space="preserve">фиксируется пороговый режим: ниже определённых значений вспышка ограничена, выше — переходит в интенсивную фазу;</w:t>
      </w:r>
    </w:p>
    <w:p>
      <w:pPr>
        <w:pStyle w:val="Compact"/>
        <w:numPr>
          <w:ilvl w:val="0"/>
          <w:numId w:val="1007"/>
        </w:numPr>
      </w:pPr>
      <w:r>
        <w:t xml:space="preserve">эксперимент подтверждает ключевую роль контактной передачи в динамике.</w:t>
      </w:r>
    </w:p>
    <w:bookmarkEnd w:id="53"/>
    <w:bookmarkStart w:id="63" w:name="Xdf996f7541d0b2f891c3f7b3e1ac78505ff0315"/>
    <w:p>
      <w:pPr>
        <w:pStyle w:val="Heading2"/>
      </w:pPr>
      <w:r>
        <w:t xml:space="preserve">Эксперимент 3. Влияние миграции между подгруппами</w:t>
      </w:r>
    </w:p>
    <w:p>
      <w:pPr>
        <w:pStyle w:val="FirstParagraph"/>
      </w:pPr>
      <w:r>
        <w:t xml:space="preserve">Постановка: исследовать, как межгрупповая мобильность ускоряет распространение инфекции.</w:t>
      </w:r>
    </w:p>
    <w:p>
      <w:pPr>
        <w:pStyle w:val="BodyText"/>
      </w:pPr>
      <w:r>
        <w:drawing>
          <wp:inline>
            <wp:extent cx="2026920" cy="11401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/15.0sir_migration_effec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140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987040" cy="168021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/15.1migration_effec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933700" cy="165020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/15.2migration_scan_all.csv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650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Результат:</w:t>
      </w:r>
    </w:p>
    <w:p>
      <w:pPr>
        <w:pStyle w:val="Compact"/>
        <w:numPr>
          <w:ilvl w:val="0"/>
          <w:numId w:val="1008"/>
        </w:numPr>
      </w:pPr>
      <w:r>
        <w:t xml:space="preserve">миграция сокращает время синхронизации вспышек между группами;</w:t>
      </w:r>
    </w:p>
    <w:p>
      <w:pPr>
        <w:pStyle w:val="Compact"/>
        <w:numPr>
          <w:ilvl w:val="0"/>
          <w:numId w:val="1008"/>
        </w:numPr>
      </w:pPr>
      <w:r>
        <w:t xml:space="preserve">увеличивается общий охват инфекции на ранних этапах;</w:t>
      </w:r>
    </w:p>
    <w:p>
      <w:pPr>
        <w:pStyle w:val="Compact"/>
        <w:numPr>
          <w:ilvl w:val="0"/>
          <w:numId w:val="1008"/>
        </w:numPr>
      </w:pPr>
      <w:r>
        <w:t xml:space="preserve">при низкой мобильности динамика остаётся более локализованной.</w:t>
      </w:r>
    </w:p>
    <w:bookmarkEnd w:id="63"/>
    <w:bookmarkStart w:id="73" w:name="эксперимент-4.-гетерогенность-популяции"/>
    <w:p>
      <w:pPr>
        <w:pStyle w:val="Heading2"/>
      </w:pPr>
      <w:r>
        <w:t xml:space="preserve">Эксперимент 4. Гетерогенность популяции</w:t>
      </w:r>
    </w:p>
    <w:p>
      <w:pPr>
        <w:pStyle w:val="FirstParagraph"/>
      </w:pPr>
      <w:r>
        <w:t xml:space="preserve">Постановка: проверить, как неоднородность параметров агентов влияет на форму эпидемической кривой.</w:t>
      </w:r>
    </w:p>
    <w:p>
      <w:pPr>
        <w:pStyle w:val="BodyText"/>
      </w:pPr>
      <w:r>
        <w:drawing>
          <wp:inline>
            <wp:extent cx="1813560" cy="102012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/27.0sir_heterogeneity_effect.j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020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307080" cy="186023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/27.1heterogeneity_effec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60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933700" cy="165020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/27.3heterogeneity_summary.csv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650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Результат:</w:t>
      </w:r>
    </w:p>
    <w:p>
      <w:pPr>
        <w:pStyle w:val="Compact"/>
        <w:numPr>
          <w:ilvl w:val="0"/>
          <w:numId w:val="1009"/>
        </w:numPr>
      </w:pPr>
      <w:r>
        <w:t xml:space="preserve">распределение риска становится неравномерным;</w:t>
      </w:r>
    </w:p>
    <w:p>
      <w:pPr>
        <w:pStyle w:val="Compact"/>
        <w:numPr>
          <w:ilvl w:val="0"/>
          <w:numId w:val="1009"/>
        </w:numPr>
      </w:pPr>
      <w:r>
        <w:t xml:space="preserve">пик может смещаться во времени и изменяться по высоте;</w:t>
      </w:r>
    </w:p>
    <w:p>
      <w:pPr>
        <w:pStyle w:val="Compact"/>
        <w:numPr>
          <w:ilvl w:val="0"/>
          <w:numId w:val="1009"/>
        </w:numPr>
      </w:pPr>
      <w:r>
        <w:t xml:space="preserve">усреднённые показатели менее информативны без анализа подгрупп.</w:t>
      </w:r>
    </w:p>
    <w:bookmarkEnd w:id="73"/>
    <w:bookmarkStart w:id="83" w:name="эксперимент-5.-эффект-карантинных-мер"/>
    <w:p>
      <w:pPr>
        <w:pStyle w:val="Heading2"/>
      </w:pPr>
      <w:r>
        <w:t xml:space="preserve">Эксперимент 5. Эффект карантинных мер</w:t>
      </w:r>
    </w:p>
    <w:p>
      <w:pPr>
        <w:pStyle w:val="FirstParagraph"/>
      </w:pPr>
      <w:r>
        <w:t xml:space="preserve">Постановка: сравнить динамику без вмешательств и при активации карантина.</w:t>
      </w:r>
    </w:p>
    <w:p>
      <w:pPr>
        <w:pStyle w:val="BodyText"/>
      </w:pPr>
      <w:r>
        <w:drawing>
          <wp:inline>
            <wp:extent cx="1813560" cy="102012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/31.0sir_quarantine_effec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020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307080" cy="186023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/31.1quarantine_effec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60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933700" cy="165020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/31.4quarantine_summary.csv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650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Результат:</w:t>
      </w:r>
    </w:p>
    <w:p>
      <w:pPr>
        <w:pStyle w:val="Compact"/>
        <w:numPr>
          <w:ilvl w:val="0"/>
          <w:numId w:val="1010"/>
        </w:numPr>
      </w:pPr>
      <w:r>
        <w:t xml:space="preserve">карантин снижает интенсивность передачи и сглаживает пик нагрузки;</w:t>
      </w:r>
    </w:p>
    <w:p>
      <w:pPr>
        <w:pStyle w:val="Compact"/>
        <w:numPr>
          <w:ilvl w:val="0"/>
          <w:numId w:val="1010"/>
        </w:numPr>
      </w:pPr>
      <w:r>
        <w:t xml:space="preserve">увеличивается длительность процесса, но уменьшается критическая перегрузка;</w:t>
      </w:r>
    </w:p>
    <w:p>
      <w:pPr>
        <w:pStyle w:val="Compact"/>
        <w:numPr>
          <w:ilvl w:val="0"/>
          <w:numId w:val="1010"/>
        </w:numPr>
      </w:pPr>
      <w:r>
        <w:t xml:space="preserve">мера эффективна при своевременном включении и достаточной строгости.</w:t>
      </w:r>
    </w:p>
    <w:bookmarkEnd w:id="83"/>
    <w:bookmarkStart w:id="93" w:name="Xb808e27b1ca3b1ccdb62883da103745b4e52604"/>
    <w:p>
      <w:pPr>
        <w:pStyle w:val="Heading2"/>
      </w:pPr>
      <w:r>
        <w:t xml:space="preserve">Эксперимент 6. Подбор параметров (оптимизация)</w:t>
      </w:r>
    </w:p>
    <w:p>
      <w:pPr>
        <w:pStyle w:val="FirstParagraph"/>
      </w:pPr>
      <w:r>
        <w:t xml:space="preserve">Постановка: подобрать параметры, минимизирующие эпидемический ущерб при заданных ограничениях.</w:t>
      </w:r>
    </w:p>
    <w:p>
      <w:pPr>
        <w:pStyle w:val="BodyText"/>
      </w:pPr>
      <w:r>
        <w:drawing>
          <wp:inline>
            <wp:extent cx="2346960" cy="1320165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/35sir_optimize_with_constraint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1320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773680" cy="156019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/23.1comprehensive_analysi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156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093720" cy="174021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/38.1optimization_with_constraint.csv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740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Результат:</w:t>
      </w:r>
    </w:p>
    <w:p>
      <w:pPr>
        <w:pStyle w:val="Compact"/>
        <w:numPr>
          <w:ilvl w:val="0"/>
          <w:numId w:val="1011"/>
        </w:numPr>
      </w:pPr>
      <w:r>
        <w:t xml:space="preserve">оптимизация позволяет системно сравнивать сценарии;</w:t>
      </w:r>
    </w:p>
    <w:p>
      <w:pPr>
        <w:pStyle w:val="Compact"/>
        <w:numPr>
          <w:ilvl w:val="0"/>
          <w:numId w:val="1011"/>
        </w:numPr>
      </w:pPr>
      <w:r>
        <w:t xml:space="preserve">найденные комбинации параметров дают более благоприятный компромисс между скоростью распространения и масштабом вспышки;</w:t>
      </w:r>
    </w:p>
    <w:p>
      <w:pPr>
        <w:pStyle w:val="Compact"/>
        <w:numPr>
          <w:ilvl w:val="0"/>
          <w:numId w:val="1011"/>
        </w:numPr>
      </w:pPr>
      <w:r>
        <w:t xml:space="preserve">ограниченные ресурсы (например, интенсивность вмешательства) корректно учитываются в постановке.</w:t>
      </w:r>
    </w:p>
    <w:bookmarkEnd w:id="93"/>
    <w:bookmarkEnd w:id="94"/>
    <w:bookmarkStart w:id="97" w:name="аналитическое-обобщение"/>
    <w:p>
      <w:pPr>
        <w:pStyle w:val="Heading1"/>
      </w:pPr>
      <w:r>
        <w:t xml:space="preserve">Аналитическое обобщение</w:t>
      </w:r>
    </w:p>
    <w:bookmarkStart w:id="95" w:name="сравнение-сценариев"/>
    <w:p>
      <w:pPr>
        <w:pStyle w:val="Heading2"/>
      </w:pPr>
      <w:r>
        <w:t xml:space="preserve">Сравнение сценариев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Качественный эффект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Увеличение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Рост пика, ускорение вспышки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миграции</w:t>
            </w:r>
          </w:p>
        </w:tc>
        <w:tc>
          <w:tcPr/>
          <w:p>
            <w:pPr>
              <w:pStyle w:val="Compact"/>
            </w:pPr>
            <w:r>
              <w:t xml:space="preserve">Быстрее межгрупповое распространение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Гетерогенность</w:t>
            </w:r>
          </w:p>
        </w:tc>
        <w:tc>
          <w:tcPr/>
          <w:p>
            <w:pPr>
              <w:pStyle w:val="Compact"/>
            </w:pPr>
            <w:r>
              <w:t xml:space="preserve">Неравномерность риска и смещение пика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Карантин</w:t>
            </w:r>
          </w:p>
        </w:tc>
        <w:tc>
          <w:tcPr/>
          <w:p>
            <w:pPr>
              <w:pStyle w:val="Compact"/>
            </w:pPr>
            <w:r>
              <w:t xml:space="preserve">Снижение пика, сглаживание кривой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Оптимизация</w:t>
            </w:r>
          </w:p>
        </w:tc>
        <w:tc>
          <w:tcPr/>
          <w:p>
            <w:pPr>
              <w:pStyle w:val="Compact"/>
            </w:pPr>
            <w:r>
              <w:t xml:space="preserve">Поиск сбалансированных параметров</w:t>
            </w:r>
          </w:p>
        </w:tc>
      </w:tr>
    </w:tbl>
    <w:bookmarkEnd w:id="95"/>
    <w:bookmarkStart w:id="96" w:name="практический-смысл-результатов"/>
    <w:p>
      <w:pPr>
        <w:pStyle w:val="Heading2"/>
      </w:pPr>
      <w:r>
        <w:t xml:space="preserve">Практический смысл результатов</w:t>
      </w:r>
    </w:p>
    <w:p>
      <w:pPr>
        <w:pStyle w:val="FirstParagraph"/>
      </w:pPr>
      <w:r>
        <w:t xml:space="preserve">Полученные данные показывают, что поведение системы определяется не одним параметром, а их сочетанием. Для прикладного планирования требуется:</w:t>
      </w:r>
    </w:p>
    <w:p>
      <w:pPr>
        <w:pStyle w:val="Compact"/>
        <w:numPr>
          <w:ilvl w:val="0"/>
          <w:numId w:val="1012"/>
        </w:numPr>
      </w:pPr>
      <w:r>
        <w:t xml:space="preserve">Проводить чувствительный анализ до принятия мер.</w:t>
      </w:r>
    </w:p>
    <w:p>
      <w:pPr>
        <w:pStyle w:val="Compact"/>
        <w:numPr>
          <w:ilvl w:val="0"/>
          <w:numId w:val="1012"/>
        </w:numPr>
      </w:pPr>
      <w:r>
        <w:t xml:space="preserve">Учитывать структуру популяции и мобильность.</w:t>
      </w:r>
    </w:p>
    <w:p>
      <w:pPr>
        <w:pStyle w:val="Compact"/>
        <w:numPr>
          <w:ilvl w:val="0"/>
          <w:numId w:val="1012"/>
        </w:numPr>
      </w:pPr>
      <w:r>
        <w:t xml:space="preserve">Комбинировать карантинные меры с параметрической настройкой.</w:t>
      </w:r>
    </w:p>
    <w:bookmarkEnd w:id="96"/>
    <w:bookmarkEnd w:id="97"/>
    <w:bookmarkStart w:id="104" w:name="видеоматериалы"/>
    <w:p>
      <w:pPr>
        <w:pStyle w:val="Heading1"/>
      </w:pPr>
      <w:r>
        <w:t xml:space="preserve">Видеоматериалы</w:t>
      </w:r>
    </w:p>
    <w:bookmarkStart w:id="100" w:name="выполнение-лабораторной-работы"/>
    <w:p>
      <w:pPr>
        <w:pStyle w:val="Heading2"/>
      </w:pPr>
      <w:r>
        <w:t xml:space="preserve">Выполнение лабораторной работы</w:t>
      </w:r>
    </w:p>
    <w:p>
      <w:pPr>
        <w:pStyle w:val="Compact"/>
        <w:numPr>
          <w:ilvl w:val="0"/>
          <w:numId w:val="1013"/>
        </w:numPr>
      </w:pPr>
      <w:r>
        <w:t xml:space="preserve">VK Video:</w:t>
      </w:r>
      <w:r>
        <w:t xml:space="preserve"> </w:t>
      </w:r>
      <w:hyperlink r:id="rId98">
        <w:r>
          <w:rPr>
            <w:rStyle w:val="Hyperlink"/>
          </w:rPr>
          <w:t xml:space="preserve">https://vkvideo.ru/video-236906473_456239019?list=ln-ThHskPk8rN3Bj8lX7z</w:t>
        </w:r>
      </w:hyperlink>
    </w:p>
    <w:p>
      <w:pPr>
        <w:pStyle w:val="Compact"/>
        <w:numPr>
          <w:ilvl w:val="0"/>
          <w:numId w:val="1013"/>
        </w:numPr>
      </w:pPr>
      <w:r>
        <w:t xml:space="preserve">RuTube:</w:t>
      </w:r>
      <w:r>
        <w:t xml:space="preserve"> </w:t>
      </w:r>
      <w:hyperlink r:id="rId99">
        <w:r>
          <w:rPr>
            <w:rStyle w:val="Hyperlink"/>
          </w:rPr>
          <w:t xml:space="preserve">https://rutube.ru/video/e230a97c778dc4380eed8aa6b6c7dec8/</w:t>
        </w:r>
      </w:hyperlink>
    </w:p>
    <w:bookmarkEnd w:id="100"/>
    <w:bookmarkStart w:id="103" w:name="отчёт-и-презентация"/>
    <w:p>
      <w:pPr>
        <w:pStyle w:val="Heading2"/>
      </w:pPr>
      <w:r>
        <w:t xml:space="preserve">Отчёт и презентация</w:t>
      </w:r>
    </w:p>
    <w:p>
      <w:pPr>
        <w:pStyle w:val="Compact"/>
        <w:numPr>
          <w:ilvl w:val="0"/>
          <w:numId w:val="1014"/>
        </w:numPr>
      </w:pPr>
      <w:r>
        <w:t xml:space="preserve">VK Video:</w:t>
      </w:r>
      <w:r>
        <w:t xml:space="preserve"> </w:t>
      </w:r>
      <w:hyperlink r:id="rId101">
        <w:r>
          <w:rPr>
            <w:rStyle w:val="Hyperlink"/>
          </w:rPr>
          <w:t xml:space="preserve">https://vkvideo.ru/video-236906473_456239020</w:t>
        </w:r>
      </w:hyperlink>
    </w:p>
    <w:p>
      <w:pPr>
        <w:pStyle w:val="Compact"/>
        <w:numPr>
          <w:ilvl w:val="0"/>
          <w:numId w:val="1014"/>
        </w:numPr>
      </w:pPr>
      <w:r>
        <w:t xml:space="preserve">RuTube:</w:t>
      </w:r>
      <w:r>
        <w:t xml:space="preserve"> </w:t>
      </w:r>
      <w:hyperlink r:id="rId102">
        <w:r>
          <w:rPr>
            <w:rStyle w:val="Hyperlink"/>
          </w:rPr>
          <w:t xml:space="preserve">https://rutube.ru/video/ca906f162368016d3336242a0c0f068e/</w:t>
        </w:r>
      </w:hyperlink>
    </w:p>
    <w:bookmarkEnd w:id="103"/>
    <w:bookmarkEnd w:id="104"/>
    <w:bookmarkStart w:id="105" w:name="выводы"/>
    <w:p>
      <w:pPr>
        <w:pStyle w:val="Heading1"/>
      </w:pPr>
      <w:r>
        <w:t xml:space="preserve">Выводы</w:t>
      </w:r>
    </w:p>
    <w:p>
      <w:pPr>
        <w:pStyle w:val="Compact"/>
        <w:numPr>
          <w:ilvl w:val="0"/>
          <w:numId w:val="1015"/>
        </w:numPr>
      </w:pPr>
      <w:r>
        <w:t xml:space="preserve">Агентная реализация SIR-модели успешно выполнена и протестирована на серии сценариев.</w:t>
      </w:r>
    </w:p>
    <w:p>
      <w:pPr>
        <w:pStyle w:val="Compact"/>
        <w:numPr>
          <w:ilvl w:val="0"/>
          <w:numId w:val="1015"/>
        </w:numPr>
      </w:pPr>
      <w:r>
        <w:t xml:space="preserve">Подтверждена высокая чувствительность динамики к параметрам передачи и мобильности.</w:t>
      </w:r>
    </w:p>
    <w:p>
      <w:pPr>
        <w:pStyle w:val="Compact"/>
        <w:numPr>
          <w:ilvl w:val="0"/>
          <w:numId w:val="1015"/>
        </w:numPr>
      </w:pPr>
      <w:r>
        <w:t xml:space="preserve">Показано, что гетерогенность и организационные меры существенно меняют эпидемическую кривую.</w:t>
      </w:r>
    </w:p>
    <w:p>
      <w:pPr>
        <w:pStyle w:val="Compact"/>
        <w:numPr>
          <w:ilvl w:val="0"/>
          <w:numId w:val="1015"/>
        </w:numPr>
      </w:pPr>
      <w:r>
        <w:t xml:space="preserve">Оптимизационный подход полезен для выбора практических параметров управления.</w:t>
      </w:r>
    </w:p>
    <w:p>
      <w:pPr>
        <w:pStyle w:val="Compact"/>
        <w:numPr>
          <w:ilvl w:val="0"/>
          <w:numId w:val="1015"/>
        </w:numPr>
      </w:pPr>
      <w:r>
        <w:t xml:space="preserve">Подготовленный комплект материалов (код, графики, отчёт, презентация, релиз) обеспечивает воспроизводимость результатов ЛР4.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87" Target="media/rId87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0" Target="media/rId9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hyperlink" Id="rId10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2" Target="https://gitverse.ru/Kenan/2026-1--study--simulation-modeling" TargetMode="External" /><Relationship Type="http://schemas.openxmlformats.org/officeDocument/2006/relationships/hyperlink" Id="rId13" Target="https://gitverse.ru/Kenan/2026-1--study--simulation-modeling/releases/tag/lab04" TargetMode="External" /><Relationship Type="http://schemas.openxmlformats.org/officeDocument/2006/relationships/hyperlink" Id="rId102" Target="https://rutube.ru/video/ca906f162368016d3336242a0c0f068e/" TargetMode="External" /><Relationship Type="http://schemas.openxmlformats.org/officeDocument/2006/relationships/hyperlink" Id="rId99" Target="https://rutube.ru/video/e230a97c778dc4380eed8aa6b6c7dec8/" TargetMode="External" /><Relationship Type="http://schemas.openxmlformats.org/officeDocument/2006/relationships/hyperlink" Id="rId98" Target="https://vkvideo.ru/video-236906473_456239019?list=ln-ThHskPk8rN3Bj8lX7z" TargetMode="External" /><Relationship Type="http://schemas.openxmlformats.org/officeDocument/2006/relationships/hyperlink" Id="rId101" Target="https://vkvideo.ru/video-236906473_4562390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2" Target="https://gitverse.ru/Kenan/2026-1--study--simulation-modeling" TargetMode="External" /><Relationship Type="http://schemas.openxmlformats.org/officeDocument/2006/relationships/hyperlink" Id="rId13" Target="https://gitverse.ru/Kenan/2026-1--study--simulation-modeling/releases/tag/lab04" TargetMode="External" /><Relationship Type="http://schemas.openxmlformats.org/officeDocument/2006/relationships/hyperlink" Id="rId102" Target="https://rutube.ru/video/ca906f162368016d3336242a0c0f068e/" TargetMode="External" /><Relationship Type="http://schemas.openxmlformats.org/officeDocument/2006/relationships/hyperlink" Id="rId99" Target="https://rutube.ru/video/e230a97c778dc4380eed8aa6b6c7dec8/" TargetMode="External" /><Relationship Type="http://schemas.openxmlformats.org/officeDocument/2006/relationships/hyperlink" Id="rId98" Target="https://vkvideo.ru/video-236906473_456239019?list=ln-ThHskPk8rN3Bj8lX7z" TargetMode="External" /><Relationship Type="http://schemas.openxmlformats.org/officeDocument/2006/relationships/hyperlink" Id="rId101" Target="https://vkvideo.ru/video-236906473_4562390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/>
  <dc:language>ru-RU</dc:language>
  <cp:keywords/>
  <dcterms:created xsi:type="dcterms:W3CDTF">2026-04-04T18:35:07Z</dcterms:created>
  <dcterms:modified xsi:type="dcterms:W3CDTF">2026-04-04T18:35:07Z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Лабораторная работа №4. Агентная реализация SIR-модели и анализ сценариев</vt:lpwstr>
  </property>
</Properties>
</file>