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2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Реализовать и исследовать базовые непрерывные модели, сравнить поведение компонент и подготовить воспроизводимые артефакты.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Реализовать SIR-модель.</w:t>
      </w:r>
    </w:p>
    <w:p>
      <w:pPr>
        <w:numPr>
          <w:ilvl w:val="0"/>
          <w:numId w:val="1001"/>
        </w:numPr>
      </w:pPr>
      <w:r>
        <w:t xml:space="preserve">Реализовать модель Лотки–Вольтерры.</w:t>
      </w:r>
    </w:p>
    <w:p>
      <w:pPr>
        <w:numPr>
          <w:ilvl w:val="0"/>
          <w:numId w:val="1001"/>
        </w:numPr>
      </w:pPr>
      <w:r>
        <w:t xml:space="preserve">Сохранить графики и таблицы результатов.</w:t>
      </w:r>
    </w:p>
    <w:p>
      <w:pPr>
        <w:numPr>
          <w:ilvl w:val="0"/>
          <w:numId w:val="1001"/>
        </w:numPr>
      </w:pPr>
      <w:r>
        <w:t xml:space="preserve">Подготовить literate-документацию,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Лабораторная рассматривает две классические системы ОДУ: эпидемиологическую SIR-модель и экосистемную модель Лотки–Вольтерры.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SIR-модель</w:t>
      </w:r>
    </w:p>
    <w:p>
      <w:pPr>
        <w:pStyle w:val="FirstParagraph"/>
      </w:pPr>
      <w:r>
        <w:t xml:space="preserve">Для системы</w:t>
      </w:r>
      <w:r>
        <w:t xml:space="preserve"> </w:t>
      </w:r>
      <w:r>
        <w:rPr>
          <w:rStyle w:val="VerbatimChar"/>
        </w:rPr>
        <w:t xml:space="preserve">S-I-R</w:t>
      </w:r>
      <w:r>
        <w:t xml:space="preserve"> </w:t>
      </w:r>
      <w:r>
        <w:t xml:space="preserve">использована схема RK4. Сохранены временные ряды и график компонент.</w:t>
      </w:r>
      <w:r>
        <w:t xml:space="preserve"> </w:t>
      </w:r>
      <w:r>
        <w:t xml:space="preserve">## Лотка–Вольтерра</w:t>
      </w:r>
    </w:p>
    <w:p>
      <w:pPr>
        <w:pStyle w:val="BodyText"/>
      </w:pPr>
      <w:r>
        <w:t xml:space="preserve">Для пары хищник-жертва рассчитаны колебательные траектории. Итоговые данные сохранены в CSV и используются в отчёте.</w:t>
      </w:r>
      <w:r>
        <w:t xml:space="preserve"> </w:t>
      </w:r>
      <w:r>
        <w:t xml:space="preserve">## Параметрический анализ</w:t>
      </w:r>
    </w:p>
    <w:p>
      <w:pPr>
        <w:pStyle w:val="BodyText"/>
      </w:pPr>
      <w:r>
        <w:t xml:space="preserve">Ключевые метрики сведены в компактную таблицу для удобного сравнения моделей.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Рассчитана SIR-модель на горизонте 90 единиц времени.</w:t>
      </w:r>
    </w:p>
    <w:p>
      <w:pPr>
        <w:numPr>
          <w:ilvl w:val="0"/>
          <w:numId w:val="1002"/>
        </w:numPr>
      </w:pPr>
      <w:r>
        <w:t xml:space="preserve">Смоделирована система Лотки–Вольтерры на горизонте 40 единиц времени.</w:t>
      </w:r>
    </w:p>
    <w:p>
      <w:pPr>
        <w:numPr>
          <w:ilvl w:val="0"/>
          <w:numId w:val="1002"/>
        </w:numPr>
      </w:pPr>
      <w:r>
        <w:t xml:space="preserve">Собраны таблицы ключевых метрик и графики траекторий.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project/data/sir.csv</w:t>
      </w:r>
    </w:p>
    <w:p>
      <w:pPr>
        <w:numPr>
          <w:ilvl w:val="0"/>
          <w:numId w:val="1003"/>
        </w:numPr>
      </w:pPr>
      <w:r>
        <w:t xml:space="preserve">project/data/lotka-volterra.csv</w:t>
      </w:r>
    </w:p>
    <w:p>
      <w:pPr>
        <w:numPr>
          <w:ilvl w:val="0"/>
          <w:numId w:val="1003"/>
        </w:numPr>
      </w:pPr>
      <w:r>
        <w:t xml:space="preserve">project/plots/sir.png</w:t>
      </w:r>
    </w:p>
    <w:p>
      <w:pPr>
        <w:numPr>
          <w:ilvl w:val="0"/>
          <w:numId w:val="1003"/>
        </w:numPr>
      </w:pPr>
      <w:r>
        <w:t xml:space="preserve">project/plots/lotka-volterra.png</w:t>
      </w:r>
    </w:p>
    <w:p>
      <w:pPr>
        <w:numPr>
          <w:ilvl w:val="0"/>
          <w:numId w:val="1003"/>
        </w:numPr>
      </w:pPr>
      <w:r>
        <w:t xml:space="preserve">project/src/Lab02.jl</w:t>
      </w:r>
    </w:p>
    <w:p>
      <w:pPr>
        <w:numPr>
          <w:ilvl w:val="0"/>
          <w:numId w:val="1003"/>
        </w:numPr>
      </w:pPr>
      <w:r>
        <w:t xml:space="preserve">project/notebook/lab02.ipynb</w:t>
      </w:r>
    </w:p>
    <w:p>
      <w:pPr>
        <w:numPr>
          <w:ilvl w:val="0"/>
          <w:numId w:val="1003"/>
        </w:numPr>
      </w:pPr>
      <w:r>
        <w:t xml:space="preserve">report/simulation-modeling–lab02–report.qmd</w:t>
      </w:r>
    </w:p>
    <w:p>
      <w:pPr>
        <w:numPr>
          <w:ilvl w:val="0"/>
          <w:numId w:val="1003"/>
        </w:numPr>
      </w:pPr>
      <w:r>
        <w:t xml:space="preserve">presentation/simulation-modeling–lab02–presentation.qmd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![Артефакт 1](../project/plots/sir.png)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63333"/>
            <wp:effectExtent b="0" l="0" r="0" t="0"/>
            <wp:docPr descr="Артефакт 2" title="" id="10" name="Picture"/>
            <a:graphic>
              <a:graphicData uri="http://schemas.openxmlformats.org/drawingml/2006/picture">
                <pic:pic>
                  <pic:nvPicPr>
                    <pic:cNvPr descr="../project/plots/lotka-volterr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Артефакт 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| Модель | Ключевой результат |</w:t>
      </w:r>
    </w:p>
    <w:p>
      <w:pPr>
        <w:numPr>
          <w:ilvl w:val="0"/>
          <w:numId w:val="1000"/>
        </w:numPr>
      </w:pPr>
      <w:r>
        <w:t xml:space="preserve">— | — |</w:t>
      </w:r>
      <w:r>
        <w:br/>
      </w:r>
      <w:r>
        <w:t xml:space="preserve">SIR | Пик заражённых 0.304 на шаге 22.0 |</w:t>
      </w:r>
      <w:r>
        <w:br/>
      </w:r>
      <w:r>
        <w:t xml:space="preserve">Лотка–Вольтерра | Финальная точка (0.99, 8.06)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SIR-модель показывает ярко выраженный максимум заражённых и насыщение по R.</w:t>
      </w:r>
    </w:p>
    <w:p>
      <w:pPr>
        <w:numPr>
          <w:ilvl w:val="0"/>
          <w:numId w:val="1003"/>
        </w:numPr>
      </w:pPr>
      <w:r>
        <w:t xml:space="preserve">Модель Лотки–Вольтерры демонстрирует квазипериодические колебания двух популяций.</w:t>
      </w:r>
    </w:p>
    <w:p>
      <w:pPr>
        <w:numPr>
          <w:ilvl w:val="0"/>
          <w:numId w:val="1003"/>
        </w:numPr>
      </w:pPr>
      <w:r>
        <w:t xml:space="preserve">Обе модели удобно анализировать через единый расчётный и отчётный пайплайн.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CSV с траекториями SIR.</w:t>
      </w:r>
    </w:p>
    <w:p>
      <w:pPr>
        <w:numPr>
          <w:ilvl w:val="0"/>
          <w:numId w:val="1003"/>
        </w:numPr>
      </w:pPr>
      <w:r>
        <w:t xml:space="preserve">CSV с траекториями Лотки–Вольтерры.</w:t>
      </w:r>
    </w:p>
    <w:p>
      <w:pPr>
        <w:numPr>
          <w:ilvl w:val="0"/>
          <w:numId w:val="1003"/>
        </w:numPr>
      </w:pPr>
      <w:r>
        <w:t xml:space="preserve">PNG-графики обеих моделей.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2</dc:title>
  <dc:creator>Гашимов Кенан Мухтар оглы</dc:creator>
  <dc:language>ru</dc:language>
  <cp:keywords/>
  <dcterms:created xsi:type="dcterms:W3CDTF">2026-06-08T14:39:07Z</dcterms:created>
  <dcterms:modified xsi:type="dcterms:W3CDTF">2026-06-08T14:39:07Z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