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25.png" ContentType="image/png"/>
  <Override PartName="/word/media/rId21.png" ContentType="image/png"/>
  <Override PartName="/word/media/rId59.png" ContentType="image/png"/>
  <Override PartName="/word/media/rId34.png" ContentType="image/png"/>
  <Override PartName="/word/media/rId30.png" ContentType="image/png"/>
  <Override PartName="/word/media/rId68.png" ContentType="image/png"/>
  <Override PartName="/word/media/rId72.png" ContentType="image/png"/>
  <Override PartName="/word/media/rId63.png" ContentType="image/png"/>
  <Override PartName="/word/media/rId55.png" ContentType="image/png"/>
  <Override PartName="/word/media/rId85.png" ContentType="image/png"/>
  <Override PartName="/word/media/rId77.png" ContentType="image/png"/>
  <Override PartName="/word/media/rId81.png" ContentType="image/png"/>
  <Override PartName="/word/media/rId46.png" ContentType="image/png"/>
  <Override PartName="/word/media/rId42.png" ContentType="image/png"/>
  <Override PartName="/word/media/rId50.png" ContentType="image/png"/>
  <Override PartName="/word/media/rId13.png" ContentType="image/png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Имитационное моделирование</w:t>
      </w:r>
    </w:p>
    <w:p>
      <w:pPr>
        <w:pStyle w:val="Subtitle"/>
      </w:pPr>
      <w:r>
        <w:t xml:space="preserve">Лабораторная работа №1</w:t>
      </w:r>
    </w:p>
    <w:p>
      <w:pPr>
        <w:pStyle w:val="Author"/>
      </w:pPr>
      <w:r>
        <w:t xml:space="preserve">Гашимов Кенан Мухтар оглы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сведения-об-авторе"/>
    <w:p>
      <w:pPr>
        <w:pStyle w:val="Heading1"/>
      </w:pPr>
      <w:r>
        <w:t xml:space="preserve">1. Сведения об авторе</w:t>
      </w:r>
    </w:p>
    <w:p>
      <w:pPr>
        <w:pStyle w:val="Compact"/>
        <w:numPr>
          <w:ilvl w:val="0"/>
          <w:numId w:val="1001"/>
        </w:numPr>
      </w:pPr>
      <w:r>
        <w:t xml:space="preserve">ФИО: Гашимов Кенан Мухтар оглы</w:t>
      </w:r>
    </w:p>
    <w:p>
      <w:pPr>
        <w:pStyle w:val="Compact"/>
        <w:numPr>
          <w:ilvl w:val="0"/>
          <w:numId w:val="1001"/>
        </w:numPr>
      </w:pPr>
      <w:r>
        <w:t xml:space="preserve">Группа: НКНбд-01-23</w:t>
      </w:r>
    </w:p>
    <w:p>
      <w:pPr>
        <w:pStyle w:val="Compact"/>
        <w:numPr>
          <w:ilvl w:val="0"/>
          <w:numId w:val="1001"/>
        </w:numPr>
      </w:pPr>
      <w:r>
        <w:t xml:space="preserve">Студенческий билет: 1032235820</w:t>
      </w:r>
    </w:p>
    <w:p>
      <w:pPr>
        <w:pStyle w:val="Compact"/>
        <w:numPr>
          <w:ilvl w:val="0"/>
          <w:numId w:val="1001"/>
        </w:numPr>
      </w:pPr>
      <w:r>
        <w:t xml:space="preserve">Направление: Математика и компьютерные науки</w:t>
      </w:r>
    </w:p>
    <w:bookmarkEnd w:id="9"/>
    <w:bookmarkStart w:id="10" w:name="цель-работы"/>
    <w:p>
      <w:pPr>
        <w:pStyle w:val="Heading1"/>
      </w:pPr>
      <w:r>
        <w:t xml:space="preserve">2. Цель работы</w:t>
      </w:r>
    </w:p>
    <w:p>
      <w:pPr>
        <w:pStyle w:val="FirstParagraph"/>
      </w:pPr>
      <w:r>
        <w:t xml:space="preserve">Изучить процесс численного решения дифференциального уравнения, описывающего экспоненциальный рост, применяя язык Julia совместно с</w:t>
      </w:r>
      <w:r>
        <w:t xml:space="preserve"> </w:t>
      </w:r>
      <w:r>
        <w:t xml:space="preserve">инструментами для обеспечения воспроизводимости научных вычислений (DrWatson, Literate, Quarto). Помимо этого, необходимо овладеть приёмами</w:t>
      </w:r>
      <w:r>
        <w:t xml:space="preserve"> </w:t>
      </w:r>
      <w:r>
        <w:t xml:space="preserve">варьирования параметров модели, построения графиков и оформления результатов эксперимента.</w:t>
      </w:r>
    </w:p>
    <w:bookmarkEnd w:id="10"/>
    <w:bookmarkStart w:id="11" w:name="задание"/>
    <w:p>
      <w:pPr>
        <w:pStyle w:val="Heading1"/>
      </w:pPr>
      <w:r>
        <w:t xml:space="preserve">3. Задание</w:t>
      </w:r>
    </w:p>
    <w:p>
      <w:pPr>
        <w:pStyle w:val="Compact"/>
        <w:numPr>
          <w:ilvl w:val="0"/>
          <w:numId w:val="1002"/>
        </w:numPr>
      </w:pPr>
      <w:r>
        <w:t xml:space="preserve">Подготовка рабочего окружения (git, git-flow).</w:t>
      </w:r>
    </w:p>
    <w:p>
      <w:pPr>
        <w:pStyle w:val="Compact"/>
        <w:numPr>
          <w:ilvl w:val="0"/>
          <w:numId w:val="1002"/>
        </w:numPr>
      </w:pPr>
      <w:r>
        <w:t xml:space="preserve">Развёртывание Julia и формирование проекта на базе DrWatson.</w:t>
      </w:r>
    </w:p>
    <w:p>
      <w:pPr>
        <w:pStyle w:val="Compact"/>
        <w:numPr>
          <w:ilvl w:val="0"/>
          <w:numId w:val="1002"/>
        </w:numPr>
      </w:pPr>
      <w:r>
        <w:t xml:space="preserve">Реализация простейшей модели экспоненциального роста.</w:t>
      </w:r>
    </w:p>
    <w:p>
      <w:pPr>
        <w:pStyle w:val="Compact"/>
        <w:numPr>
          <w:ilvl w:val="0"/>
          <w:numId w:val="1002"/>
        </w:numPr>
      </w:pPr>
      <w:r>
        <w:t xml:space="preserve">Переработка кода в литературную форму и получение выходных форматов.</w:t>
      </w:r>
    </w:p>
    <w:p>
      <w:pPr>
        <w:pStyle w:val="Compact"/>
        <w:numPr>
          <w:ilvl w:val="0"/>
          <w:numId w:val="1002"/>
        </w:numPr>
      </w:pPr>
      <w:r>
        <w:t xml:space="preserve">Исследование модели при различных значениях параметров.</w:t>
      </w:r>
    </w:p>
    <w:bookmarkEnd w:id="11"/>
    <w:bookmarkStart w:id="12" w:name="теоретическое-введение"/>
    <w:p>
      <w:pPr>
        <w:pStyle w:val="Heading1"/>
      </w:pPr>
      <w:r>
        <w:t xml:space="preserve">4. Теоретическое введение</w:t>
      </w:r>
    </w:p>
    <w:p>
      <w:pPr>
        <w:pStyle w:val="FirstParagraph"/>
      </w:pPr>
      <w:r>
        <w:t xml:space="preserve">Экспоненциальный рост представляет собой модель, в которой темп изменения некоторой величины прямо пропорционален её текущему значению.</w:t>
      </w:r>
      <w:r>
        <w:t xml:space="preserve"> </w:t>
      </w:r>
      <w:r>
        <w:t xml:space="preserve">В математической записи это соответствует следующему обыкновенному дифференциальному уравнению: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u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α</m:t>
          </m:r>
          <m:r>
            <m:t>u</m:t>
          </m:r>
          <m:r>
            <m:rPr>
              <m:sty m:val="p"/>
            </m:rPr>
            <m:t>,</m:t>
          </m:r>
          <m:r>
            <m:t> </m:t>
          </m:r>
          <m:r>
            <m:t>u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обозначает изучаемую переменную (к примеру, размер популяции),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— параметр, характеризующий интенсивность роста,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— значение в начальный момент времени.</w:t>
      </w:r>
    </w:p>
    <w:p>
      <w:pPr>
        <w:pStyle w:val="BodyText"/>
      </w:pPr>
      <w:r>
        <w:t xml:space="preserve">Точное решение данного уравнения записывается как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0</m:t>
            </m:r>
          </m:sub>
        </m:sSub>
        <m:sSup>
          <m:e>
            <m:r>
              <m:t>e</m:t>
            </m:r>
          </m:e>
          <m:sup>
            <m:r>
              <m:t>α</m:t>
            </m:r>
            <m:r>
              <m:t>t</m:t>
            </m:r>
          </m:sup>
        </m:sSup>
      </m:oMath>
      <w:r>
        <w:t xml:space="preserve">. Важной характеристикой такого процесса служит период удвоения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/</m:t>
        </m:r>
        <m:r>
          <m:t>α</m:t>
        </m:r>
      </m:oMath>
      <w:r>
        <w:t xml:space="preserve">,</w:t>
      </w:r>
      <w:r>
        <w:t xml:space="preserve"> </w:t>
      </w:r>
      <w:r>
        <w:t xml:space="preserve">то есть промежуток времени, за который величина возрастает в два раза.</w:t>
      </w:r>
    </w:p>
    <w:p>
      <w:pPr>
        <w:pStyle w:val="BodyText"/>
      </w:pPr>
      <w:r>
        <w:t xml:space="preserve">Применение библиотеки DifferentialEquations.jl для численного интегрирования даёт возможность анализировать динамику системы при разных наборах параметров,</w:t>
      </w:r>
      <w:r>
        <w:t xml:space="preserve"> </w:t>
      </w:r>
      <w:r>
        <w:t xml:space="preserve">осуществлять сканирование по параметрам и сопоставлять численные результаты с аналитическими.</w:t>
      </w:r>
    </w:p>
    <w:bookmarkEnd w:id="12"/>
    <w:bookmarkStart w:id="90" w:name="выполнение-лабораторной-работы"/>
    <w:p>
      <w:pPr>
        <w:pStyle w:val="Heading1"/>
      </w:pPr>
      <w:r>
        <w:t xml:space="preserve">5. Выполнение лабораторной работы</w:t>
      </w:r>
    </w:p>
    <w:bookmarkStart w:id="29" w:name="подготовка-рабочего-окружения"/>
    <w:p>
      <w:pPr>
        <w:pStyle w:val="Heading2"/>
      </w:pPr>
      <w:r>
        <w:t xml:space="preserve">5.1 1. Подготовка рабочего окружения</w:t>
      </w:r>
    </w:p>
    <w:p>
      <w:pPr>
        <w:pStyle w:val="FirstParagraph"/>
      </w:pPr>
      <w:r>
        <w:t xml:space="preserve">Убедимся в корректности SSH-соединения с GitHub.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fig-001"/>
          <w:p>
            <w:pPr>
              <w:pStyle w:val="Compact"/>
              <w:jc w:val="center"/>
            </w:pPr>
            <w:r>
              <w:drawing>
                <wp:inline>
                  <wp:extent cx="3733800" cy="827689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image/ssh_check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276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Тестирование SSH-соединения с GitHub</w:t>
            </w:r>
          </w:p>
          <w:bookmarkEnd w:id="16"/>
        </w:tc>
      </w:tr>
    </w:tbl>
    <w:p>
      <w:pPr>
        <w:pStyle w:val="BodyText"/>
      </w:pPr>
      <w:r>
        <w:t xml:space="preserve">Ознакомимся со структурой каталогов курсового репозитория.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fig-002"/>
          <w:p>
            <w:pPr>
              <w:pStyle w:val="Compact"/>
              <w:jc w:val="center"/>
            </w:pPr>
            <w:r>
              <w:drawing>
                <wp:inline>
                  <wp:extent cx="3733800" cy="2311599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image/workspace_tre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115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Иерархия каталогов курсового проекта</w:t>
            </w:r>
          </w:p>
          <w:bookmarkEnd w:id="20"/>
        </w:tc>
      </w:tr>
    </w:tbl>
    <w:p>
      <w:pPr>
        <w:pStyle w:val="BodyText"/>
      </w:pPr>
      <w:r>
        <w:t xml:space="preserve">Произведём установку git-flow и выполним начальную конфигурацию.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3"/>
          <w:p>
            <w:pPr>
              <w:pStyle w:val="Compact"/>
              <w:jc w:val="center"/>
            </w:pPr>
            <w:r>
              <w:drawing>
                <wp:inline>
                  <wp:extent cx="3733800" cy="1839645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gitflow_setu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396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Развёртывание и конфигурация git-flow</w:t>
            </w:r>
          </w:p>
          <w:bookmarkEnd w:id="24"/>
        </w:tc>
      </w:tr>
    </w:tbl>
    <w:p>
      <w:pPr>
        <w:pStyle w:val="BodyText"/>
      </w:pPr>
      <w:r>
        <w:t xml:space="preserve">Протестируем работу git-flow, создав и завершив feature-ветку.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4"/>
          <w:p>
            <w:pPr>
              <w:pStyle w:val="Compact"/>
              <w:jc w:val="center"/>
            </w:pPr>
            <w:r>
              <w:drawing>
                <wp:inline>
                  <wp:extent cx="3733800" cy="2425607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feature_branch_test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256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Тестирование feature-веток git-flow</w:t>
            </w:r>
          </w:p>
          <w:bookmarkEnd w:id="28"/>
        </w:tc>
      </w:tr>
    </w:tbl>
    <w:bookmarkEnd w:id="29"/>
    <w:bookmarkStart w:id="54" w:name="X486a98d5f8dc3144cb86ec5464075100b33279a"/>
    <w:p>
      <w:pPr>
        <w:pStyle w:val="Heading2"/>
      </w:pPr>
      <w:r>
        <w:t xml:space="preserve">5.2 2. Развёртывание Julia и формирование проекта DrWatson</w:t>
      </w:r>
    </w:p>
    <w:p>
      <w:pPr>
        <w:pStyle w:val="FirstParagraph"/>
      </w:pPr>
      <w:r>
        <w:t xml:space="preserve">Выполним установку Julia с помощью менеджера snap.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5"/>
          <w:p>
            <w:pPr>
              <w:pStyle w:val="Compact"/>
              <w:jc w:val="center"/>
            </w:pPr>
            <w:r>
              <w:drawing>
                <wp:inline>
                  <wp:extent cx="3733800" cy="50874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julia_snap_install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087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Развёртывание Julia посредством snap</w:t>
            </w:r>
          </w:p>
          <w:bookmarkEnd w:id="33"/>
        </w:tc>
      </w:tr>
    </w:tbl>
    <w:p>
      <w:pPr>
        <w:pStyle w:val="BodyText"/>
      </w:pPr>
      <w:r>
        <w:t xml:space="preserve">Версия Julia 1.12.4 корректно установлена в системе.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6"/>
          <w:p>
            <w:pPr>
              <w:pStyle w:val="Compact"/>
              <w:jc w:val="center"/>
            </w:pPr>
            <w:r>
              <w:drawing>
                <wp:inline>
                  <wp:extent cx="3733800" cy="508741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julia_ready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087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Подтверждение установки Julia 1.12.4</w:t>
            </w:r>
          </w:p>
          <w:bookmarkEnd w:id="37"/>
        </w:tc>
      </w:tr>
    </w:tbl>
    <w:p>
      <w:pPr>
        <w:pStyle w:val="BodyText"/>
      </w:pPr>
      <w:r>
        <w:t xml:space="preserve">Сформируем проект DrWatson для выполнения лабораторных работ, запустив скрипт setup_project.jl.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7"/>
          <w:p>
            <w:pPr>
              <w:pStyle w:val="Compact"/>
              <w:jc w:val="center"/>
            </w:pPr>
            <w:r>
              <w:drawing>
                <wp:inline>
                  <wp:extent cx="3733800" cy="50874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drwatson_crea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087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Формирование проекта DrWatson</w:t>
            </w:r>
          </w:p>
          <w:bookmarkEnd w:id="41"/>
        </w:tc>
      </w:tr>
    </w:tbl>
    <w:p>
      <w:pPr>
        <w:pStyle w:val="BodyText"/>
      </w:pPr>
      <w:r>
        <w:t xml:space="preserve">Инициируем процесс добавления необходимых библиотек (DifferentialEquations, Plots, DataFrames, DrWatson и других) при помощи скрипта add_packages.jl.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8"/>
          <w:p>
            <w:pPr>
              <w:pStyle w:val="Compact"/>
              <w:jc w:val="center"/>
            </w:pPr>
            <w:r>
              <w:drawing>
                <wp:inline>
                  <wp:extent cx="3733800" cy="1349073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pkg_installation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490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Добавление библиотек в проект</w:t>
            </w:r>
          </w:p>
          <w:bookmarkEnd w:id="45"/>
        </w:tc>
      </w:tr>
    </w:tbl>
    <w:p>
      <w:pPr>
        <w:pStyle w:val="BodyText"/>
      </w:pPr>
      <w:r>
        <w:t xml:space="preserve">Все требуемые библиотеки добавлены и прошли предварительную компиляцию.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9"/>
          <w:p>
            <w:pPr>
              <w:pStyle w:val="Compact"/>
              <w:jc w:val="center"/>
            </w:pPr>
            <w:r>
              <w:drawing>
                <wp:inline>
                  <wp:extent cx="3733800" cy="2475523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pkg_comple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755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Успешное завершение добавления библиотек</w:t>
            </w:r>
          </w:p>
          <w:bookmarkEnd w:id="49"/>
        </w:tc>
      </w:tr>
    </w:tbl>
    <w:p>
      <w:pPr>
        <w:pStyle w:val="BodyText"/>
      </w:pPr>
      <w:r>
        <w:t xml:space="preserve">Удостоверимся в работоспособности созданного проекта посредством скрипта test_setup.jl.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10"/>
          <w:p>
            <w:pPr>
              <w:pStyle w:val="Compact"/>
              <w:jc w:val="center"/>
            </w:pPr>
            <w:r>
              <w:drawing>
                <wp:inline>
                  <wp:extent cx="3733800" cy="2475523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setup_verify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755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Верификация работоспособности проекта</w:t>
            </w:r>
          </w:p>
          <w:bookmarkEnd w:id="53"/>
        </w:tc>
      </w:tr>
    </w:tbl>
    <w:bookmarkEnd w:id="54"/>
    <w:bookmarkStart w:id="67" w:name="Xddc10e3e497f188a958cd14b52691df95e5b700"/>
    <w:p>
      <w:pPr>
        <w:pStyle w:val="Heading2"/>
      </w:pPr>
      <w:r>
        <w:t xml:space="preserve">5.3 3. Простейшая модель экспоненциального роста</w:t>
      </w:r>
    </w:p>
    <w:p>
      <w:pPr>
        <w:pStyle w:val="FirstParagraph"/>
      </w:pPr>
      <w:r>
        <w:t xml:space="preserve">Выполним скрипт 01_exponential_growth.jl, осуществляющий решение ОДУ экспоненциального роста для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0.3</m:t>
        </m:r>
      </m:oMath>
      <w:r>
        <w:t xml:space="preserve">. В результате получим график и табличные данные.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11"/>
          <w:p>
            <w:pPr>
              <w:pStyle w:val="Compact"/>
              <w:jc w:val="center"/>
            </w:pPr>
            <w:r>
              <w:drawing>
                <wp:inline>
                  <wp:extent cx="3733800" cy="2733467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ode_solution_plot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334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Итог работы скрипта: кривая экспоненциального роста</w:t>
            </w:r>
          </w:p>
          <w:bookmarkEnd w:id="58"/>
        </w:tc>
      </w:tr>
    </w:tbl>
    <w:p>
      <w:pPr>
        <w:pStyle w:val="BodyText"/>
      </w:pPr>
      <w:r>
        <w:t xml:space="preserve">Рассмотрим полученный график детальнее. На нём отображена типичная экспоненциальная зависимость при начальном условии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1.0</m:t>
        </m:r>
      </m:oMath>
      <w:r>
        <w:t xml:space="preserve"> </w:t>
      </w:r>
      <w:r>
        <w:t xml:space="preserve">на интервале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]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012"/>
          <w:p>
            <w:pPr>
              <w:pStyle w:val="Compact"/>
              <w:jc w:val="center"/>
            </w:pPr>
            <w:r>
              <w:drawing>
                <wp:inline>
                  <wp:extent cx="3733800" cy="28448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growth_curve_detail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4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Детализированная кривая роста (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) и табличные данные</w:t>
            </w:r>
          </w:p>
          <w:bookmarkEnd w:id="62"/>
        </w:tc>
      </w:tr>
    </w:tbl>
    <w:p>
      <w:pPr>
        <w:pStyle w:val="BodyText"/>
      </w:pPr>
      <w:r>
        <w:t xml:space="preserve">Итоги расчёта: таблица первых пяти записей DataFrame с приближённым решением, а также аналитически вычисленный период удвоения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2.31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013"/>
          <w:p>
            <w:pPr>
              <w:pStyle w:val="Compact"/>
              <w:jc w:val="center"/>
            </w:pPr>
            <w:r>
              <w:drawing>
                <wp:inline>
                  <wp:extent cx="3733800" cy="1929268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numerical_results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292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Вычислительные итоги и период удвоения</w:t>
            </w:r>
          </w:p>
          <w:bookmarkEnd w:id="66"/>
        </w:tc>
      </w:tr>
    </w:tbl>
    <w:bookmarkEnd w:id="67"/>
    <w:bookmarkStart w:id="76" w:name="получение-выходных-форматов"/>
    <w:p>
      <w:pPr>
        <w:pStyle w:val="Heading2"/>
      </w:pPr>
      <w:r>
        <w:t xml:space="preserve">5.4 4. Получение выходных форматов</w:t>
      </w:r>
    </w:p>
    <w:p>
      <w:pPr>
        <w:pStyle w:val="FirstParagraph"/>
      </w:pPr>
      <w:r>
        <w:t xml:space="preserve">Запустим скрипт tangle.jl для преобразования литературного кода в производные форматы: чистый Julia-скрипт, блокнот Jupyter и документ Quarto.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014"/>
          <w:p>
            <w:pPr>
              <w:pStyle w:val="Compact"/>
              <w:jc w:val="center"/>
            </w:pPr>
            <w:r>
              <w:drawing>
                <wp:inline>
                  <wp:extent cx="3733800" cy="1475269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image/literate_generation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752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Преобразование литературного кода в производные форматы (tangle.jl)</w:t>
            </w:r>
          </w:p>
          <w:bookmarkEnd w:id="71"/>
        </w:tc>
      </w:tr>
    </w:tbl>
    <w:p>
      <w:pPr>
        <w:pStyle w:val="BodyText"/>
      </w:pPr>
      <w:r>
        <w:t xml:space="preserve">Скрипт tangle.jl формирует все три выходных формата для каждого эксперимента.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015"/>
          <w:p>
            <w:pPr>
              <w:pStyle w:val="Compact"/>
              <w:jc w:val="center"/>
            </w:pPr>
            <w:r>
              <w:drawing>
                <wp:inline>
                  <wp:extent cx="3733800" cy="2611397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image/literate_output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113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Полный журнал преобразования форматов</w:t>
            </w:r>
          </w:p>
          <w:bookmarkEnd w:id="75"/>
        </w:tc>
      </w:tr>
    </w:tbl>
    <w:bookmarkEnd w:id="76"/>
    <w:bookmarkStart w:id="89" w:name="Xea5f81688b91b7f95d4c3dee1947d48d00b60bf"/>
    <w:p>
      <w:pPr>
        <w:pStyle w:val="Heading2"/>
      </w:pPr>
      <w:r>
        <w:t xml:space="preserve">5.5 5. Исследование модели при различных значениях параметров</w:t>
      </w:r>
    </w:p>
    <w:p>
      <w:pPr>
        <w:pStyle w:val="FirstParagraph"/>
      </w:pPr>
      <w:r>
        <w:t xml:space="preserve">Запустим скрипт 02_exponential_growth.jl, производящий варьирование параметра</w:t>
      </w:r>
      <w:r>
        <w:t xml:space="preserve"> </w:t>
      </w:r>
      <m:oMath>
        <m:r>
          <m:t>α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0.1</m:t>
        </m:r>
        <m:r>
          <m:rPr>
            <m:sty m:val="p"/>
          </m:rPr>
          <m:t>,</m:t>
        </m:r>
        <m:r>
          <m:t>0.3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,</m:t>
        </m:r>
        <m:r>
          <m:t>1.0</m:t>
        </m:r>
        <m:r>
          <m:rPr>
            <m:sty m:val="p"/>
          </m:rPr>
          <m:t>}</m:t>
        </m:r>
      </m:oMath>
      <w:r>
        <w:t xml:space="preserve">. На графике представлен опорный эксперимент для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016"/>
          <w:p>
            <w:pPr>
              <w:pStyle w:val="Compact"/>
              <w:jc w:val="center"/>
            </w:pPr>
            <w:r>
              <w:drawing>
                <wp:inline>
                  <wp:extent cx="3733800" cy="2685795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param_base_experiment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857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Опорный эксперимент параметрического исследования</w:t>
            </w:r>
          </w:p>
          <w:bookmarkEnd w:id="80"/>
        </w:tc>
      </w:tr>
    </w:tbl>
    <w:p>
      <w:pPr>
        <w:pStyle w:val="BodyText"/>
      </w:pPr>
      <w:r>
        <w:t xml:space="preserve">Итоги варьирования параметров: сводная таблица зависимости конечной численности популяции и периода удвоения от</w:t>
      </w:r>
      <w:r>
        <w:t xml:space="preserve"> </w:t>
      </w:r>
      <m:oMath>
        <m:r>
          <m:t>α</m:t>
        </m:r>
      </m:oMath>
      <w:r>
        <w:t xml:space="preserve">, а также данные о производительности вычислений.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017"/>
          <w:p>
            <w:pPr>
              <w:pStyle w:val="Compact"/>
              <w:jc w:val="center"/>
            </w:pPr>
            <w:r>
              <w:drawing>
                <wp:inline>
                  <wp:extent cx="3733800" cy="3779168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param_scan_table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791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Сводная таблица параметрического варьирования и замеры производительности</w:t>
            </w:r>
          </w:p>
          <w:bookmarkEnd w:id="84"/>
        </w:tc>
      </w:tr>
    </w:tbl>
    <w:p>
      <w:pPr>
        <w:pStyle w:val="BodyText"/>
      </w:pPr>
      <w:r>
        <w:t xml:space="preserve">Обобщённый график, наглядно показывающий, каким образом интенсивность роста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влияет на поведение популяции.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018"/>
          <w:p>
            <w:pPr>
              <w:pStyle w:val="Compact"/>
              <w:jc w:val="center"/>
            </w:pPr>
            <w:r>
              <w:drawing>
                <wp:inline>
                  <wp:extent cx="3733800" cy="2514353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image/param_alpha_plot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143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Зависимость динамики популяции от параметра</w:t>
            </w:r>
            <w:r>
              <w:t xml:space="preserve"> </w:t>
            </w:r>
            <m:oMath>
              <m:r>
                <m:t>α</m:t>
              </m:r>
            </m:oMath>
          </w:p>
          <w:bookmarkEnd w:id="88"/>
        </w:tc>
      </w:tr>
    </w:tbl>
    <w:bookmarkEnd w:id="89"/>
    <w:bookmarkEnd w:id="90"/>
    <w:bookmarkStart w:id="91" w:name="выводы"/>
    <w:p>
      <w:pPr>
        <w:pStyle w:val="Heading1"/>
      </w:pPr>
      <w:r>
        <w:t xml:space="preserve">6. Выводы</w:t>
      </w:r>
    </w:p>
    <w:p>
      <w:pPr>
        <w:pStyle w:val="FirstParagraph"/>
      </w:pPr>
      <w:r>
        <w:t xml:space="preserve">По итогам лабораторной работы было подготовлено рабочее окружение для курса: настроены git-flow, Julia 1.12.4, сформирован проект DrWatson с набором необходимых библиотек.</w:t>
      </w:r>
      <w:r>
        <w:t xml:space="preserve"> </w:t>
      </w:r>
      <w:r>
        <w:t xml:space="preserve">Построена численная модель экспоненциального роста на базе DifferentialEquations.jl. Выполнен опорный расчёт при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0.3</m:t>
        </m:r>
      </m:oMath>
      <w:r>
        <w:t xml:space="preserve">, а также серия экспериментов с варьированием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Исходный код оформлен в литературном стиле с получением производных форматов (Julia-скрипт, Jupyter-блокнот, Quarto-документ).</w:t>
      </w:r>
      <w:r>
        <w:t xml:space="preserve"> </w:t>
      </w:r>
      <w:r>
        <w:t xml:space="preserve">Полученные результаты свидетельствуют о корректности численного решения и наглядно демонстрируют экспоненциальную зависимость итоговой численности популяции от интенсивности роста.</w:t>
      </w:r>
    </w:p>
    <w:bookmarkEnd w:id="91"/>
    <w:bookmarkStart w:id="93" w:name="список-литературы"/>
    <w:p>
      <w:pPr>
        <w:pStyle w:val="Heading1"/>
      </w:pPr>
      <w:r>
        <w:t xml:space="preserve">Список литературы</w:t>
      </w:r>
    </w:p>
    <w:bookmarkStart w:id="92" w:name="refs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8" Target="media/rId38.png" /><Relationship Type="http://schemas.openxmlformats.org/officeDocument/2006/relationships/image" Id="rId25" Target="media/rId25.png" /><Relationship Type="http://schemas.openxmlformats.org/officeDocument/2006/relationships/image" Id="rId21" Target="media/rId21.png" /><Relationship Type="http://schemas.openxmlformats.org/officeDocument/2006/relationships/image" Id="rId59" Target="media/rId59.png" /><Relationship Type="http://schemas.openxmlformats.org/officeDocument/2006/relationships/image" Id="rId34" Target="media/rId34.png" /><Relationship Type="http://schemas.openxmlformats.org/officeDocument/2006/relationships/image" Id="rId30" Target="media/rId30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63" Target="media/rId63.png" /><Relationship Type="http://schemas.openxmlformats.org/officeDocument/2006/relationships/image" Id="rId55" Target="media/rId55.png" /><Relationship Type="http://schemas.openxmlformats.org/officeDocument/2006/relationships/image" Id="rId85" Target="media/rId85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46" Target="media/rId46.png" /><Relationship Type="http://schemas.openxmlformats.org/officeDocument/2006/relationships/image" Id="rId42" Target="media/rId42.png" /><Relationship Type="http://schemas.openxmlformats.org/officeDocument/2006/relationships/image" Id="rId50" Target="media/rId50.png" /><Relationship Type="http://schemas.openxmlformats.org/officeDocument/2006/relationships/image" Id="rId13" Target="media/rId13.png" /><Relationship Type="http://schemas.openxmlformats.org/officeDocument/2006/relationships/image" Id="rId17" Target="media/rId1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Имитационное моделирование</dc:title>
  <dc:creator>Гашимов Кенан Мухтар оглы</dc:creator>
  <dc:language>ru-RU</dc:language>
  <cp:keywords/>
  <dcterms:created xsi:type="dcterms:W3CDTF">2026-06-08T19:20:24Z</dcterms:created>
  <dcterms:modified xsi:type="dcterms:W3CDTF">2026-06-08T19:20:24Z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Лабораторная работа №1</vt:lpwstr>
  </property>
  <property fmtid="{D5CDD505-2E9C-101B-9397-08002B2CF9AE}" pid="17" name="toc-title">
    <vt:lpwstr>Содержание</vt:lpwstr>
  </property>
</Properties>
</file>