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20.png" ContentType="image/png"/>
  <Override PartName="/word/media/rId124.png" ContentType="image/png"/>
  <Override PartName="/word/media/rId130.png" ContentType="image/png"/>
  <Override PartName="/word/media/rId134.png" ContentType="image/png"/>
  <Override PartName="/word/media/rId139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77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93.png" ContentType="image/png"/>
  <Override PartName="/word/media/rId85.png" ContentType="image/png"/>
  <Override PartName="/word/media/rId81.png" ContentType="image/png"/>
  <Override PartName="/word/media/rId89.png" ContentType="image/png"/>
  <Override PartName="/word/media/rId97.png" ContentType="image/png"/>
  <Override PartName="/word/media/rId101.png" ContentType="image/png"/>
  <Override PartName="/word/media/rId72.png" ContentType="image/png"/>
  <Override PartName="/word/media/rId56.png" ContentType="image/png"/>
  <Override PartName="/word/media/rId60.png" ContentType="image/png"/>
  <Override PartName="/word/media/rId52.png" ContentType="image/png"/>
  <Override PartName="/word/media/rId48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№2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Освоить методологию литературного программирования (Literate Programming) и применить её при реализации двух классических имитационных моделей — эпидемиологической модели SIR и экологической модели Лотки–Вольтерры — на языке Julia. В ходе работы необходимо научиться создавать литературные скрипты, из которых автоматически генерируются производные форматы (чистый код, Jupyter-блокнот, Quarto-документация), а также интегрировать полученную документацию в академический отчёт.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проекта DrWatson для размещения кода моделей.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Julia-пакеты (DifferentialEquations, Plots, Literate и др.).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предложенные скрипты моделей SIR и Лотки–Вольтерры, верифицировать результаты.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рабочий код в литературный стиль с разметкой Literate.jl.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три производных формата: 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-скрипт, Jupyter notebook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 Quarto-документацию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и убедиться в корректности результатов.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Quarto-документацию в настоящий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литературный код раздел с анализом чувствительности (вычисление для набора параметров).</w:t>
      </w:r>
    </w:p>
    <w:p>
      <w:pPr>
        <w:pStyle w:val="Compact"/>
        <w:numPr>
          <w:ilvl w:val="0"/>
          <w:numId w:val="1002"/>
        </w:numPr>
      </w:pPr>
      <w:r>
        <w:t xml:space="preserve">Перегенерировать производные форматы из обновлённого литературного кода.</w:t>
      </w:r>
    </w:p>
    <w:p>
      <w:pPr>
        <w:pStyle w:val="Compact"/>
        <w:numPr>
          <w:ilvl w:val="0"/>
          <w:numId w:val="1002"/>
        </w:numPr>
      </w:pPr>
      <w:r>
        <w:t xml:space="preserve">Выполнить обновлённые Jupyter notebooks.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обновлённую документацию с анализом чувствительности в отчёт.</w:t>
      </w:r>
    </w:p>
    <w:bookmarkEnd w:id="11"/>
    <w:bookmarkStart w:id="24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3" w:name="литературное-программирование"/>
    <w:p>
      <w:pPr>
        <w:pStyle w:val="Heading2"/>
      </w:pPr>
      <w:r>
        <w:t xml:space="preserve">4.1 Литературное программирование</w:t>
      </w:r>
    </w:p>
    <w:p>
      <w:pPr>
        <w:pStyle w:val="FirstParagraph"/>
      </w:pPr>
      <w:r>
        <w:t xml:space="preserve">Концепция литературного программирования была впервые сформулирована Дональдом Кнутом в 1984 году</w:t>
      </w:r>
      <w:r>
        <w:t xml:space="preserve"> </w:t>
      </w:r>
      <w:r>
        <w:t xml:space="preserve">[1]</w:t>
      </w:r>
      <w:r>
        <w:t xml:space="preserve">. Центральная идея состоит в том, что исходный код программы должен быть организован не столько для удобства компилятора, сколько для восприятия человеком. Программа рассматривается как связный текст, в котором алгоритмические решения сопровождаются развёрнутыми пояснениями на естественном языке.</w:t>
      </w:r>
    </w:p>
    <w:p>
      <w:pPr>
        <w:pStyle w:val="BodyText"/>
      </w:pPr>
      <w:r>
        <w:t xml:space="preserve">Для воспроизводимых научных вычислений данный подход был детально проработан в</w:t>
      </w:r>
      <w:r>
        <w:t xml:space="preserve"> </w:t>
      </w:r>
      <w:r>
        <w:t xml:space="preserve">[2]</w:t>
      </w:r>
      <w:r>
        <w:t xml:space="preserve">. В экосистеме Julia литературное программирование реализуется посредством пакета Literate.jl. Единственный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 с определённой системой комментариев служит источником сразу трёх производных форматов: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чистый Julia-скрипт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без документационных комментариев, пригодный для прямого запуска;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Jupyter notebook</w:t>
      </w:r>
      <w:r>
        <w:t xml:space="preserve"> </w:t>
      </w:r>
      <w:r>
        <w:t xml:space="preserve">— интерактивный блокнот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 удобный для исследовательской работы</w:t>
      </w:r>
      <w:r>
        <w:t xml:space="preserve"> </w:t>
      </w:r>
      <w:r>
        <w:t xml:space="preserve">[3]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Quarto-документ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.qmd</w:t>
      </w:r>
      <w:r>
        <w:t xml:space="preserve">-файл, из которого рендерится PDF, HTML или DOCX.</w:t>
      </w:r>
    </w:p>
    <w:p>
      <w:pPr>
        <w:pStyle w:val="FirstParagraph"/>
      </w:pPr>
      <w:r>
        <w:t xml:space="preserve">Разметка Literate.jl использует следующие конструкции: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literate-synta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элементы разметки Literate.jl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Синтаксис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 # Заголовок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Заголовок уровня 1 в Markdown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 Текст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Обычный текстовый параграф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#jl 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 включается только в чистый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.jl</w:t>
                  </w:r>
                  <w:r>
                    <w:t xml:space="preserve">-скрипт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#nb 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 включается только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.ipynb</w:t>
                  </w:r>
                  <w:r>
                    <w:t xml:space="preserve">-ноутбук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#src 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 скрыт из всех выходных форматов</w:t>
                  </w:r>
                </w:p>
              </w:tc>
            </w:tr>
          </w:tbl>
          <w:bookmarkEnd w:id="12"/>
          <w:p/>
        </w:tc>
      </w:tr>
    </w:tbl>
    <w:bookmarkEnd w:id="13"/>
    <w:bookmarkStart w:id="19" w:name="модель-sir"/>
    <w:p>
      <w:pPr>
        <w:pStyle w:val="Heading2"/>
      </w:pPr>
      <w:r>
        <w:t xml:space="preserve">4.2 Модель SIR</w:t>
      </w:r>
    </w:p>
    <w:p>
      <w:pPr>
        <w:pStyle w:val="FirstParagraph"/>
      </w:pPr>
      <w:r>
        <w:t xml:space="preserve">Модель SIR представляет собой классическую компартментальную модель эпидемиологии, описывающую распространение инфекционного заболевания в закрытой однородной популяции</w:t>
      </w:r>
      <w:r>
        <w:t xml:space="preserve"> </w:t>
      </w:r>
      <w:r>
        <w:t xml:space="preserve">[4,5]</w:t>
      </w:r>
      <w:r>
        <w:t xml:space="preserve">. Всё население разбивается на три взаимосвязанные группы: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(</w:t>
      </w:r>
      <w:r>
        <w:rPr>
          <w:i/>
          <w:iCs/>
        </w:rPr>
        <w:t xml:space="preserve">Susceptible</w:t>
      </w:r>
      <w:r>
        <w:t xml:space="preserve">) — восприимчивые индивиды, не имеющие иммунитета и способные заразиться;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(</w:t>
      </w:r>
      <w:r>
        <w:rPr>
          <w:i/>
          <w:iCs/>
        </w:rPr>
        <w:t xml:space="preserve">Infectious</w:t>
      </w:r>
      <w:r>
        <w:t xml:space="preserve">) — инфицированные, которые в данный момент больны и передают инфекцию;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Recovered</w:t>
      </w:r>
      <w:r>
        <w:t xml:space="preserve">) — выздоровевшие, приобретшие стойкий иммунитет и вышедшие из процесса передачи.</w:t>
      </w:r>
    </w:p>
    <w:p>
      <w:pPr>
        <w:pStyle w:val="FirstParagraph"/>
      </w:pPr>
      <w:r>
        <w:t xml:space="preserve">Модель опирается на ряд ключевых допущений: закрытая популяция (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, без рождений и смертей), однородное смешение (каждый восприимчивый одинаково рискует встретиться с заразным), постоянство параметров заразности и выздоровления, отсутствие латентного периода, а также пожизненный иммунитет после выздоровления.</w:t>
      </w:r>
    </w:p>
    <w:p>
      <w:pPr>
        <w:pStyle w:val="BodyText"/>
      </w:pPr>
      <w:r>
        <w:t xml:space="preserve">Динамика модели описывается системой обыкновенных дифференциальных уравнений. В трёхпараметрической формулировке коэффициент заражения разделяется на два компонента — вероятность передачи инфекции при контакте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среднее число контактов в единицу времени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w:bookmarkStart w:id="14" w:name="eq-sir-s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N</m:t>
              </m:r>
            </m:den>
          </m:f>
          <m:r>
            <m:t> </m:t>
          </m:r>
          <m:r>
            <m:t>I</m:t>
          </m:r>
          <m:r>
            <m:rPr>
              <m:sty m:val="p"/>
            </m:rPr>
            <m:t>⋅</m:t>
          </m:r>
          <m:r>
            <m:t>S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bookmarkStart w:id="15" w:name="eq-sir-i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N</m:t>
              </m:r>
            </m:den>
          </m:f>
          <m:r>
            <m:t> </m:t>
          </m:r>
          <m:r>
            <m:t>I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bookmarkStart w:id="16" w:name="eq-sir-r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p>
      <w:pPr>
        <w:pStyle w:val="FirstParagraph"/>
      </w:pPr>
      <w:r>
        <w:t xml:space="preserve">Ключевым показателем модели является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определяющее среднее количество вторичных случаев заражения от одного инфицированного в полностью восприимчивой популяции:</w:t>
      </w:r>
    </w:p>
    <w:p>
      <w:pPr>
        <w:pStyle w:val="BodyText"/>
      </w:pPr>
      <w:bookmarkStart w:id="17" w:name="eq-r0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r>
                <m:t>γ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разрастается,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самопроизвольно угасает. Эффективное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учитывает текущую долю восприимчивых и позволяет отслеживать момент перехода эпидемии в фазу спада (когда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опускается ниже единицы). Порог коллективного иммунитета равен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Параметры, использованные при моделировании, приведены в</w:t>
      </w:r>
      <w:r>
        <w:t xml:space="preserve"> </w:t>
      </w:r>
      <w:hyperlink w:anchor="tbl-sir-param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sir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Параметры трёхпараметрической модели SIR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заражения при одном контакте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число контактов в сутки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γ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выздоровления (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oMath>
                  <w:r>
                    <w:t xml:space="preserve"> </w:t>
                  </w:r>
                  <w:r>
                    <w:t xml:space="preserve">дня)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численность популяции</w:t>
                  </w:r>
                </w:p>
              </w:tc>
            </w:tr>
          </w:tbl>
          <w:bookmarkEnd w:id="18"/>
          <w:p/>
        </w:tc>
      </w:tr>
    </w:tbl>
    <w:bookmarkEnd w:id="19"/>
    <w:bookmarkStart w:id="23" w:name="модель-лоткивольтерры"/>
    <w:p>
      <w:pPr>
        <w:pStyle w:val="Heading2"/>
      </w:pPr>
      <w:r>
        <w:t xml:space="preserve">4.3 Модель Лотки–Вольтерры</w:t>
      </w:r>
    </w:p>
    <w:p>
      <w:pPr>
        <w:pStyle w:val="FirstParagraph"/>
      </w:pPr>
      <w:r>
        <w:t xml:space="preserve">Модель Лотки–Вольтерры — фундаментальная экологическая модель, описывающая динамику взаимодействия двух популяций: жертв (</w:t>
      </w:r>
      <m:oMath>
        <m:r>
          <m:t>x</m:t>
        </m:r>
      </m:oMath>
      <w:r>
        <w:t xml:space="preserve">) и хищников (</w:t>
      </w:r>
      <m:oMath>
        <m:r>
          <m:t>y</m:t>
        </m:r>
      </m:oMath>
      <w:r>
        <w:t xml:space="preserve">). Она была независимо предложена Альфредом Лоткой в 1925 году для химических реакций</w:t>
      </w:r>
      <w:r>
        <w:t xml:space="preserve"> </w:t>
      </w:r>
      <w:r>
        <w:t xml:space="preserve">[6]</w:t>
      </w:r>
      <w:r>
        <w:t xml:space="preserve"> </w:t>
      </w:r>
      <w:r>
        <w:t xml:space="preserve">и Витторио Вольтеррой в 1928 году для объяснения колебаний улова рыбы в Адриатическом море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t xml:space="preserve">Модель строится на нескольких упрощающих предположениях: закрытая система (нет миграции), неограниченные ресурсы для жертв в отсутствие хищников, линейная функциональная реакция (вероятность встречи пропорциональна произведению численностей), постоянство коэффициентов взаимодействия, отсутствие внутривидовой конкуренции.</w:t>
      </w:r>
    </w:p>
    <w:p>
      <w:pPr>
        <w:pStyle w:val="BodyText"/>
      </w:pPr>
      <w:r>
        <w:t xml:space="preserve">Система ОДУ модели записывается следующим образом:</w:t>
      </w:r>
    </w:p>
    <w:p>
      <w:pPr>
        <w:pStyle w:val="BodyText"/>
      </w:pPr>
      <w:bookmarkStart w:id="20" w:name="eq-lv-x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bookmarkStart w:id="21" w:name="eq-lv-y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Параметры модели представлены в</w:t>
      </w:r>
      <w:r>
        <w:t xml:space="preserve"> </w:t>
      </w:r>
      <w:hyperlink w:anchor="tbl-lv-params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lv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Параметры модели Лотки–Вольтерры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Биологический 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естественного прироста жертв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выедания жертв хищниками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коэффициент конверсии жертв в прирост хищников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γ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естественная смертность хищников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Система имеет два положения равновесия: тривиальное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(вымирание обоих видов) и нетривиальное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=</m:t>
            </m:r>
            <m:r>
              <m:t>γ</m:t>
            </m:r>
            <m:r>
              <m:rPr>
                <m:sty m:val="p"/>
              </m:rPr>
              <m:t>/</m:t>
            </m:r>
            <m:r>
              <m:t>δ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=</m:t>
            </m:r>
            <m:r>
              <m:t>α</m:t>
            </m:r>
            <m:r>
              <m:rPr>
                <m:sty m:val="p"/>
              </m:rPr>
              <m:t>/</m:t>
            </m:r>
            <m:r>
              <m:t>β</m:t>
            </m:r>
          </m:e>
        </m:d>
      </m:oMath>
      <w:r>
        <w:t xml:space="preserve">, вокруг которого траектории образуют замкнутые орбиты — характерную черту консервативной системы. Теоретический период малых колебаний вблизи равновесия вычисляется по формуле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α</m:t>
            </m:r>
            <m:r>
              <m:t>γ</m:t>
            </m:r>
          </m:e>
        </m:rad>
      </m:oMath>
      <w:r>
        <w:t xml:space="preserve">.</w:t>
      </w:r>
    </w:p>
    <w:p>
      <w:pPr>
        <w:pStyle w:val="BodyText"/>
      </w:pPr>
      <w:r>
        <w:t xml:space="preserve">Для численного интегрирования обеих моделей использовалась библиотека DifferentialEquations.jl</w:t>
      </w:r>
      <w:r>
        <w:t xml:space="preserve"> </w:t>
      </w:r>
      <w:r>
        <w:t xml:space="preserve">[8]</w:t>
      </w:r>
      <w:r>
        <w:t xml:space="preserve">, реализованная на языке Julia</w:t>
      </w:r>
      <w:r>
        <w:t xml:space="preserve"> </w:t>
      </w:r>
      <w:r>
        <w:t xml:space="preserve">[9]</w:t>
      </w:r>
      <w:r>
        <w:t xml:space="preserve">.</w:t>
      </w:r>
    </w:p>
    <w:bookmarkEnd w:id="23"/>
    <w:bookmarkEnd w:id="24"/>
    <w:bookmarkStart w:id="145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33" w:name="шаг-1.-запуск-julia-и-загрузка-drwatson"/>
    <w:p>
      <w:pPr>
        <w:pStyle w:val="Heading2"/>
      </w:pPr>
      <w:r>
        <w:t xml:space="preserve">5.1 Шаг 1. Запуск Julia и загрузка DrWatson</w:t>
      </w:r>
    </w:p>
    <w:p>
      <w:pPr>
        <w:pStyle w:val="FirstParagraph"/>
      </w:pPr>
      <w:r>
        <w:t xml:space="preserve">Первым делом запускаем интерпретатор Julia. На</w:t>
      </w:r>
      <w:r>
        <w:t xml:space="preserve"> </w:t>
      </w:r>
      <w:hyperlink w:anchor="fig-julia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представлено окно REPL с информацией о версии — Julia 1.12.5.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julia"/>
          <w:p>
            <w:pPr>
              <w:pStyle w:val="Compact"/>
              <w:jc w:val="center"/>
            </w:pPr>
            <w:r>
              <w:drawing>
                <wp:inline>
                  <wp:extent cx="4800600" cy="105902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Julia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59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Julia REPL, версия 1.12.5</w:t>
            </w:r>
          </w:p>
          <w:bookmarkEnd w:id="28"/>
        </w:tc>
      </w:tr>
    </w:tbl>
    <w:p>
      <w:pPr>
        <w:pStyle w:val="BodyText"/>
      </w:pPr>
      <w:r>
        <w:t xml:space="preserve">Далее подключаем пакет DrWatson, предназначенный для организации воспроизводимых научных вычислений. DrWatson предоставляет удобные функции навигации по каталогам проекта (</w:t>
      </w:r>
      <w:r>
        <w:rPr>
          <w:rStyle w:val="VerbatimChar"/>
        </w:rPr>
        <w:t xml:space="preserve">plotsdir()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scriptsdir()</w:t>
      </w:r>
      <w:r>
        <w:t xml:space="preserve">), а также механизм автоматической активации проектного окружения. На</w:t>
      </w:r>
      <w:r>
        <w:t xml:space="preserve"> </w:t>
      </w:r>
      <w:hyperlink w:anchor="fig-drwatson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видно, что пакет успешно прекомпилирован: 18 зависимостей скомпилированы за 44 секунды, ещё 27 уже были готовы.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drwatson"/>
          <w:p>
            <w:pPr>
              <w:pStyle w:val="Compact"/>
              <w:jc w:val="center"/>
            </w:pPr>
            <w:r>
              <w:drawing>
                <wp:inline>
                  <wp:extent cx="4800600" cy="42796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%20DrWatso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7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Предварительная компиляция пакета DrWatson</w:t>
            </w:r>
          </w:p>
          <w:bookmarkEnd w:id="32"/>
        </w:tc>
      </w:tr>
    </w:tbl>
    <w:bookmarkEnd w:id="33"/>
    <w:bookmarkStart w:id="38" w:name="шаг-2.-создание-проекта-drwatson"/>
    <w:p>
      <w:pPr>
        <w:pStyle w:val="Heading2"/>
      </w:pPr>
      <w:r>
        <w:t xml:space="preserve">5.2 Шаг 2. Создание проекта DrWatson</w:t>
      </w:r>
    </w:p>
    <w:p>
      <w:pPr>
        <w:pStyle w:val="FirstParagraph"/>
      </w:pPr>
      <w:r>
        <w:t xml:space="preserve">Вызываем функцию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для создания стандартной структуры каталогов научного проекта (</w:t>
      </w:r>
      <w:hyperlink w:anchor="fig-init-proj">
        <w:r>
          <w:rPr>
            <w:rStyle w:val="Hyperlink"/>
          </w:rPr>
          <w:t xml:space="preserve">рис. 3</w:t>
        </w:r>
      </w:hyperlink>
      <w:r>
        <w:t xml:space="preserve">). Команда:</w:t>
      </w:r>
    </w:p>
    <w:p>
      <w:pPr>
        <w:pStyle w:val="SourceCode"/>
      </w:pPr>
      <w:r>
        <w:rPr>
          <w:rStyle w:val="FunctionTok"/>
        </w:rPr>
        <w:t xml:space="preserve">initialize_project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"labs/lab02/lab_02_models"</w:t>
      </w:r>
      <w:r>
        <w:rPr>
          <w:rStyle w:val="NormalTok"/>
        </w:rPr>
        <w:t xml:space="preserve">; authors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"Гашимов Кенан Мухтар оглы"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DrWatson автоматически создаёт каталоги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, а также файлы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для управления зависимостями. На скриншоте видно, что проект активирован по указанному пути, установлен пакет</w:t>
      </w:r>
      <w:r>
        <w:t xml:space="preserve"> </w:t>
      </w:r>
      <w:r>
        <w:rPr>
          <w:rStyle w:val="VerbatimChar"/>
        </w:rPr>
        <w:t xml:space="preserve">Preferences v1.5.2</w:t>
      </w:r>
      <w:r>
        <w:t xml:space="preserve"> </w:t>
      </w:r>
      <w:r>
        <w:t xml:space="preserve">и сам</w:t>
      </w:r>
      <w:r>
        <w:t xml:space="preserve"> </w:t>
      </w:r>
      <w:r>
        <w:rPr>
          <w:rStyle w:val="VerbatimChar"/>
        </w:rPr>
        <w:t xml:space="preserve">DrWatson v2.19.1</w:t>
      </w:r>
      <w:r>
        <w:t xml:space="preserve"> </w:t>
      </w:r>
      <w:r>
        <w:t xml:space="preserve">добавлен в зависимости.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init-proj"/>
          <w:p>
            <w:pPr>
              <w:pStyle w:val="Compact"/>
              <w:jc w:val="center"/>
            </w:pPr>
            <w:r>
              <w:drawing>
                <wp:inline>
                  <wp:extent cx="4800600" cy="11515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%20Init_Proj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51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 проекта DrWatson</w:t>
            </w:r>
            <w:r>
              <w:t xml:space="preserve"> </w:t>
            </w:r>
            <w:r>
              <w:rPr>
                <w:rStyle w:val="VerbatimChar"/>
              </w:rPr>
              <w:t xml:space="preserve">lab_02_models</w:t>
            </w:r>
          </w:p>
          <w:bookmarkEnd w:id="37"/>
        </w:tc>
      </w:tr>
    </w:tbl>
    <w:bookmarkEnd w:id="38"/>
    <w:bookmarkStart w:id="43" w:name="шаг-3.-установка-зависимостей"/>
    <w:p>
      <w:pPr>
        <w:pStyle w:val="Heading2"/>
      </w:pPr>
      <w:r>
        <w:t xml:space="preserve">5.3 Шаг 3. Установка зависимостей</w:t>
      </w:r>
    </w:p>
    <w:p>
      <w:pPr>
        <w:pStyle w:val="FirstParagraph"/>
      </w:pPr>
      <w:r>
        <w:t xml:space="preserve">Активируем проектное окружение и добавляем необходимые пакеты через менеджер</w:t>
      </w:r>
      <w:r>
        <w:t xml:space="preserve"> </w:t>
      </w:r>
      <w:r>
        <w:rPr>
          <w:rStyle w:val="VerbatimChar"/>
        </w:rPr>
        <w:t xml:space="preserve">Pkg</w:t>
      </w:r>
      <w:r>
        <w:t xml:space="preserve"> </w:t>
      </w:r>
      <w:r>
        <w:t xml:space="preserve">(</w:t>
      </w:r>
      <w:hyperlink w:anchor="fig-pkg-add">
        <w:r>
          <w:rPr>
            <w:rStyle w:val="Hyperlink"/>
          </w:rPr>
          <w:t xml:space="preserve">рис. 4</w:t>
        </w:r>
      </w:hyperlink>
      <w:r>
        <w:t xml:space="preserve">):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"labs/lab02/lab_02_models"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"DifferentialEquations"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"SimpleDiffEq"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"StatsPlots"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"LaTeXStrings"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"FFTW"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"IJulia"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Ключевые пакеты и их назначение: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DifferentialEquations</w:t>
      </w:r>
      <w:r>
        <w:t xml:space="preserve"> </w:t>
      </w:r>
      <w:r>
        <w:t xml:space="preserve">— мощная библиотека солверов для ОДУ, ДАУ, СДУ и других типов уравнений;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 </w:t>
      </w:r>
      <w:r>
        <w:t xml:space="preserve">— построение графиков с поддержкой множества бэкендов;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табличная обработка данных, аналог pandas в Python;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FFTW</w:t>
      </w:r>
      <w:r>
        <w:t xml:space="preserve"> </w:t>
      </w:r>
      <w:r>
        <w:t xml:space="preserve">— быстрое преобразование Фурье для спектрального анализа;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Literate</w:t>
      </w:r>
      <w:r>
        <w:t xml:space="preserve"> </w:t>
      </w:r>
      <w:r>
        <w:t xml:space="preserve">— пакет литературного программирования для генерации производных форматов;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IJulia</w:t>
      </w:r>
      <w:r>
        <w:t xml:space="preserve"> </w:t>
      </w:r>
      <w:r>
        <w:t xml:space="preserve">— ядро Julia для Jupyter, обеспечивающее работу ноутбуков.</w:t>
      </w:r>
    </w:p>
    <w:p>
      <w:pPr>
        <w:pStyle w:val="FirstParagraph"/>
      </w:pPr>
      <w:r>
        <w:t xml:space="preserve">Все зависимости фиксируются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 что гарантирует воспроизводимость: любой пользователь сможет восстановить окружение командой</w:t>
      </w:r>
      <w:r>
        <w:t xml:space="preserve"> </w:t>
      </w:r>
      <w:r>
        <w:rPr>
          <w:rStyle w:val="VerbatimChar"/>
        </w:rPr>
        <w:t xml:space="preserve">Pkg.instantiate()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kg-add"/>
          <w:p>
            <w:pPr>
              <w:pStyle w:val="Compact"/>
              <w:jc w:val="center"/>
            </w:pPr>
            <w:r>
              <w:drawing>
                <wp:inline>
                  <wp:extent cx="4800600" cy="131222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Inst_Pack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12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Активация проекта и добавление Julia-пакетов</w:t>
            </w:r>
          </w:p>
          <w:bookmarkEnd w:id="42"/>
        </w:tc>
      </w:tr>
    </w:tbl>
    <w:bookmarkEnd w:id="43"/>
    <w:bookmarkStart w:id="76" w:name="шаг-4.-запуск-модели-sir"/>
    <w:p>
      <w:pPr>
        <w:pStyle w:val="Heading2"/>
      </w:pPr>
      <w:r>
        <w:t xml:space="preserve">5.4 Шаг 4. Запуск модели SIR</w:t>
      </w:r>
    </w:p>
    <w:p>
      <w:pPr>
        <w:pStyle w:val="FirstParagraph"/>
      </w:pPr>
      <w:r>
        <w:t xml:space="preserve">Выполняем скрипт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include("scripts/sir_ode.jl")</w:t>
      </w:r>
      <w:r>
        <w:t xml:space="preserve"> </w:t>
      </w:r>
      <w:r>
        <w:t xml:space="preserve">из Julia REPL. Скрипт содержит определение правой части системы ОДУ (уравнения</w:t>
      </w:r>
      <w:r>
        <w:t xml:space="preserve"> </w:t>
      </w:r>
      <w:hyperlink w:anchor="eq-sir-s">
        <w:r>
          <w:rPr>
            <w:rStyle w:val="Hyperlink"/>
          </w:rPr>
          <w:t xml:space="preserve">1</w:t>
        </w:r>
      </w:hyperlink>
      <w:r>
        <w:t xml:space="preserve">–</w:t>
      </w:r>
      <w:hyperlink w:anchor="eq-sir-r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(beta, c, gamma)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Задаются параметры (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), начальные условия (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и временной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]</m:t>
        </m:r>
      </m:oMath>
      <w:r>
        <w:t xml:space="preserve">. Решение находится методом с фиксированным шагом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hyperlink w:anchor="fig-sir-results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представлен вывод скрипта с результатами расчёта.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sir-results"/>
          <w:p>
            <w:pPr>
              <w:pStyle w:val="Compact"/>
              <w:jc w:val="center"/>
            </w:pPr>
            <w:r>
              <w:drawing>
                <wp:inline>
                  <wp:extent cx="4800600" cy="285568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sir_ode.jl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55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Параметры и результаты моделирования SIR</w:t>
            </w:r>
          </w:p>
          <w:bookmarkEnd w:id="47"/>
        </w:tc>
      </w:tr>
    </w:tbl>
    <w:p>
      <w:pPr>
        <w:pStyle w:val="BodyText"/>
      </w:pPr>
      <w:r>
        <w:t xml:space="preserve">Из вывода (</w:t>
      </w:r>
      <w:hyperlink w:anchor="fig-sir-results">
        <w:r>
          <w:rPr>
            <w:rStyle w:val="Hyperlink"/>
          </w:rPr>
          <w:t xml:space="preserve">рис. 5</w:t>
        </w:r>
      </w:hyperlink>
      <w:r>
        <w:t xml:space="preserve">) следует: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t>β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0.05</m:t>
        </m:r>
        <m:r>
          <m:rPr>
            <m:sty m:val="p"/>
          </m:rPr>
          <m:t>/</m:t>
        </m:r>
        <m:r>
          <m:t>0.25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— эпидемия распространяется;</w:t>
      </w:r>
    </w:p>
    <w:p>
      <w:pPr>
        <w:pStyle w:val="Compact"/>
        <w:numPr>
          <w:ilvl w:val="0"/>
          <w:numId w:val="1006"/>
        </w:numPr>
      </w:pPr>
      <w:r>
        <w:t xml:space="preserve">средняя продолжительность болезни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дня;</w:t>
      </w:r>
    </w:p>
    <w:p>
      <w:pPr>
        <w:pStyle w:val="Compact"/>
        <w:numPr>
          <w:ilvl w:val="0"/>
          <w:numId w:val="1006"/>
        </w:numPr>
      </w:pPr>
      <w:r>
        <w:t xml:space="preserve">пиковое число заражённых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154.8</m:t>
        </m:r>
      </m:oMath>
      <w:r>
        <w:t xml:space="preserve"> </w:t>
      </w:r>
      <w:r>
        <w:t xml:space="preserve">человека достигается 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19.1</m:t>
        </m:r>
      </m:oMath>
      <w:r>
        <w:t xml:space="preserve"> </w:t>
      </w:r>
      <w:r>
        <w:t xml:space="preserve">день;</w:t>
      </w:r>
    </w:p>
    <w:p>
      <w:pPr>
        <w:pStyle w:val="Compact"/>
        <w:numPr>
          <w:ilvl w:val="0"/>
          <w:numId w:val="1006"/>
        </w:numPr>
      </w:pPr>
      <w:r>
        <w:t xml:space="preserve">итоговое число переболевших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775.7</m:t>
        </m:r>
      </m:oMath>
      <w:r>
        <w:t xml:space="preserve">, что составляет 77.6% популяции;</w:t>
      </w:r>
    </w:p>
    <w:p>
      <w:pPr>
        <w:pStyle w:val="Compact"/>
        <w:numPr>
          <w:ilvl w:val="0"/>
          <w:numId w:val="1006"/>
        </w:numPr>
      </w:pPr>
      <w:r>
        <w:t xml:space="preserve">порог коллективного иммунитета — 50%;</w:t>
      </w:r>
    </w:p>
    <w:p>
      <w:pPr>
        <w:pStyle w:val="Compact"/>
        <w:numPr>
          <w:ilvl w:val="0"/>
          <w:numId w:val="1006"/>
        </w:numPr>
      </w:pPr>
      <w:r>
        <w:t xml:space="preserve">теоретический пик наступает при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FirstParagraph"/>
      </w:pPr>
      <w:r>
        <w:t xml:space="preserve">Скрипт строит семь графиков: основную динамику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кривую заражённых с отметкой пика; логарифмический масштаб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доли населения в процентах; фазовый портрет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S</m:t>
        </m:r>
      </m:oMath>
      <w:r>
        <w:t xml:space="preserve">; динамику эффективного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а также сводную панель из шести подграфиков.</w:t>
      </w:r>
    </w:p>
    <w:p>
      <w:pPr>
        <w:pStyle w:val="BodyText"/>
      </w:pPr>
      <w:r>
        <w:t xml:space="preserve">Сводная панель результатов модели SIR приведена на</w:t>
      </w:r>
      <w:r>
        <w:t xml:space="preserve"> </w:t>
      </w:r>
      <w:hyperlink w:anchor="fig-sir-panel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sir-panel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sir_panel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Сводная панель графиков модели SIR: динамика компартментов, кривая заражённых, логарифмическая шкала, фазовый портрет, доли населения 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51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panel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отчётливо видна характерная колоколообразная кривая заражённых с пиком на 19-й день, S-образный рост числа выздоровевших и момент, 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опускается ниже единицы — после этого эпидемия входит в фазу спада.</w:t>
      </w:r>
    </w:p>
    <w:p>
      <w:pPr>
        <w:pStyle w:val="BodyText"/>
      </w:pPr>
      <w:r>
        <w:t xml:space="preserve">Основной график динамики трёх компартментов отображён на</w:t>
      </w:r>
      <w:r>
        <w:t xml:space="preserve"> </w:t>
      </w:r>
      <w:hyperlink w:anchor="fig-sir-main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sir-main"/>
          <w:p>
            <w:pPr>
              <w:pStyle w:val="Compact"/>
              <w:jc w:val="center"/>
            </w:pPr>
            <w:r>
              <w:drawing>
                <wp:inline>
                  <wp:extent cx="4800600" cy="300037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sir_main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Модель SIR: динамика эпидемии — кривые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с аннотацией параметров</w:t>
            </w:r>
          </w:p>
          <w:bookmarkEnd w:id="55"/>
        </w:tc>
      </w:tr>
    </w:tbl>
    <w:p>
      <w:pPr>
        <w:pStyle w:val="BodyText"/>
      </w:pPr>
      <w:r>
        <w:t xml:space="preserve">Кривая заражённых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с отмеченным пиком эпидемии представлена на</w:t>
      </w:r>
      <w:r>
        <w:t xml:space="preserve"> </w:t>
      </w:r>
      <w:hyperlink w:anchor="fig-sir-infected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ir-infected"/>
          <w:p>
            <w:pPr>
              <w:pStyle w:val="Compact"/>
              <w:jc w:val="center"/>
            </w:pPr>
            <w:r>
              <w:drawing>
                <wp:inline>
                  <wp:extent cx="4800600" cy="24003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ir_infected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Динамика числа заражённых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с вертикальной отметкой пика (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154.8</m:t>
              </m:r>
            </m:oMath>
            <w:r>
              <w:t xml:space="preserve"> </w:t>
            </w:r>
            <w:r>
              <w:t xml:space="preserve">на день 19.1)</w:t>
            </w:r>
          </w:p>
          <w:bookmarkEnd w:id="59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log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построена та же кривая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в логарифмическом масштабе, что позволяет оценить экспоненциальный характер начальной фазы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ir-log"/>
          <w:p>
            <w:pPr>
              <w:pStyle w:val="Compact"/>
              <w:jc w:val="center"/>
            </w:pPr>
            <w:r>
              <w:drawing>
                <wp:inline>
                  <wp:extent cx="4800600" cy="24003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sir_log_scal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Экспоненциальный рост числа заражённых (логарифмическая шкала)</w:t>
            </w:r>
          </w:p>
          <w:bookmarkEnd w:id="63"/>
        </w:tc>
      </w:tr>
    </w:tbl>
    <w:p>
      <w:pPr>
        <w:pStyle w:val="BodyText"/>
      </w:pPr>
      <w:r>
        <w:t xml:space="preserve">Доли населения в каждом компартменте с горизонтальной линией порога коллективного иммунитета показаны на</w:t>
      </w:r>
      <w:r>
        <w:t xml:space="preserve"> </w:t>
      </w:r>
      <w:hyperlink w:anchor="fig-sir-pct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sir-pct"/>
          <w:p>
            <w:pPr>
              <w:pStyle w:val="Compact"/>
              <w:jc w:val="center"/>
            </w:pPr>
            <w:r>
              <w:drawing>
                <wp:inline>
                  <wp:extent cx="4800600" cy="300037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sir_percentages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Динамика эпидемии в процентах с порогом коллективного иммунитета (50%)</w:t>
            </w:r>
          </w:p>
          <w:bookmarkEnd w:id="67"/>
        </w:tc>
      </w:tr>
    </w:tbl>
    <w:p>
      <w:pPr>
        <w:pStyle w:val="BodyText"/>
      </w:pPr>
      <w:r>
        <w:t xml:space="preserve">Фазовый портрет модели SIR (</w:t>
      </w:r>
      <m:oMath>
        <m:r>
          <m:t>I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S</m:t>
        </m:r>
      </m:oMath>
      <w:r>
        <w:t xml:space="preserve">) со стрелками направления движения на</w:t>
      </w:r>
      <w:r>
        <w:t xml:space="preserve"> </w:t>
      </w:r>
      <w:hyperlink w:anchor="fig-sir-phase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sir-phase"/>
          <w:p>
            <w:pPr>
              <w:pStyle w:val="Compact"/>
              <w:jc w:val="center"/>
            </w:pPr>
            <w:r>
              <w:drawing>
                <wp:inline>
                  <wp:extent cx="4800600" cy="300037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sir_phase_portrai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Фазовый портрет модели SIR (плоскость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–</w:t>
            </w:r>
            <m:oMath>
              <m:r>
                <m:t>I</m:t>
              </m:r>
            </m:oMath>
            <w:r>
              <w:t xml:space="preserve">)</w:t>
            </w:r>
          </w:p>
          <w:bookmarkEnd w:id="71"/>
        </w:tc>
      </w:tr>
    </w:tbl>
    <w:p>
      <w:pPr>
        <w:pStyle w:val="BodyText"/>
      </w:pPr>
      <w:r>
        <w:t xml:space="preserve">Динамика эффективного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с горизонтальной линией порога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приведена на</w:t>
      </w:r>
      <w:r>
        <w:t xml:space="preserve"> </w:t>
      </w:r>
      <w:hyperlink w:anchor="fig-sir-re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sir-re"/>
          <w:p>
            <w:pPr>
              <w:pStyle w:val="Compact"/>
              <w:jc w:val="center"/>
            </w:pPr>
            <w:r>
              <w:drawing>
                <wp:inline>
                  <wp:extent cx="4800600" cy="24003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sir_effective_R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Динамика эффективного репродуктивного числа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: пересечение порога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означает начало спада эпидемии</w:t>
            </w:r>
          </w:p>
          <w:bookmarkEnd w:id="75"/>
        </w:tc>
      </w:tr>
    </w:tbl>
    <w:bookmarkEnd w:id="76"/>
    <w:bookmarkStart w:id="105" w:name="шаг-5.-запуск-модели-лоткивольтерры"/>
    <w:p>
      <w:pPr>
        <w:pStyle w:val="Heading2"/>
      </w:pPr>
      <w:r>
        <w:t xml:space="preserve">5.5 Шаг 5. Запуск модели Лотки–Вольтерры</w:t>
      </w:r>
    </w:p>
    <w:p>
      <w:pPr>
        <w:pStyle w:val="FirstParagraph"/>
      </w:pPr>
      <w:r>
        <w:t xml:space="preserve">Аналогично запускаем скрипт</w:t>
      </w:r>
      <w:r>
        <w:t xml:space="preserve"> </w:t>
      </w:r>
      <w:r>
        <w:rPr>
          <w:rStyle w:val="VerbatimChar"/>
        </w:rPr>
        <w:t xml:space="preserve">lv_ode.jl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include("scripts/lv_ode.jl")</w:t>
      </w:r>
      <w:r>
        <w:t xml:space="preserve">. Правая часть системы ОДУ (уравнения</w:t>
      </w:r>
      <w:r>
        <w:t xml:space="preserve"> </w:t>
      </w:r>
      <w:hyperlink w:anchor="eq-lv-x">
        <w:r>
          <w:rPr>
            <w:rStyle w:val="Hyperlink"/>
          </w:rPr>
          <w:t xml:space="preserve">5</w:t>
        </w:r>
      </w:hyperlink>
      <w:r>
        <w:t xml:space="preserve">–</w:t>
      </w:r>
      <w:hyperlink w:anchor="eq-lv-y">
        <w:r>
          <w:rPr>
            <w:rStyle w:val="Hyperlink"/>
          </w:rPr>
          <w:t xml:space="preserve">6</w:t>
        </w:r>
      </w:hyperlink>
      <w:r>
        <w:t xml:space="preserve">) реализована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alpha, beta, delta,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Решение находится методом Tsit5 (Рунге–Кутты 5-го порядка с адаптивным шагом) 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]</m:t>
        </m:r>
      </m:oMath>
      <w:r>
        <w:t xml:space="preserve"> </w:t>
      </w:r>
      <w:r>
        <w:t xml:space="preserve">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(жертвы),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(хищники).</w:t>
      </w:r>
    </w:p>
    <w:p>
      <w:pPr>
        <w:pStyle w:val="BodyText"/>
      </w:pPr>
      <w:r>
        <w:t xml:space="preserve">Вывод скрипта с результатами расчёта представлен на</w:t>
      </w:r>
      <w:r>
        <w:t xml:space="preserve"> </w:t>
      </w:r>
      <w:hyperlink w:anchor="fig-lv-results">
        <w:r>
          <w:rPr>
            <w:rStyle w:val="Hyperlink"/>
          </w:rPr>
          <w:t xml:space="preserve">рис.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v-results"/>
          <w:p>
            <w:pPr>
              <w:pStyle w:val="Compact"/>
              <w:jc w:val="center"/>
            </w:pPr>
            <w:r>
              <w:drawing>
                <wp:inline>
                  <wp:extent cx="4800600" cy="433239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6.lv_ode.jl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32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Параметры и результаты моделирования Лотки–Вольтерры</w:t>
            </w:r>
          </w:p>
          <w:bookmarkEnd w:id="80"/>
        </w:tc>
      </w:tr>
    </w:tbl>
    <w:p>
      <w:pPr>
        <w:pStyle w:val="BodyText"/>
      </w:pPr>
      <w:r>
        <w:t xml:space="preserve">Из вывода (</w:t>
      </w:r>
      <w:hyperlink w:anchor="fig-lv-results">
        <w:r>
          <w:rPr>
            <w:rStyle w:val="Hyperlink"/>
          </w:rPr>
          <w:t xml:space="preserve">рис. 13</w:t>
        </w:r>
      </w:hyperlink>
      <w:r>
        <w:t xml:space="preserve">) следует:</w:t>
      </w:r>
    </w:p>
    <w:p>
      <w:pPr>
        <w:pStyle w:val="Compact"/>
        <w:numPr>
          <w:ilvl w:val="0"/>
          <w:numId w:val="1007"/>
        </w:numPr>
      </w:pPr>
      <w:r>
        <w:t xml:space="preserve">стационарные точки: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  <m:r>
          <m:rPr>
            <m:sty m:val="p"/>
          </m:rPr>
          <m:t>=</m:t>
        </m:r>
        <m:r>
          <m:t>30.0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=</m:t>
        </m:r>
        <m:r>
          <m:t>5.0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доминирующая частота колебаний жертв: 0.2499 Гц, период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4.0</m:t>
        </m:r>
      </m:oMath>
      <w:r>
        <w:t xml:space="preserve"> </w:t>
      </w:r>
      <w:r>
        <w:t xml:space="preserve">единицы времени;</w:t>
      </w:r>
    </w:p>
    <w:p>
      <w:pPr>
        <w:pStyle w:val="Compact"/>
        <w:numPr>
          <w:ilvl w:val="0"/>
          <w:numId w:val="1007"/>
        </w:numPr>
      </w:pPr>
      <w:r>
        <w:t xml:space="preserve">диапазон жертв: от 17.75 до 46.89, среднее 29.71;</w:t>
      </w:r>
    </w:p>
    <w:p>
      <w:pPr>
        <w:pStyle w:val="Compact"/>
        <w:numPr>
          <w:ilvl w:val="0"/>
          <w:numId w:val="1007"/>
        </w:numPr>
      </w:pPr>
      <w:r>
        <w:t xml:space="preserve">диапазон хищников: от 1.9 до 10.41, среднее 5.2;</w:t>
      </w:r>
    </w:p>
    <w:p>
      <w:pPr>
        <w:pStyle w:val="Compact"/>
        <w:numPr>
          <w:ilvl w:val="0"/>
          <w:numId w:val="1007"/>
        </w:numPr>
      </w:pPr>
      <w:r>
        <w:t xml:space="preserve">первый пик жертв: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33.7</m:t>
        </m:r>
      </m:oMath>
      <w:r>
        <w:t xml:space="preserve">, значение</w:t>
      </w:r>
      <w:r>
        <w:t xml:space="preserve"> </w:t>
      </w:r>
      <m:oMath>
        <m:r>
          <m:rPr>
            <m:sty m:val="p"/>
          </m:rPr>
          <m:t>=</m:t>
        </m:r>
        <m:r>
          <m:t>46.89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первый пик хищников: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2.9</m:t>
        </m:r>
      </m:oMath>
      <w:r>
        <w:t xml:space="preserve">, значение</w:t>
      </w:r>
      <w:r>
        <w:t xml:space="preserve"> </w:t>
      </w:r>
      <m:oMath>
        <m:r>
          <m:rPr>
            <m:sty m:val="p"/>
          </m:rPr>
          <m:t>=</m:t>
        </m:r>
        <m:r>
          <m:t>10.41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сдвиг фаз (хищники отстают):</w:t>
      </w:r>
      <w:r>
        <w:t xml:space="preserve"> </w:t>
      </w:r>
      <m:oMath>
        <m:r>
          <m:rPr>
            <m:sty m:val="p"/>
          </m:rPr>
          <m:t>−</m:t>
        </m:r>
        <m:r>
          <m:t>30.8</m:t>
        </m:r>
      </m:oMath>
      <w:r>
        <w:t xml:space="preserve"> </w:t>
      </w:r>
      <w:r>
        <w:t xml:space="preserve">единиц времени.</w:t>
      </w:r>
    </w:p>
    <w:p>
      <w:pPr>
        <w:pStyle w:val="FirstParagraph"/>
      </w:pPr>
      <w:r>
        <w:t xml:space="preserve">Скрипт строит шесть графиков: динамику популяций, фазовый портрет с изоклинами и стационарной точкой, производные (скорости изменения), относительные темпы роста, спектральный анализ (FFT) и сводную панель.</w:t>
      </w:r>
    </w:p>
    <w:p>
      <w:pPr>
        <w:pStyle w:val="BodyText"/>
      </w:pPr>
      <w:r>
        <w:t xml:space="preserve">Сводная панель результатов модели Лотки–Вольтерры приведена на</w:t>
      </w:r>
      <w:r>
        <w:t xml:space="preserve"> </w:t>
      </w:r>
      <w:hyperlink w:anchor="fig-lv-panel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lv-panel"/>
          <w:p>
            <w:pPr>
              <w:pStyle w:val="Compact"/>
              <w:jc w:val="center"/>
            </w:pPr>
            <w:r>
              <w:drawing>
                <wp:inline>
                  <wp:extent cx="5334000" cy="400049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lv_pane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Сводная панель модели Лотки–Вольтерры: динамика популяций, фазовый портрет, скорости изменения, спектр FFT и относительные изменения</w:t>
            </w:r>
          </w:p>
          <w:bookmarkEnd w:id="8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v-panel">
        <w:r>
          <w:rPr>
            <w:rStyle w:val="Hyperlink"/>
          </w:rPr>
          <w:t xml:space="preserve">рис. 14</w:t>
        </w:r>
      </w:hyperlink>
      <w:r>
        <w:t xml:space="preserve"> </w:t>
      </w:r>
      <w:r>
        <w:t xml:space="preserve">хорошо видны циклические колебания обеих популяций, замкнутая орбита на фазовом портрете (подтверждение консервативности системы) и чёткий пик в спектре FFT на доминирующей частоте.</w:t>
      </w:r>
    </w:p>
    <w:p>
      <w:pPr>
        <w:pStyle w:val="BodyText"/>
      </w:pPr>
      <w:r>
        <w:t xml:space="preserve">Динамика популяций жертв и хищников со стационарными уровнями на</w:t>
      </w:r>
      <w:r>
        <w:t xml:space="preserve"> </w:t>
      </w:r>
      <w:hyperlink w:anchor="fig-lv-dyn">
        <w:r>
          <w:rPr>
            <w:rStyle w:val="Hyperlink"/>
          </w:rPr>
          <w:t xml:space="preserve">рис. 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lv-dyn"/>
          <w:p>
            <w:pPr>
              <w:pStyle w:val="Compact"/>
              <w:jc w:val="center"/>
            </w:pPr>
            <w:r>
              <w:drawing>
                <wp:inline>
                  <wp:extent cx="4800600" cy="26670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lv_dynamics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Динамика популяций жертв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и хищников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с горизонтальными линиями равновесных значений</w:t>
            </w:r>
          </w:p>
          <w:bookmarkEnd w:id="88"/>
        </w:tc>
      </w:tr>
    </w:tbl>
    <w:p>
      <w:pPr>
        <w:pStyle w:val="BodyText"/>
      </w:pPr>
      <w:r>
        <w:t xml:space="preserve">Фазовый портрет системы с изоклинами, стационарной точкой и стрелками направления движения —</w:t>
      </w:r>
      <w:r>
        <w:t xml:space="preserve"> </w:t>
      </w:r>
      <w:hyperlink w:anchor="fig-lv-phase">
        <w:r>
          <w:rPr>
            <w:rStyle w:val="Hyperlink"/>
          </w:rPr>
          <w:t xml:space="preserve">рис. 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lv-phase"/>
          <w:p>
            <w:pPr>
              <w:pStyle w:val="Compact"/>
              <w:jc w:val="center"/>
            </w:pPr>
            <w:r>
              <w:drawing>
                <wp:inline>
                  <wp:extent cx="4800600" cy="360045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lv_phase_portrait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Фазовый портрет модели Лотки–Вольтерры: замкнутая орбита, изоклины и стационарная точка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</w:p>
          <w:bookmarkEnd w:id="92"/>
        </w:tc>
      </w:tr>
    </w:tbl>
    <w:p>
      <w:pPr>
        <w:pStyle w:val="BodyText"/>
      </w:pPr>
      <w:r>
        <w:t xml:space="preserve">Скорости изменения (производные) обеих популяций на</w:t>
      </w:r>
      <w:r>
        <w:t xml:space="preserve"> </w:t>
      </w:r>
      <w:hyperlink w:anchor="fig-lv-deriv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lv-deriv"/>
          <w:p>
            <w:pPr>
              <w:pStyle w:val="Compact"/>
              <w:jc w:val="center"/>
            </w:pPr>
            <w:r>
              <w:drawing>
                <wp:inline>
                  <wp:extent cx="4800600" cy="21336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lv_derivativ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Производные популяций</w:t>
            </w:r>
            <w:r>
              <w:t xml:space="preserve"> </w:t>
            </w: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: осцилляции скоростей с характерным сдвигом фаз</w:t>
            </w:r>
          </w:p>
          <w:bookmarkEnd w:id="96"/>
        </w:tc>
      </w:tr>
    </w:tbl>
    <w:p>
      <w:pPr>
        <w:pStyle w:val="BodyText"/>
      </w:pPr>
      <w:r>
        <w:t xml:space="preserve">Относительные темпы роста в процентах на</w:t>
      </w:r>
      <w:r>
        <w:t xml:space="preserve"> </w:t>
      </w:r>
      <w:hyperlink w:anchor="fig-lv-rel">
        <w:r>
          <w:rPr>
            <w:rStyle w:val="Hyperlink"/>
          </w:rPr>
          <w:t xml:space="preserve">рис. 18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lv-rel"/>
          <w:p>
            <w:pPr>
              <w:pStyle w:val="Compact"/>
              <w:jc w:val="center"/>
            </w:pPr>
            <w:r>
              <w:drawing>
                <wp:inline>
                  <wp:extent cx="4800600" cy="21336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lv_relative_changes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Относительные темпы роста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y</m:t>
              </m:r>
            </m:oMath>
            <w:r>
              <w:t xml:space="preserve"> </w:t>
            </w:r>
            <w:r>
              <w:t xml:space="preserve">в процентах</w:t>
            </w:r>
          </w:p>
          <w:bookmarkEnd w:id="100"/>
        </w:tc>
      </w:tr>
    </w:tbl>
    <w:p>
      <w:pPr>
        <w:pStyle w:val="BodyText"/>
      </w:pPr>
      <w:r>
        <w:t xml:space="preserve">Спектральный анализ (быстрое преобразование Фурье) колебаний популяции жертв на</w:t>
      </w:r>
      <w:r>
        <w:t xml:space="preserve"> </w:t>
      </w:r>
      <w:hyperlink w:anchor="fig-lv-fft">
        <w:r>
          <w:rPr>
            <w:rStyle w:val="Hyperlink"/>
          </w:rPr>
          <w:t xml:space="preserve">рис. 19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lv-fft"/>
          <w:p>
            <w:pPr>
              <w:pStyle w:val="Compact"/>
              <w:jc w:val="center"/>
            </w:pPr>
            <w:r>
              <w:drawing>
                <wp:inline>
                  <wp:extent cx="4800600" cy="24003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lv_spectrum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Спектральный анализ (FFT): доминирующая частота колебаний совпадает с теоретической оценкой</w:t>
            </w:r>
          </w:p>
          <w:bookmarkEnd w:id="104"/>
        </w:tc>
      </w:tr>
    </w:tbl>
    <w:bookmarkEnd w:id="105"/>
    <w:bookmarkStart w:id="106" w:name="X7195026e10b8d3a2ebef235911e42ef5d38f118"/>
    <w:p>
      <w:pPr>
        <w:pStyle w:val="Heading2"/>
      </w:pPr>
      <w:r>
        <w:t xml:space="preserve">5.6 Шаг 6. Преобразование кода в литературный стиль</w:t>
      </w:r>
    </w:p>
    <w:p>
      <w:pPr>
        <w:pStyle w:val="FirstParagraph"/>
      </w:pPr>
      <w:r>
        <w:t xml:space="preserve">После того как оба скрипта успешно выполнены и результаты верифицированы, переходим к ключевому этапу — преобразованию рабочего кода в литературный стиль. Концепция литературного программирования</w:t>
      </w:r>
      <w:r>
        <w:t xml:space="preserve"> </w:t>
      </w:r>
      <w:r>
        <w:t xml:space="preserve">[1]</w:t>
      </w:r>
      <w:r>
        <w:t xml:space="preserve"> </w:t>
      </w:r>
      <w:r>
        <w:t xml:space="preserve">предполагает, что программа пишется в первую очередь для человека, а не для машины.</w:t>
      </w:r>
    </w:p>
    <w:p>
      <w:pPr>
        <w:pStyle w:val="BodyText"/>
      </w:pPr>
      <w:r>
        <w:t xml:space="preserve">В каждый скрипт добавляется разметка Literate.jl (см.</w:t>
      </w:r>
      <w:r>
        <w:t xml:space="preserve"> </w:t>
      </w:r>
      <w:hyperlink w:anchor="tbl-literate-syntax">
        <w:r>
          <w:rPr>
            <w:rStyle w:val="Hyperlink"/>
          </w:rPr>
          <w:t xml:space="preserve">табл. 1</w:t>
        </w:r>
      </w:hyperlink>
      <w:r>
        <w:t xml:space="preserve">): текстовые пояснения с формулами LaTeX записываются в комментариях (</w:t>
      </w:r>
      <w:r>
        <w:rPr>
          <w:rStyle w:val="VerbatimChar"/>
        </w:rPr>
        <w:t xml:space="preserve"># Текст</w:t>
      </w:r>
      <w:r>
        <w:t xml:space="preserve">), директивы</w:t>
      </w:r>
      <w:r>
        <w:t xml:space="preserve"> </w:t>
      </w:r>
      <w:r>
        <w:rPr>
          <w:rStyle w:val="VerbatimChar"/>
        </w:rPr>
        <w:t xml:space="preserve">#jl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#nb</w:t>
      </w:r>
      <w:r>
        <w:t xml:space="preserve"> </w:t>
      </w:r>
      <w:r>
        <w:t xml:space="preserve">управляют включением фрагментов в конкретные форматы. Сам код модели при этом остаётся идентичным — добавляются лишь текстовые пояснения и условные директивы.</w:t>
      </w:r>
    </w:p>
    <w:p>
      <w:pPr>
        <w:pStyle w:val="BodyText"/>
      </w:pPr>
      <w:r>
        <w:t xml:space="preserve">Для модели SIR литературный скрипт начинается с развёрнутого теоретического блока:</w:t>
      </w:r>
    </w:p>
    <w:p>
      <w:pPr>
        <w:pStyle w:val="SourceCode"/>
      </w:pPr>
      <w:r>
        <w:rPr>
          <w:rStyle w:val="CommentTok"/>
        </w:rPr>
        <w:t xml:space="preserve"># # Модель SIR (эпидемиологическая модель)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Стандартная compartmental-модель распространения инфекционного</w:t>
      </w:r>
      <w:r>
        <w:br/>
      </w:r>
      <w:r>
        <w:rPr>
          <w:rStyle w:val="CommentTok"/>
        </w:rPr>
        <w:t xml:space="preserve"># заболевания в однородной закрытой популяции.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Теоретические основы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Население делится на три компартмента:</w:t>
      </w:r>
      <w:r>
        <w:br/>
      </w:r>
      <w:r>
        <w:rPr>
          <w:rStyle w:val="CommentTok"/>
        </w:rPr>
        <w:t xml:space="preserve"># - **S** (*Susceptible*) --- восприимчивые к заражению;</w:t>
      </w:r>
      <w:r>
        <w:br/>
      </w:r>
      <w:r>
        <w:rPr>
          <w:rStyle w:val="CommentTok"/>
        </w:rPr>
        <w:t xml:space="preserve"># - **I** (*Infectious*) --- инфицированные и заразные;</w:t>
      </w:r>
      <w:r>
        <w:br/>
      </w:r>
      <w:r>
        <w:rPr>
          <w:rStyle w:val="CommentTok"/>
        </w:rPr>
        <w:t xml:space="preserve"># - **R** (*Recovered*) --- выздоровевшие и иммунные.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Система ОДУ:</w:t>
      </w:r>
      <w:r>
        <w:br/>
      </w:r>
      <w:r>
        <w:rPr>
          <w:rStyle w:val="CommentTok"/>
        </w:rPr>
        <w:t xml:space="preserve"># $$\frac{dS}{dt} = -\frac{\beta c I}{N} S$$</w:t>
      </w:r>
      <w:r>
        <w:br/>
      </w:r>
      <w:r>
        <w:rPr>
          <w:rStyle w:val="CommentTok"/>
        </w:rPr>
        <w:t xml:space="preserve"># $$\frac{dI}{dt} = \frac{\beta c I}{N} S - \gamma I$$</w:t>
      </w:r>
      <w:r>
        <w:br/>
      </w:r>
      <w:r>
        <w:rPr>
          <w:rStyle w:val="CommentTok"/>
        </w:rPr>
        <w:t xml:space="preserve"># $$\frac{dR}{dt} = \gamma I$$</w:t>
      </w:r>
    </w:p>
    <w:p>
      <w:pPr>
        <w:pStyle w:val="FirstParagraph"/>
      </w:pPr>
      <w:r>
        <w:t xml:space="preserve">Аналогично создаётся литературная версия для модели Лотки–Вольтерры с описанием экологического контекста, уравнений и таблицы параметров.</w:t>
      </w:r>
    </w:p>
    <w:bookmarkEnd w:id="106"/>
    <w:bookmarkStart w:id="119" w:name="шаг-7.-генерация-markdown-документации"/>
    <w:p>
      <w:pPr>
        <w:pStyle w:val="Heading2"/>
      </w:pPr>
      <w:r>
        <w:t xml:space="preserve">5.7 Шаг 7. Генерация Markdown-документации</w:t>
      </w:r>
    </w:p>
    <w:p>
      <w:pPr>
        <w:pStyle w:val="FirstParagraph"/>
      </w:pPr>
      <w:r>
        <w:t xml:space="preserve">Подключаем пакет Literate.jl (</w:t>
      </w:r>
      <w:hyperlink w:anchor="fig-literate-load">
        <w:r>
          <w:rPr>
            <w:rStyle w:val="Hyperlink"/>
          </w:rPr>
          <w:t xml:space="preserve">рис. 20</w:t>
        </w:r>
      </w:hyperlink>
      <w:r>
        <w:t xml:space="preserve">) и генерируем Markdown-документацию из обоих 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terate-load"/>
          <w:p>
            <w:pPr>
              <w:pStyle w:val="Compact"/>
              <w:jc w:val="center"/>
            </w:pPr>
            <w:r>
              <w:drawing>
                <wp:inline>
                  <wp:extent cx="4800600" cy="54124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7.Litera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1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Загрузка пакета Literate (предварительная компиляция)</w:t>
            </w:r>
          </w:p>
          <w:bookmarkEnd w:id="110"/>
        </w:tc>
      </w:tr>
    </w:tbl>
    <w:p>
      <w:pPr>
        <w:pStyle w:val="BodyText"/>
      </w:pPr>
      <w:r>
        <w:t xml:space="preserve">Вызываем</w:t>
      </w:r>
      <w:r>
        <w:t xml:space="preserve"> </w:t>
      </w:r>
      <w:r>
        <w:rPr>
          <w:rStyle w:val="VerbatimChar"/>
        </w:rPr>
        <w:t xml:space="preserve">Literate.markdown()</w:t>
      </w:r>
      <w:r>
        <w:t xml:space="preserve"> </w:t>
      </w:r>
      <w:r>
        <w:t xml:space="preserve">для генерации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-файлов. Для модели SIR результат показан на</w:t>
      </w:r>
      <w:r>
        <w:t xml:space="preserve"> </w:t>
      </w:r>
      <w:hyperlink w:anchor="fig-literate-sir-md">
        <w:r>
          <w:rPr>
            <w:rStyle w:val="Hyperlink"/>
          </w:rPr>
          <w:t xml:space="preserve">рис. 21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"sir_ode.jl"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iterate-sir-md"/>
          <w:p>
            <w:pPr>
              <w:pStyle w:val="Compact"/>
              <w:jc w:val="center"/>
            </w:pPr>
            <w:r>
              <w:drawing>
                <wp:inline>
                  <wp:extent cx="4800600" cy="101253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8.Literate_sir_ode.md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12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Генерация Markdown-документации</w:t>
            </w:r>
            <w:r>
              <w:t xml:space="preserve"> </w:t>
            </w:r>
            <w:r>
              <w:rPr>
                <w:rStyle w:val="VerbatimChar"/>
              </w:rPr>
              <w:t xml:space="preserve">sir_ode.md</w:t>
            </w:r>
            <w:r>
              <w:t xml:space="preserve"> </w:t>
            </w:r>
            <w:r>
              <w:t xml:space="preserve">из литературного скрипта SIR</w:t>
            </w:r>
          </w:p>
          <w:bookmarkEnd w:id="114"/>
        </w:tc>
      </w:tr>
    </w:tbl>
    <w:p>
      <w:pPr>
        <w:pStyle w:val="BodyText"/>
      </w:pPr>
      <w:r>
        <w:t xml:space="preserve">Literate.jl берёт исходный скрипт, превращает комментарии в текст Markdown, а код — в оформленные кодовые блоки. В консоли видно: исходник взят из</w:t>
      </w:r>
      <w:r>
        <w:t xml:space="preserve"> </w:t>
      </w:r>
      <w:r>
        <w:rPr>
          <w:rStyle w:val="VerbatimChar"/>
        </w:rPr>
        <w:t xml:space="preserve">scripts/sir_ode.jl</w:t>
      </w:r>
      <w:r>
        <w:t xml:space="preserve">, результат записан в</w:t>
      </w:r>
      <w:r>
        <w:t xml:space="preserve"> </w:t>
      </w:r>
      <w:r>
        <w:rPr>
          <w:rStyle w:val="VerbatimChar"/>
        </w:rPr>
        <w:t xml:space="preserve">docs/sir_ode.md</w:t>
      </w:r>
      <w:r>
        <w:t xml:space="preserve">.</w:t>
      </w:r>
    </w:p>
    <w:p>
      <w:pPr>
        <w:pStyle w:val="BodyText"/>
      </w:pPr>
      <w:r>
        <w:t xml:space="preserve">Аналогично генерируется документация для модели Лотки–Вольтерры (</w:t>
      </w:r>
      <w:hyperlink w:anchor="fig-literate-lv-md">
        <w:r>
          <w:rPr>
            <w:rStyle w:val="Hyperlink"/>
          </w:rPr>
          <w:t xml:space="preserve">рис. 22</w:t>
        </w:r>
      </w:hyperlink>
      <w:r>
        <w:t xml:space="preserve">):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"lv_ode.jl"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literate-lv-md"/>
          <w:p>
            <w:pPr>
              <w:pStyle w:val="Compact"/>
              <w:jc w:val="center"/>
            </w:pPr>
            <w:r>
              <w:drawing>
                <wp:inline>
                  <wp:extent cx="4800600" cy="101253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9.Literate_lv_ode.md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12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Генерация Markdown-документации</w:t>
            </w:r>
            <w:r>
              <w:t xml:space="preserve"> </w:t>
            </w:r>
            <w:r>
              <w:rPr>
                <w:rStyle w:val="VerbatimChar"/>
              </w:rPr>
              <w:t xml:space="preserve">lv_ode.md</w:t>
            </w:r>
            <w:r>
              <w:t xml:space="preserve"> </w:t>
            </w:r>
            <w:r>
              <w:t xml:space="preserve">из литературного скрипта Лотки–Вольтерры</w:t>
            </w:r>
          </w:p>
          <w:bookmarkEnd w:id="118"/>
        </w:tc>
      </w:tr>
    </w:tbl>
    <w:bookmarkEnd w:id="119"/>
    <w:bookmarkStart w:id="129" w:name="шаг-8.-генерация-jupyter-notebooks"/>
    <w:p>
      <w:pPr>
        <w:pStyle w:val="Heading2"/>
      </w:pPr>
      <w:r>
        <w:t xml:space="preserve">5.8 Шаг 8. Генерация Jupyter Notebooks</w:t>
      </w:r>
    </w:p>
    <w:p>
      <w:pPr>
        <w:pStyle w:val="FirstParagraph"/>
      </w:pPr>
      <w:r>
        <w:t xml:space="preserve">Далее генерируем Jupyter notebooks из тех же литературных скриптов. Вызываем</w:t>
      </w:r>
      <w:r>
        <w:t xml:space="preserve"> </w:t>
      </w:r>
      <w:r>
        <w:rPr>
          <w:rStyle w:val="VerbatimChar"/>
        </w:rPr>
        <w:t xml:space="preserve">Literate.notebook()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"sir_ode.jl"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"lv_ode.jl"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генерации ноутбука SIR показан на</w:t>
      </w:r>
      <w:r>
        <w:t xml:space="preserve"> </w:t>
      </w:r>
      <w:hyperlink w:anchor="fig-literate-sir-nb">
        <w:r>
          <w:rPr>
            <w:rStyle w:val="Hyperlink"/>
          </w:rPr>
          <w:t xml:space="preserve">рис. 23</w:t>
        </w:r>
      </w:hyperlink>
      <w:r>
        <w:t xml:space="preserve">: в консоли видно, что создан файл</w:t>
      </w:r>
      <w:r>
        <w:t xml:space="preserve"> </w:t>
      </w:r>
      <w:r>
        <w:rPr>
          <w:rStyle w:val="VerbatimChar"/>
        </w:rPr>
        <w:t xml:space="preserve">sir_ode.ipynb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literate-sir-nb"/>
          <w:p>
            <w:pPr>
              <w:pStyle w:val="Compact"/>
              <w:jc w:val="center"/>
            </w:pPr>
            <w:r>
              <w:drawing>
                <wp:inline>
                  <wp:extent cx="4800600" cy="1410886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10.Literate_sir_ode.ipynb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10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Генерация Jupyter notebook</w:t>
            </w:r>
            <w:r>
              <w:t xml:space="preserve"> </w:t>
            </w:r>
            <w:r>
              <w:rPr>
                <w:rStyle w:val="VerbatimChar"/>
              </w:rPr>
              <w:t xml:space="preserve">sir_ode.ipynb</w:t>
            </w:r>
          </w:p>
          <w:bookmarkEnd w:id="123"/>
        </w:tc>
      </w:tr>
    </w:tbl>
    <w:p>
      <w:pPr>
        <w:pStyle w:val="BodyText"/>
      </w:pPr>
      <w:r>
        <w:t xml:space="preserve">Аналогично для модели Лотки–Вольтерры (</w:t>
      </w:r>
      <w:hyperlink w:anchor="fig-literate-lv-nb">
        <w:r>
          <w:rPr>
            <w:rStyle w:val="Hyperlink"/>
          </w:rPr>
          <w:t xml:space="preserve">рис. 24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literate-lv-nb"/>
          <w:p>
            <w:pPr>
              <w:pStyle w:val="Compact"/>
              <w:jc w:val="center"/>
            </w:pPr>
            <w:r>
              <w:drawing>
                <wp:inline>
                  <wp:extent cx="4800600" cy="56065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11.Literate_lv_ode.ipynb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60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Генерация Jupyter notebook</w:t>
            </w:r>
            <w:r>
              <w:t xml:space="preserve"> </w:t>
            </w:r>
            <w:r>
              <w:rPr>
                <w:rStyle w:val="VerbatimChar"/>
              </w:rPr>
              <w:t xml:space="preserve">lv_ode.ipynb</w:t>
            </w:r>
          </w:p>
          <w:bookmarkEnd w:id="127"/>
        </w:tc>
      </w:tr>
    </w:tbl>
    <w:p>
      <w:pPr>
        <w:pStyle w:val="BodyText"/>
      </w:pPr>
      <w:r>
        <w:t xml:space="preserve">Текстовые комментарии из литературного скрипта становятся Markdown-ячейками ноутбука, а код — кодовыми ячейками. На данном этапе ноутбуки ещё не содержат результатов выполнения — их необходимо запустить отдельно.</w:t>
      </w:r>
    </w:p>
    <w:p>
      <w:pPr>
        <w:pStyle w:val="BodyText"/>
      </w:pPr>
      <w:r>
        <w:t xml:space="preserve">Итоговая структура сгенерированных файлов: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generated-form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Производные форматы, сгенерированные из литературных скриптов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Формат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Каталог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Markdown-документация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sir_ode.md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lv_ode.md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docs/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Jupyter notebook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sir_ode.ipynb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lv_ode.ipynb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notebooks/</w:t>
                  </w:r>
                </w:p>
              </w:tc>
            </w:tr>
          </w:tbl>
          <w:bookmarkEnd w:id="128"/>
          <w:p/>
        </w:tc>
      </w:tr>
    </w:tbl>
    <w:bookmarkEnd w:id="129"/>
    <w:bookmarkStart w:id="138" w:name="шаг-9.-выполнение-jupyter-notebooks"/>
    <w:p>
      <w:pPr>
        <w:pStyle w:val="Heading2"/>
      </w:pPr>
      <w:r>
        <w:t xml:space="preserve">5.9 Шаг 9. Выполнение Jupyter Notebooks</w:t>
      </w:r>
    </w:p>
    <w:p>
      <w:pPr>
        <w:pStyle w:val="FirstParagraph"/>
      </w:pPr>
      <w:r>
        <w:t xml:space="preserve">Запускаем выполнение обоих ноутбуков через утилиту</w:t>
      </w:r>
      <w:r>
        <w:t xml:space="preserve"> </w:t>
      </w:r>
      <w:r>
        <w:rPr>
          <w:rStyle w:val="VerbatimChar"/>
        </w:rPr>
        <w:t xml:space="preserve">jupyter nbconvert</w:t>
      </w:r>
      <w:r>
        <w:t xml:space="preserve"> </w:t>
      </w:r>
      <w:r>
        <w:t xml:space="preserve">из терминала (</w:t>
      </w:r>
      <w:hyperlink w:anchor="fig-nb-run">
        <w:r>
          <w:rPr>
            <w:rStyle w:val="Hyperlink"/>
          </w:rPr>
          <w:t xml:space="preserve">рис. 25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~/.julia/conda/3/x86_64/bin/jupyter</w:t>
      </w:r>
      <w:r>
        <w:rPr>
          <w:rStyle w:val="NormalTok"/>
        </w:rPr>
        <w:t xml:space="preserve"> nbconvert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--ExecutePreprocessor.kernel_name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julia-1.12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--ExecutePreprocessor.timeout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notebooks/lv_ode.ipynb</w:t>
      </w:r>
      <w:r>
        <w:br/>
      </w:r>
      <w:r>
        <w:br/>
      </w:r>
      <w:r>
        <w:rPr>
          <w:rStyle w:val="ExtensionTok"/>
        </w:rPr>
        <w:t xml:space="preserve">~/.julia/conda/3/x86_64/bin/jupyter</w:t>
      </w:r>
      <w:r>
        <w:rPr>
          <w:rStyle w:val="NormalTok"/>
        </w:rPr>
        <w:t xml:space="preserve"> nbconvert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--ExecutePreprocessor.kernel_name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julia-1.12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--ExecutePreprocessor.timeout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notebooks/sir_ode.ipynb</w:t>
      </w:r>
    </w:p>
    <w:p>
      <w:pPr>
        <w:pStyle w:val="FirstParagraph"/>
      </w:pPr>
      <w:r>
        <w:t xml:space="preserve">Параметры команды: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--to notebook --execute</w:t>
      </w:r>
      <w:r>
        <w:t xml:space="preserve"> </w:t>
      </w:r>
      <w:r>
        <w:t xml:space="preserve">— выполнить ноутбук и записать результаты обратно;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--ExecutePreprocessor.kernel_name=julia-1.12</w:t>
      </w:r>
      <w:r>
        <w:t xml:space="preserve"> </w:t>
      </w:r>
      <w:r>
        <w:t xml:space="preserve">— явное указание ядра Julia;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--ExecutePreprocessor.timeout=1800</w:t>
      </w:r>
      <w:r>
        <w:t xml:space="preserve"> </w:t>
      </w:r>
      <w:r>
        <w:t xml:space="preserve">— таймаут 30 минут (при первом запуске компиляция пакетов занимает значительное время);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--inplace</w:t>
      </w:r>
      <w:r>
        <w:t xml:space="preserve"> </w:t>
      </w:r>
      <w:r>
        <w:t xml:space="preserve">— результаты записываются в тот же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nb-run"/>
          <w:p>
            <w:pPr>
              <w:pStyle w:val="Compact"/>
              <w:jc w:val="center"/>
            </w:pPr>
            <w:r>
              <w:drawing>
                <wp:inline>
                  <wp:extent cx="4800600" cy="473916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12%20Notebooks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3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Параллельное выполнение обоих Jupyter notebooks через</w:t>
            </w:r>
            <w:r>
              <w:t xml:space="preserve"> </w:t>
            </w:r>
            <w:r>
              <w:rPr>
                <w:rStyle w:val="VerbatimChar"/>
              </w:rPr>
              <w:t xml:space="preserve">jupyter nbconvert</w:t>
            </w:r>
          </w:p>
          <w:bookmarkEnd w:id="133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nb-done">
        <w:r>
          <w:rPr>
            <w:rStyle w:val="Hyperlink"/>
          </w:rPr>
          <w:t xml:space="preserve">рис. 26</w:t>
        </w:r>
      </w:hyperlink>
      <w:r>
        <w:t xml:space="preserve"> </w:t>
      </w:r>
      <w:r>
        <w:t xml:space="preserve">видно успешное завершение: в файл</w:t>
      </w:r>
      <w:r>
        <w:t xml:space="preserve"> </w:t>
      </w:r>
      <w:r>
        <w:rPr>
          <w:rStyle w:val="VerbatimChar"/>
        </w:rPr>
        <w:t xml:space="preserve">lv_ode.ipynb</w:t>
      </w:r>
      <w:r>
        <w:t xml:space="preserve"> </w:t>
      </w:r>
      <w:r>
        <w:t xml:space="preserve">записано 2194343 байта, в</w:t>
      </w:r>
      <w:r>
        <w:t xml:space="preserve"> </w:t>
      </w:r>
      <w:r>
        <w:rPr>
          <w:rStyle w:val="VerbatimChar"/>
        </w:rPr>
        <w:t xml:space="preserve">sir_ode.ipynb</w:t>
      </w:r>
      <w:r>
        <w:t xml:space="preserve"> </w:t>
      </w:r>
      <w:r>
        <w:t xml:space="preserve">— 2847355 байт. Значительный объём объясняется встроенными графиками в формате PNG.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nb-done"/>
          <w:p>
            <w:pPr>
              <w:pStyle w:val="Compact"/>
              <w:jc w:val="center"/>
            </w:pPr>
            <w:r>
              <w:drawing>
                <wp:inline>
                  <wp:extent cx="4800600" cy="60080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12.1%20Notebook_don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0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Успешное завершение выполнения обоих ноутбуков: данные записаны в файлы</w:t>
            </w:r>
          </w:p>
          <w:bookmarkEnd w:id="137"/>
        </w:tc>
      </w:tr>
    </w:tbl>
    <w:bookmarkEnd w:id="138"/>
    <w:bookmarkStart w:id="143" w:name="X989e60a53b5c3d717aee24d9831da03fa338743"/>
    <w:p>
      <w:pPr>
        <w:pStyle w:val="Heading2"/>
      </w:pPr>
      <w:r>
        <w:t xml:space="preserve">5.10 Шаг 10. Добавление анализа чувствительности и перегенерация</w:t>
      </w:r>
    </w:p>
    <w:p>
      <w:pPr>
        <w:pStyle w:val="FirstParagraph"/>
      </w:pPr>
      <w:r>
        <w:t xml:space="preserve">Согласно заданию, в литературные скрипты добавляется раздел с анализом чувствительности — вычисление моделей для нескольких наборов параметров.</w:t>
      </w:r>
    </w:p>
    <w:p>
      <w:pPr>
        <w:pStyle w:val="BodyText"/>
      </w:pPr>
      <w:r>
        <w:t xml:space="preserve">Для модели SIR варьируется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 фиксированных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, что позволяет получить значения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от 0.5 до 4.0:</w:t>
      </w:r>
    </w:p>
    <w:p>
      <w:pPr>
        <w:pStyle w:val="SourceCode"/>
      </w:pPr>
      <w:r>
        <w:rPr>
          <w:rStyle w:val="NormalTok"/>
        </w:rPr>
        <w:t xml:space="preserve">param_sets_sir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"R0=0.5"</w:t>
      </w:r>
      <w:r>
        <w:rPr>
          <w:rStyle w:val="NormalTok"/>
        </w:rPr>
        <w:t xml:space="preserve">, 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0.0125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"R0=1.0"</w:t>
      </w:r>
      <w:r>
        <w:rPr>
          <w:rStyle w:val="NormalTok"/>
        </w:rPr>
        <w:t xml:space="preserve">, 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0.0250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"R0=2.0"</w:t>
      </w:r>
      <w:r>
        <w:rPr>
          <w:rStyle w:val="NormalTok"/>
        </w:rPr>
        <w:t xml:space="preserve">, 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0.0500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"R0=3.0"</w:t>
      </w:r>
      <w:r>
        <w:rPr>
          <w:rStyle w:val="NormalTok"/>
        </w:rPr>
        <w:t xml:space="preserve">, 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0.0750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"R0=4.0"</w:t>
      </w:r>
      <w:r>
        <w:rPr>
          <w:rStyle w:val="NormalTok"/>
        </w:rPr>
        <w:t xml:space="preserve">, 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0.1000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Для модели Лотки–Вольтерры рассматриваются четыре сценария:</w:t>
      </w:r>
    </w:p>
    <w:p>
      <w:pPr>
        <w:pStyle w:val="SourceCode"/>
      </w:pPr>
      <w:r>
        <w:rPr>
          <w:rStyle w:val="NormalTok"/>
        </w:rPr>
        <w:t xml:space="preserve">param_sets_lv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"Базовый"</w:t>
      </w:r>
      <w:r>
        <w:rPr>
          <w:rStyle w:val="NormalTok"/>
        </w:rPr>
        <w:t xml:space="preserve">,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"Быстрый прирост жертв"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"Усиленное хищничество"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"Высокая выживаемость"</w:t>
      </w:r>
      <w:r>
        <w:rPr>
          <w:rStyle w:val="NormalTok"/>
        </w:rPr>
        <w:t xml:space="preserve">,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После внесения изменений перегенерируем все производные форматы из Julia REPL (</w:t>
      </w:r>
      <w:hyperlink w:anchor="fig-regen">
        <w:r>
          <w:rPr>
            <w:rStyle w:val="Hyperlink"/>
          </w:rPr>
          <w:t xml:space="preserve">рис. 27</w:t>
        </w:r>
      </w:hyperlink>
      <w:r>
        <w:t xml:space="preserve">):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"sir_ode.jl"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"lv_ode.jl"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regen"/>
          <w:p>
            <w:pPr>
              <w:pStyle w:val="Compact"/>
              <w:jc w:val="center"/>
            </w:pPr>
            <w:r>
              <w:drawing>
                <wp:inline>
                  <wp:extent cx="4800600" cy="2034846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13.%20New_md_after_sensivity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34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Перегенерация Markdown-документации после добавления анализа чувствительности</w:t>
            </w:r>
          </w:p>
          <w:bookmarkEnd w:id="142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regen">
        <w:r>
          <w:rPr>
            <w:rStyle w:val="Hyperlink"/>
          </w:rPr>
          <w:t xml:space="preserve">рис. 27</w:t>
        </w:r>
      </w:hyperlink>
      <w:r>
        <w:t xml:space="preserve"> </w:t>
      </w:r>
      <w:r>
        <w:t xml:space="preserve">видно, что документация обоих скриптов обновлена — теперь файлы</w:t>
      </w:r>
      <w:r>
        <w:t xml:space="preserve"> </w:t>
      </w:r>
      <w:r>
        <w:rPr>
          <w:rStyle w:val="VerbatimChar"/>
        </w:rPr>
        <w:t xml:space="preserve">sir_ode.md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lv_ode.md</w:t>
      </w:r>
      <w:r>
        <w:t xml:space="preserve"> </w:t>
      </w:r>
      <w:r>
        <w:t xml:space="preserve">содержат разделы с анализом чувствительности.</w:t>
      </w:r>
    </w:p>
    <w:bookmarkEnd w:id="143"/>
    <w:bookmarkStart w:id="144" w:name="Xb43271bd826265eeecfd5628df62d05b310e755"/>
    <w:p>
      <w:pPr>
        <w:pStyle w:val="Heading2"/>
      </w:pPr>
      <w:r>
        <w:t xml:space="preserve">5.11 Шаг 11. Интеграция Quarto-документации в отчёт</w:t>
      </w:r>
    </w:p>
    <w:p>
      <w:pPr>
        <w:pStyle w:val="FirstParagraph"/>
      </w:pPr>
      <w:r>
        <w:t xml:space="preserve">Завершающий этап — интеграция сгенерированной документации и графиков в настоящий отчёт. Графики, сохранённые скриптами в каталог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 вставляются в</w:t>
      </w:r>
      <w:r>
        <w:t xml:space="preserve"> </w:t>
      </w:r>
      <w:r>
        <w:rPr>
          <w:rStyle w:val="VerbatimChar"/>
        </w:rPr>
        <w:t xml:space="preserve">.qmd</w:t>
      </w:r>
      <w:r>
        <w:t xml:space="preserve">-файл по ссылкам. Ключевые фрагменты кода цитируются в блоках, результаты описываются с привязкой к конкретным числовым значениям.</w:t>
      </w:r>
    </w:p>
    <w:p>
      <w:pPr>
        <w:pStyle w:val="BodyText"/>
      </w:pPr>
      <w:r>
        <w:t xml:space="preserve">Quarto обеспечивает:</w:t>
      </w:r>
    </w:p>
    <w:p>
      <w:pPr>
        <w:pStyle w:val="Compact"/>
        <w:numPr>
          <w:ilvl w:val="0"/>
          <w:numId w:val="1009"/>
        </w:numPr>
      </w:pPr>
      <w:r>
        <w:t xml:space="preserve">автоматическую нумерацию рисунков, таблиц и формул;</w:t>
      </w:r>
    </w:p>
    <w:p>
      <w:pPr>
        <w:pStyle w:val="Compact"/>
        <w:numPr>
          <w:ilvl w:val="0"/>
          <w:numId w:val="1009"/>
        </w:numPr>
      </w:pPr>
      <w:r>
        <w:t xml:space="preserve">перекрёстные ссылки (например,</w:t>
      </w:r>
      <w:r>
        <w:t xml:space="preserve"> </w:t>
      </w:r>
      <w:r>
        <w:rPr>
          <w:rStyle w:val="VerbatimChar"/>
        </w:rPr>
        <w:t xml:space="preserve">[@fig-sir-panel]</w:t>
      </w:r>
      <w:r>
        <w:t xml:space="preserve">,</w:t>
      </w:r>
      <w:r>
        <w:t xml:space="preserve"> </w:t>
      </w:r>
      <w:r>
        <w:rPr>
          <w:rStyle w:val="VerbatimChar"/>
        </w:rPr>
        <w:t xml:space="preserve">[@eq-sir-s]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библиографию в формате ГОСТ через CSL-стиль;</w:t>
      </w:r>
    </w:p>
    <w:p>
      <w:pPr>
        <w:pStyle w:val="Compact"/>
        <w:numPr>
          <w:ilvl w:val="0"/>
          <w:numId w:val="1009"/>
        </w:numPr>
      </w:pPr>
      <w:r>
        <w:t xml:space="preserve">рендеринг в PDF (через LaTeX) и DOCX.</w:t>
      </w:r>
    </w:p>
    <w:bookmarkEnd w:id="144"/>
    <w:bookmarkEnd w:id="145"/>
    <w:bookmarkStart w:id="14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По итогам лабораторной работы удалось на практике освоить методологию литературного программирования и убедиться в её полезности для организации воспроизводимых научных вычислений.</w:t>
      </w:r>
    </w:p>
    <w:p>
      <w:pPr>
        <w:pStyle w:val="BodyText"/>
      </w:pPr>
      <w:r>
        <w:t xml:space="preserve">Был создан проект DrWatson</w:t>
      </w:r>
      <w:r>
        <w:t xml:space="preserve"> </w:t>
      </w:r>
      <w:r>
        <w:rPr>
          <w:rStyle w:val="VerbatimChar"/>
        </w:rPr>
        <w:t xml:space="preserve">lab_02_models</w:t>
      </w:r>
      <w:r>
        <w:t xml:space="preserve"> </w:t>
      </w:r>
      <w:r>
        <w:t xml:space="preserve">со стандартной структурой каталогов и набором зависимостей. Реализованы два скрипта моделирования — для модели SIR и модели Лотки–Вольтерры, — результаты которых верифицированы аналитически.</w:t>
      </w:r>
    </w:p>
    <w:p>
      <w:pPr>
        <w:pStyle w:val="BodyText"/>
      </w:pPr>
      <w:r>
        <w:t xml:space="preserve">Рабочий код преобразован в литературный стиль с разметкой Literate.jl. Из одного исходного файла для каждой модели автоматически сгенерированы три производных формата: чистый Julia-скрипт, Jupyter notebook и Markdown-документация. Ноутбуки выполнены через</w:t>
      </w:r>
      <w:r>
        <w:t xml:space="preserve"> </w:t>
      </w:r>
      <w:r>
        <w:rPr>
          <w:rStyle w:val="VerbatimChar"/>
        </w:rPr>
        <w:t xml:space="preserve">jupyter nbconvert --execute</w:t>
      </w:r>
      <w:r>
        <w:t xml:space="preserve">, все графики и вычисления воспроизведены корректно.</w:t>
      </w:r>
    </w:p>
    <w:p>
      <w:pPr>
        <w:pStyle w:val="BodyText"/>
      </w:pPr>
      <w:r>
        <w:t xml:space="preserve">Добавлен анализ чувствительности: для SIR исследовано влияние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при значениях от 0.5 до 4.0, для Лотки–Вольтерры — четыре сценария с разными комбинациями параметров. После обновления литературных скриптов производные форматы перегенерированы, документация интегрирована в отчёт.</w:t>
      </w:r>
    </w:p>
    <w:p>
      <w:pPr>
        <w:pStyle w:val="BodyText"/>
      </w:pPr>
      <w:r>
        <w:t xml:space="preserve">Ключевые количественные результаты: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Модель SIR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):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, пик заражённых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154.8</m:t>
        </m:r>
      </m:oMath>
      <w:r>
        <w:t xml:space="preserve"> </w:t>
      </w:r>
      <w:r>
        <w:t xml:space="preserve">на 19-й день, доля переболевших 77.6%, порог коллективного иммунитета 50%.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эпидемия не разворачивается,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переболевают более 95% популяции.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Модель Лотки–Вольтерры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): нетривиальное равновесие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период колебаний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4.0</m:t>
        </m:r>
      </m:oMath>
      <w:r>
        <w:t xml:space="preserve"> </w:t>
      </w:r>
      <w:r>
        <w:t xml:space="preserve">ед. времени, замкнутые орбиты на фазовом портрете, доминирующая частота FFT совпадает с теоретической оценкой. Изменение параметров смещает равновесную точку и амплитуду колебаний, но замкнутость орбит сохраняется.</w:t>
      </w:r>
    </w:p>
    <w:bookmarkEnd w:id="146"/>
    <w:bookmarkStart w:id="157" w:name="список-литературы"/>
    <w:p>
      <w:pPr>
        <w:pStyle w:val="Heading1"/>
      </w:pPr>
      <w:r>
        <w:t xml:space="preserve">Список литературы</w:t>
      </w:r>
    </w:p>
    <w:bookmarkStart w:id="156" w:name="refs"/>
    <w:bookmarkStart w:id="147" w:name="ref-knuth_198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Knuth D. E. Literate Programming // The Computer Journal. 1984. Т. 27, № 2. С. 97–111.</w:t>
      </w:r>
    </w:p>
    <w:bookmarkEnd w:id="147"/>
    <w:bookmarkStart w:id="148" w:name="ref-schulte_201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Schulte E. и др. A Multi-Language Computing Environment for Literate Programming and Reproducible Research // Journal of Statistical Software. 2012. Т. 46, № 3. С. 1–24.</w:t>
      </w:r>
    </w:p>
    <w:bookmarkEnd w:id="148"/>
    <w:bookmarkStart w:id="149" w:name="ref-kery_201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Kery M. B. и др. The Story in the Notebook: Exploratory Data Science using a Literate Programming Tool // Proceedings of the 2018 CHI Conference on Human Factors in Computing Systems. 2018. С. 1–11.</w:t>
      </w:r>
    </w:p>
    <w:bookmarkEnd w:id="149"/>
    <w:bookmarkStart w:id="150" w:name="ref-kermack_192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Kermack W. O., McKendrick A. G. A Contribution to the Mathematical Theory of Epidemics // Proceedings of the Royal Society of London. Series A. 1927. Т. 115, № 772. С. 700–721.</w:t>
      </w:r>
    </w:p>
    <w:bookmarkEnd w:id="150"/>
    <w:bookmarkStart w:id="151" w:name="ref-hethcote_200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Hethcote H. W. The Mathematics of Infectious Diseases // SIAM Review. 2000. Т. 42, № 4. С. 599–653.</w:t>
      </w:r>
    </w:p>
    <w:bookmarkEnd w:id="151"/>
    <w:bookmarkStart w:id="152" w:name="ref-lotka_1925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Lotka A. J. Elements of Physical Biology. Baltimore: Williams; Wilkins, 1925.</w:t>
      </w:r>
    </w:p>
    <w:bookmarkEnd w:id="152"/>
    <w:bookmarkStart w:id="153" w:name="ref-volterra_1928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Volterra V. Variations and Fluctuations of the Number of Individuals in Animal Species Living Together // ICES Journal of Marine Science. 1928. Т. 3, № 1. С. 3–51.</w:t>
      </w:r>
    </w:p>
    <w:bookmarkEnd w:id="153"/>
    <w:bookmarkStart w:id="154" w:name="ref-rackauckas_201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Rackauckas C., Nie Q.</w:t>
      </w:r>
      <w:r>
        <w:t xml:space="preserve"> </w:t>
      </w:r>
      <w:r>
        <w:t xml:space="preserve">DifferentialEquations.jl</w:t>
      </w:r>
      <w:r>
        <w:t xml:space="preserve"> </w:t>
      </w:r>
      <w:r>
        <w:t xml:space="preserve">— A Performant and Feature-Rich Ecosystem for Solving Differential Equations in Julia // Journal of Open Research Software. 2017. Т. 5, № 1. С. 15.</w:t>
      </w:r>
    </w:p>
    <w:bookmarkEnd w:id="154"/>
    <w:bookmarkStart w:id="155" w:name="ref-bezanson_2017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Bezanson J. и др. Julia: A Fresh Approach to Numerical Computing // SIAM Review. 2017. Т. 59, № 1. С. 65–98.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77" Target="media/rId77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93" Target="media/rId93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72" Target="media/rId7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64" Target="media/rId64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2026-06-08T19:20:28Z</dcterms:created>
  <dcterms:modified xsi:type="dcterms:W3CDTF">2026-06-08T19:20:28Z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№2</vt:lpwstr>
  </property>
  <property fmtid="{D5CDD505-2E9C-101B-9397-08002B2CF9AE}" pid="17" name="toc-title">
    <vt:lpwstr>Содержание</vt:lpwstr>
  </property>
</Properties>
</file>