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7.png" ContentType="image/png"/>
  <Override PartName="/word/media/rId53.png" ContentType="image/png"/>
  <Override PartName="/word/media/rId63.png" ContentType="image/png"/>
  <Override PartName="/word/media/rId69.png" ContentType="image/png"/>
  <Override PartName="/word/media/rId58.png" ContentType="image/png"/>
  <Override PartName="/word/media/rId79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Имитационное моделирование</w:t>
      </w:r>
    </w:p>
    <w:p>
      <w:pPr>
        <w:pStyle w:val="Subtitle"/>
      </w:pPr>
      <w:r>
        <w:t xml:space="preserve">Лабораторная работа №8. Реализация основных моделей в дискретно-событийном подходе</w:t>
      </w:r>
    </w:p>
    <w:p>
      <w:pPr>
        <w:pStyle w:val="Author"/>
      </w:pPr>
      <w:r>
        <w:t xml:space="preserve">Гашимов Кенан Мухтар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сведения-об-авторе"/>
    <w:p>
      <w:pPr>
        <w:pStyle w:val="Heading1"/>
      </w:pPr>
      <w:r>
        <w:t xml:space="preserve">1. Сведения об авторе</w:t>
      </w:r>
    </w:p>
    <w:p>
      <w:pPr>
        <w:pStyle w:val="Compact"/>
        <w:numPr>
          <w:ilvl w:val="0"/>
          <w:numId w:val="1001"/>
        </w:numPr>
      </w:pPr>
      <w:r>
        <w:t xml:space="preserve">ФИО: Гашимов Кенан Мухтар оглы</w:t>
      </w:r>
    </w:p>
    <w:p>
      <w:pPr>
        <w:pStyle w:val="Compact"/>
        <w:numPr>
          <w:ilvl w:val="0"/>
          <w:numId w:val="1001"/>
        </w:numPr>
      </w:pPr>
      <w:r>
        <w:t xml:space="preserve">Группа: НКНбд-01-23</w:t>
      </w:r>
    </w:p>
    <w:p>
      <w:pPr>
        <w:pStyle w:val="Compact"/>
        <w:numPr>
          <w:ilvl w:val="0"/>
          <w:numId w:val="1001"/>
        </w:numPr>
      </w:pPr>
      <w:r>
        <w:t xml:space="preserve">Студенческий билет: 1032235820</w:t>
      </w:r>
    </w:p>
    <w:p>
      <w:pPr>
        <w:pStyle w:val="Compact"/>
        <w:numPr>
          <w:ilvl w:val="0"/>
          <w:numId w:val="1001"/>
        </w:numPr>
      </w:pPr>
      <w:r>
        <w:t xml:space="preserve">Направление: Математика и компьютерные науки</w:t>
      </w:r>
    </w:p>
    <w:bookmarkEnd w:id="9"/>
    <w:bookmarkStart w:id="10" w:name="цель-работы"/>
    <w:p>
      <w:pPr>
        <w:pStyle w:val="Heading1"/>
      </w:pPr>
      <w:r>
        <w:t xml:space="preserve">2. Цель работы</w:t>
      </w:r>
    </w:p>
    <w:p>
      <w:pPr>
        <w:pStyle w:val="FirstParagraph"/>
      </w:pPr>
      <w:r>
        <w:t xml:space="preserve">Изучить дискретно-событийный подход к имитационному моделированию на примере стохастической модели распространения инфекции SIR. Реализовать модель на языке Julia, выполнить базовый прогон, провести исследование чувствительности к параметрам, сохранить результаты в таблицы и графики, а также получить производные форматы из literate-кода.</w:t>
      </w:r>
    </w:p>
    <w:bookmarkEnd w:id="10"/>
    <w:bookmarkStart w:id="11" w:name="задание"/>
    <w:p>
      <w:pPr>
        <w:pStyle w:val="Heading1"/>
      </w:pPr>
      <w:r>
        <w:t xml:space="preserve">3. 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рабочий проект в структуре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Установить пакеты для дискретно-событийного моделирования, обработки таблиц, визуализации и литературного программирования.</w:t>
      </w:r>
    </w:p>
    <w:p>
      <w:pPr>
        <w:pStyle w:val="Compact"/>
        <w:numPr>
          <w:ilvl w:val="0"/>
          <w:numId w:val="1002"/>
        </w:numPr>
      </w:pPr>
      <w:r>
        <w:t xml:space="preserve">Реализовать ядро SIR-модели в</w:t>
      </w:r>
      <w:r>
        <w:t xml:space="preserve"> </w:t>
      </w:r>
      <w:r>
        <w:rPr>
          <w:rStyle w:val="VerbatimChar"/>
        </w:rPr>
        <w:t xml:space="preserve">src/sir_model.jl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Подготовить базовый скрипт</w:t>
      </w:r>
      <w:r>
        <w:t xml:space="preserve"> </w:t>
      </w:r>
      <w:r>
        <w:rPr>
          <w:rStyle w:val="VerbatimChar"/>
        </w:rPr>
        <w:t xml:space="preserve">scripts/sir_des.jl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Подготовить literate-версию</w:t>
      </w:r>
      <w:r>
        <w:t xml:space="preserve"> </w:t>
      </w:r>
      <w:r>
        <w:rPr>
          <w:rStyle w:val="VerbatimChar"/>
        </w:rPr>
        <w:t xml:space="preserve">scripts/sir_des_literate.jl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Сгенерировать из literate-файла чистый код, Markdown-документацию и выполненный notebook.</w:t>
      </w:r>
    </w:p>
    <w:p>
      <w:pPr>
        <w:pStyle w:val="Compact"/>
        <w:numPr>
          <w:ilvl w:val="0"/>
          <w:numId w:val="1002"/>
        </w:numPr>
      </w:pPr>
      <w:r>
        <w:t xml:space="preserve">Подготовить скрипт параметрического исследования</w:t>
      </w:r>
      <w:r>
        <w:t xml:space="preserve"> </w:t>
      </w:r>
      <w:r>
        <w:rPr>
          <w:rStyle w:val="VerbatimChar"/>
        </w:rPr>
        <w:t xml:space="preserve">scripts/sir_des_sweep_parameters.jl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Подготовить literate-версию параметрического исследования.</w:t>
      </w:r>
    </w:p>
    <w:p>
      <w:pPr>
        <w:pStyle w:val="Compact"/>
        <w:numPr>
          <w:ilvl w:val="0"/>
          <w:numId w:val="1002"/>
        </w:numPr>
      </w:pPr>
      <w:r>
        <w:t xml:space="preserve">Сгенерировать производные форматы для параметрического исследования.</w:t>
      </w:r>
    </w:p>
    <w:p>
      <w:pPr>
        <w:pStyle w:val="Compact"/>
        <w:numPr>
          <w:ilvl w:val="0"/>
          <w:numId w:val="1002"/>
        </w:numPr>
      </w:pPr>
      <w:r>
        <w:t xml:space="preserve">Проанализировать полученные графики и таблицы.</w:t>
      </w:r>
    </w:p>
    <w:bookmarkEnd w:id="11"/>
    <w:bookmarkStart w:id="18" w:name="теоретическое-введение"/>
    <w:p>
      <w:pPr>
        <w:pStyle w:val="Heading1"/>
      </w:pPr>
      <w:r>
        <w:t xml:space="preserve">4. Теоретическое введение</w:t>
      </w:r>
    </w:p>
    <w:bookmarkStart w:id="14" w:name="модель-sir"/>
    <w:p>
      <w:pPr>
        <w:pStyle w:val="Heading2"/>
      </w:pPr>
      <w:r>
        <w:t xml:space="preserve">4.1 Модель SIR</w:t>
      </w:r>
    </w:p>
    <w:p>
      <w:pPr>
        <w:pStyle w:val="FirstParagraph"/>
      </w:pPr>
      <w:r>
        <w:t xml:space="preserve">SIR-модель делит популяцию на три группы: восприимчивые</w:t>
      </w:r>
      <w:r>
        <w:t xml:space="preserve"> </w:t>
      </w:r>
      <w:r>
        <w:rPr>
          <w:rStyle w:val="VerbatimChar"/>
        </w:rPr>
        <w:t xml:space="preserve">S</w:t>
      </w:r>
      <w:r>
        <w:t xml:space="preserve">, инфицированные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 переболевшие</w:t>
      </w:r>
      <w:r>
        <w:t xml:space="preserve"> </w:t>
      </w:r>
      <w:r>
        <w:rPr>
          <w:rStyle w:val="VerbatimChar"/>
        </w:rPr>
        <w:t xml:space="preserve">R</w:t>
      </w:r>
      <w:r>
        <w:t xml:space="preserve">. Классическая постановка восходит к работе Кермака и Маккендрика</w:t>
      </w:r>
      <w:r>
        <w:t xml:space="preserve"> </w:t>
      </w:r>
      <w:r>
        <w:t xml:space="preserve">[1]</w:t>
      </w:r>
      <w:r>
        <w:t xml:space="preserve">. В лабораторной работе использовалась стохастическая дискретно-событийная версия модели: каждый индивид представлен отдельным агентом, а изменения состояния происходят только в моменты событий заражения и выздоровления.</w:t>
      </w:r>
    </w:p>
    <w:p>
      <w:pPr>
        <w:pStyle w:val="BodyText"/>
      </w:pPr>
      <w:r>
        <w:t xml:space="preserve">Состояния агента: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sir-stat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Состояния SIR-модели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Обозначение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Смысл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восприимчивый индивид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инфицированный индивид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переболевший индивид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Параметры модели: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sir-para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Параметры SIR-модели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Смысл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вероятность заражения при контакте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средняя частота контактов индивида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интенсивность выздоровления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tmax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время окончания моделирования</w:t>
                  </w:r>
                </w:p>
              </w:tc>
            </w:tr>
          </w:tbl>
          <w:bookmarkEnd w:id="13"/>
          <w:p/>
        </w:tc>
      </w:tr>
    </w:tbl>
    <w:bookmarkEnd w:id="14"/>
    <w:bookmarkStart w:id="15" w:name="дискретно-событийная-реализация"/>
    <w:p>
      <w:pPr>
        <w:pStyle w:val="Heading2"/>
      </w:pPr>
      <w:r>
        <w:t xml:space="preserve">4.2 Дискретно-событийная реализация</w:t>
      </w:r>
    </w:p>
    <w:p>
      <w:pPr>
        <w:pStyle w:val="FirstParagraph"/>
      </w:pPr>
      <w:r>
        <w:t xml:space="preserve">Дискретно-событийный подход удобен для систем, в которых состояние изменяется не на регулярной временной сетке, а в моменты наступления событий. В данной работе событиями являются заражение и выздоровление. Для планирования событий использовался пакет</w:t>
      </w:r>
      <w:r>
        <w:t xml:space="preserve"> </w:t>
      </w:r>
      <w:r>
        <w:rPr>
          <w:rStyle w:val="VerbatimChar"/>
        </w:rPr>
        <w:t xml:space="preserve">ConcurrentSim.jl</w:t>
      </w:r>
      <w:r>
        <w:t xml:space="preserve">, в котором процессы реализуются через возобновляемые функции и события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Восприимчивый агент ожидает случайное время до следующего контакта, выбирает случайного собеседника и при контакте с инфицированным заражается с вероятностью</w:t>
      </w:r>
      <w:r>
        <w:t xml:space="preserve"> </w:t>
      </w:r>
      <w:r>
        <w:rPr>
          <w:rStyle w:val="VerbatimChar"/>
        </w:rPr>
        <w:t xml:space="preserve">beta</w:t>
      </w:r>
      <w:r>
        <w:t xml:space="preserve">. Инфицированный агент ожидает случайное время до выздоровления, распределённое экспоненциально со средним</w:t>
      </w:r>
      <w:r>
        <w:t xml:space="preserve"> </w:t>
      </w:r>
      <w:r>
        <w:rPr>
          <w:rStyle w:val="VerbatimChar"/>
        </w:rPr>
        <w:t xml:space="preserve">1 / gamma</w:t>
      </w:r>
      <w:r>
        <w:t xml:space="preserve">, после чего переходит в состояние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15"/>
    <w:bookmarkStart w:id="16" w:name="инструменты"/>
    <w:p>
      <w:pPr>
        <w:pStyle w:val="Heading2"/>
      </w:pPr>
      <w:r>
        <w:t xml:space="preserve">4.3 Инструменты</w:t>
      </w:r>
    </w:p>
    <w:p>
      <w:pPr>
        <w:pStyle w:val="FirstParagraph"/>
      </w:pPr>
      <w:r>
        <w:t xml:space="preserve">Расчёты выполнены на языке Julia, предназначенном для научных и численных вычислений</w:t>
      </w:r>
      <w:r>
        <w:t xml:space="preserve"> </w:t>
      </w:r>
      <w:r>
        <w:t xml:space="preserve">[3]</w:t>
      </w:r>
      <w:r>
        <w:t xml:space="preserve">. Структура проекта организована с помощью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 который поддерживает воспроизводимые вычислительные проекты и стандартные каталоги для исходного кода, данных и графиков</w:t>
      </w:r>
      <w:r>
        <w:t xml:space="preserve"> </w:t>
      </w:r>
      <w:r>
        <w:t xml:space="preserve">[4,5]</w:t>
      </w:r>
      <w:r>
        <w:t xml:space="preserve">.</w:t>
      </w:r>
    </w:p>
    <w:bookmarkEnd w:id="16"/>
    <w:bookmarkStart w:id="17" w:name="литературное-программирование"/>
    <w:p>
      <w:pPr>
        <w:pStyle w:val="Heading2"/>
      </w:pPr>
      <w:r>
        <w:t xml:space="preserve">4.4 Литературное программирование</w:t>
      </w:r>
    </w:p>
    <w:p>
      <w:pPr>
        <w:pStyle w:val="FirstParagraph"/>
      </w:pPr>
      <w:r>
        <w:t xml:space="preserve">Литературное программирование объединяет исполняемый код и поясняющий текст в одном исходном документе. Такой подход удобен для лабораторной работы: один файл одновременно служит сценарием вычислений, заготовкой документации и источником для notebook. Это снижает риск расхождения между кодом, описанием и результатами.</w:t>
      </w:r>
    </w:p>
    <w:p>
      <w:pPr>
        <w:pStyle w:val="BodyText"/>
      </w:pPr>
      <w:r>
        <w:t xml:space="preserve">В работе использовался пакет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. Его исходный формат представляет собой обычный Julia-скрипт: строки с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преобразуются в Markdown, а остальные строки остаются исполняемым Julia-кодом</w:t>
      </w:r>
      <w:r>
        <w:t xml:space="preserve"> </w:t>
      </w:r>
      <w:r>
        <w:t xml:space="preserve">[6]</w:t>
      </w:r>
      <w:r>
        <w:t xml:space="preserve">. Для базового запуска и параметрического исследования были подготовлены literate-версии скриптов. Из них через</w:t>
      </w:r>
      <w:r>
        <w:t xml:space="preserve"> </w:t>
      </w:r>
      <w:r>
        <w:rPr>
          <w:rStyle w:val="VerbatimChar"/>
        </w:rPr>
        <w:t xml:space="preserve">Literate.script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Literate.markdown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Literate.notebook</w:t>
      </w:r>
      <w:r>
        <w:t xml:space="preserve"> </w:t>
      </w:r>
      <w:r>
        <w:t xml:space="preserve">получались чистые Julia-файлы, Markdown-документация и Jupyter notebook.</w:t>
      </w:r>
    </w:p>
    <w:p>
      <w:pPr>
        <w:pStyle w:val="BodyText"/>
      </w:pPr>
      <w:r>
        <w:t xml:space="preserve">Важная особенность использованного подхода состоит в том, что notebook и Markdown-документация генерировались с флагом</w:t>
      </w:r>
      <w:r>
        <w:t xml:space="preserve"> </w:t>
      </w:r>
      <w:r>
        <w:rPr>
          <w:rStyle w:val="VerbatimChar"/>
        </w:rPr>
        <w:t xml:space="preserve">execute = true</w:t>
      </w:r>
      <w:r>
        <w:t xml:space="preserve">. Поэтому при генерации производных форматов код выполнялся, а в выходные файлы попадали актуальные результаты вычислений.</w:t>
      </w:r>
    </w:p>
    <w:bookmarkEnd w:id="17"/>
    <w:bookmarkEnd w:id="18"/>
    <w:bookmarkStart w:id="87" w:name="выполнение-лабораторной-работы"/>
    <w:p>
      <w:pPr>
        <w:pStyle w:val="Heading1"/>
      </w:pPr>
      <w:r>
        <w:t xml:space="preserve">5. Выполнение лабораторной работы</w:t>
      </w:r>
    </w:p>
    <w:bookmarkStart w:id="43" w:name="подготовка-проекта"/>
    <w:p>
      <w:pPr>
        <w:pStyle w:val="Heading2"/>
      </w:pPr>
      <w:r>
        <w:t xml:space="preserve">5.1 Подготовка проекта</w:t>
      </w:r>
    </w:p>
    <w:p>
      <w:pPr>
        <w:pStyle w:val="FirstParagraph"/>
      </w:pPr>
      <w:r>
        <w:t xml:space="preserve">Работа началась с запуска Julia REPL.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julia"/>
          <w:p>
            <w:pPr>
              <w:pStyle w:val="Compact"/>
              <w:jc w:val="center"/>
            </w:pPr>
            <w:r>
              <w:drawing>
                <wp:inline>
                  <wp:extent cx="4267200" cy="1228829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0julia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2288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Запуск Julia</w:t>
            </w:r>
          </w:p>
          <w:bookmarkEnd w:id="22"/>
        </w:tc>
      </w:tr>
    </w:tbl>
    <w:p>
      <w:pPr>
        <w:pStyle w:val="BodyText"/>
      </w:pPr>
      <w:r>
        <w:t xml:space="preserve">Далее был подключён пакет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drwatson"/>
          <w:p>
            <w:pPr>
              <w:pStyle w:val="Compact"/>
              <w:jc w:val="center"/>
            </w:pPr>
            <w:r>
              <w:drawing>
                <wp:inline>
                  <wp:extent cx="2400300" cy="71195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drwatson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7119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Подключение DrWatson</w:t>
            </w:r>
          </w:p>
          <w:bookmarkEnd w:id="26"/>
        </w:tc>
      </w:tr>
    </w:tbl>
    <w:p>
      <w:pPr>
        <w:pStyle w:val="BodyText"/>
      </w:pPr>
      <w:r>
        <w:t xml:space="preserve">Проект был создан командой</w:t>
      </w:r>
      <w:r>
        <w:t xml:space="preserve"> </w:t>
      </w:r>
      <w:r>
        <w:rPr>
          <w:rStyle w:val="VerbatimChar"/>
        </w:rPr>
        <w:t xml:space="preserve">initialize_project</w:t>
      </w:r>
      <w:r>
        <w:t xml:space="preserve">. Для лабораторной использовался каталог</w:t>
      </w:r>
      <w:r>
        <w:t xml:space="preserve"> </w:t>
      </w:r>
      <w:r>
        <w:rPr>
          <w:rStyle w:val="VerbatimChar"/>
        </w:rPr>
        <w:t xml:space="preserve">lab08_models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init-project"/>
          <w:p>
            <w:pPr>
              <w:pStyle w:val="Compact"/>
              <w:jc w:val="center"/>
            </w:pPr>
            <w:r>
              <w:drawing>
                <wp:inline>
                  <wp:extent cx="4267200" cy="46778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init_proj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67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проекта DrWatson</w:t>
            </w:r>
          </w:p>
          <w:bookmarkEnd w:id="30"/>
        </w:tc>
      </w:tr>
    </w:tbl>
    <w:p>
      <w:pPr>
        <w:pStyle w:val="BodyText"/>
      </w:pPr>
      <w:r>
        <w:t xml:space="preserve">После создания проекта были подключены функции пакетного менеджера и установлены зависимости.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using-pkg"/>
          <w:p>
            <w:pPr>
              <w:pStyle w:val="Compact"/>
              <w:jc w:val="center"/>
            </w:pPr>
            <w:r>
              <w:drawing>
                <wp:inline>
                  <wp:extent cx="2400300" cy="1276564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usin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1276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Подключение пакетного менеджера и окружения</w:t>
            </w:r>
          </w:p>
          <w:bookmarkEnd w:id="34"/>
        </w:tc>
      </w:tr>
    </w:tbl>
    <w:p>
      <w:pPr>
        <w:pStyle w:val="BodyText"/>
      </w:pPr>
      <w:r>
        <w:t xml:space="preserve">Основной набор пакетов был добавлен в окружение проекта. В него вошли</w:t>
      </w:r>
      <w:r>
        <w:t xml:space="preserve"> </w:t>
      </w:r>
      <w:r>
        <w:rPr>
          <w:rStyle w:val="VerbatimChar"/>
        </w:rPr>
        <w:t xml:space="preserve">ResumableFunctions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ConcurrentSim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Distributions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IJulia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pkg-add"/>
          <w:p>
            <w:pPr>
              <w:pStyle w:val="Compact"/>
              <w:jc w:val="center"/>
            </w:pPr>
            <w:r>
              <w:drawing>
                <wp:inline>
                  <wp:extent cx="2933700" cy="220941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pkd_add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209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Установка пакетов</w:t>
            </w:r>
          </w:p>
          <w:bookmarkEnd w:id="38"/>
        </w:tc>
      </w:tr>
    </w:tbl>
    <w:p>
      <w:pPr>
        <w:pStyle w:val="BodyText"/>
      </w:pPr>
      <w:r>
        <w:t xml:space="preserve">После установки и предварительной компиляции окружение было готово к запуску моделей.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kg-finished"/>
          <w:p>
            <w:pPr>
              <w:pStyle w:val="Compact"/>
              <w:jc w:val="center"/>
            </w:pPr>
            <w:r>
              <w:drawing>
                <wp:inline>
                  <wp:extent cx="4267200" cy="805329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pkg_finished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805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Завершение установки пакетов</w:t>
            </w:r>
          </w:p>
          <w:bookmarkEnd w:id="42"/>
        </w:tc>
      </w:tr>
    </w:tbl>
    <w:bookmarkEnd w:id="43"/>
    <w:bookmarkStart w:id="45" w:name="структура-проекта"/>
    <w:p>
      <w:pPr>
        <w:pStyle w:val="Heading2"/>
      </w:pPr>
      <w:r>
        <w:t xml:space="preserve">5.2 Структура проекта</w:t>
      </w:r>
    </w:p>
    <w:p>
      <w:pPr>
        <w:pStyle w:val="FirstParagraph"/>
      </w:pPr>
      <w:r>
        <w:t xml:space="preserve">В проекте были подготовлены следующие основные файлы: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project-fil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Основные файлы проекта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src/sir_model.jl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ядро дискретно-событийной SIR-модели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scripts/sir_des.jl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базовый запуск модели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scripts/sir_des_literate.jl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literate-версия базового запуска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scripts/sir_des_sweep_parameters.jl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параметрическое исследование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scripts/sir_des_sweep_parameters_literate.jl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literate-версия параметрического исследования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data/*.csv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таблицы результатов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plots/*.png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графики</w:t>
                  </w:r>
                </w:p>
              </w:tc>
            </w:tr>
          </w:tbl>
          <w:bookmarkEnd w:id="44"/>
          <w:p/>
        </w:tc>
      </w:tr>
    </w:tbl>
    <w:bookmarkEnd w:id="45"/>
    <w:bookmarkStart w:id="46" w:name="реализация-ядра-модели"/>
    <w:p>
      <w:pPr>
        <w:pStyle w:val="Heading2"/>
      </w:pPr>
      <w:r>
        <w:t xml:space="preserve">5.3 Реализация ядра модели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src/sir_model.jl</w:t>
      </w:r>
      <w:r>
        <w:t xml:space="preserve"> </w:t>
      </w:r>
      <w:r>
        <w:t xml:space="preserve">реализованы структуры</w:t>
      </w:r>
      <w:r>
        <w:t xml:space="preserve"> </w:t>
      </w:r>
      <w:r>
        <w:rPr>
          <w:rStyle w:val="VerbatimChar"/>
        </w:rPr>
        <w:t xml:space="preserve">SIRPerson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SIRModel</w:t>
      </w:r>
      <w:r>
        <w:t xml:space="preserve">, функции обновления статистики, процесс жизни агента</w:t>
      </w:r>
      <w:r>
        <w:t xml:space="preserve"> </w:t>
      </w:r>
      <w:r>
        <w:rPr>
          <w:rStyle w:val="VerbatimChar"/>
        </w:rPr>
        <w:t xml:space="preserve">live</w:t>
      </w:r>
      <w:r>
        <w:t xml:space="preserve">, функции создания, активации и запуска модели.</w:t>
      </w:r>
    </w:p>
    <w:p>
      <w:pPr>
        <w:pStyle w:val="BodyText"/>
      </w:pPr>
      <w:r>
        <w:t xml:space="preserve">Ключевой фрагмент логики агента: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individual.status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m.c)))</w:t>
      </w:r>
      <w:r>
        <w:br/>
      </w:r>
      <w:r>
        <w:rPr>
          <w:rStyle w:val="NormalTok"/>
        </w:rPr>
        <w:t xml:space="preserve">    alter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individual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alter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individual</w:t>
      </w:r>
      <w:r>
        <w:br/>
      </w:r>
      <w:r>
        <w:rPr>
          <w:rStyle w:val="NormalTok"/>
        </w:rPr>
        <w:t xml:space="preserve">       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DiscreteUniform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(m.allIndividuals)))</w:t>
      </w:r>
      <w:r>
        <w:br/>
      </w:r>
      <w:r>
        <w:rPr>
          <w:rStyle w:val="NormalTok"/>
        </w:rPr>
        <w:t xml:space="preserve">        alter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m.allIndividuals[index]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alter.status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m.beta</w:t>
      </w:r>
      <w:r>
        <w:br/>
      </w:r>
      <w:r>
        <w:rPr>
          <w:rStyle w:val="NormalTok"/>
        </w:rPr>
        <w:t xml:space="preserve">        individual.status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infection_update!</w:t>
      </w:r>
      <w:r>
        <w:rPr>
          <w:rStyle w:val="NormalTok"/>
        </w:rPr>
        <w:t xml:space="preserve">(env, 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При заражении уменьшается</w:t>
      </w:r>
      <w:r>
        <w:t xml:space="preserve"> </w:t>
      </w:r>
      <w:r>
        <w:rPr>
          <w:rStyle w:val="VerbatimChar"/>
        </w:rPr>
        <w:t xml:space="preserve">S</w:t>
      </w:r>
      <w:r>
        <w:t xml:space="preserve">, увеличивается</w:t>
      </w:r>
      <w:r>
        <w:t xml:space="preserve"> </w:t>
      </w:r>
      <w:r>
        <w:rPr>
          <w:rStyle w:val="VerbatimChar"/>
        </w:rPr>
        <w:t xml:space="preserve">I</w:t>
      </w:r>
      <w:r>
        <w:t xml:space="preserve">, а при выздоровлении уменьшается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 увеличивается</w:t>
      </w:r>
      <w:r>
        <w:t xml:space="preserve"> </w:t>
      </w:r>
      <w:r>
        <w:rPr>
          <w:rStyle w:val="VerbatimChar"/>
        </w:rPr>
        <w:t xml:space="preserve">R</w:t>
      </w:r>
      <w:r>
        <w:t xml:space="preserve">. В каждый момент события в таблицу добавляется текущее модельное время.</w:t>
      </w:r>
    </w:p>
    <w:bookmarkEnd w:id="46"/>
    <w:bookmarkStart w:id="52" w:name="базовый-запуск"/>
    <w:p>
      <w:pPr>
        <w:pStyle w:val="Heading2"/>
      </w:pPr>
      <w:r>
        <w:t xml:space="preserve">5.4 Базовый запуск</w:t>
      </w:r>
    </w:p>
    <w:p>
      <w:pPr>
        <w:pStyle w:val="FirstParagraph"/>
      </w:pPr>
      <w:r>
        <w:t xml:space="preserve">Базовый сценарий был выполнен скриптом</w:t>
      </w:r>
      <w:r>
        <w:t xml:space="preserve"> </w:t>
      </w:r>
      <w:r>
        <w:rPr>
          <w:rStyle w:val="VerbatimChar"/>
        </w:rPr>
        <w:t xml:space="preserve">scripts/sir_des.jl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run-sir-des"/>
          <w:p>
            <w:pPr>
              <w:pStyle w:val="Compact"/>
              <w:jc w:val="center"/>
            </w:pPr>
            <w:r>
              <w:drawing>
                <wp:inline>
                  <wp:extent cx="2933700" cy="40665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6sir_des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4066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Запуск базового скрипта</w:t>
            </w:r>
          </w:p>
          <w:bookmarkEnd w:id="50"/>
        </w:tc>
      </w:tr>
    </w:tbl>
    <w:p>
      <w:pPr>
        <w:pStyle w:val="BodyText"/>
      </w:pPr>
      <w:r>
        <w:t xml:space="preserve">Параметры базового запуска: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base-para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4: Параметры базового запуска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tmax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40.0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990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I0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10.0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0.25</w:t>
                  </w:r>
                </w:p>
              </w:tc>
            </w:tr>
          </w:tbl>
          <w:bookmarkEnd w:id="51"/>
          <w:p/>
        </w:tc>
      </w:tr>
    </w:tbl>
    <w:p>
      <w:pPr>
        <w:pStyle w:val="BodyText"/>
      </w:pPr>
      <w:r>
        <w:t xml:space="preserve">После запуска были получены:</w:t>
      </w:r>
    </w:p>
    <w:p>
      <w:pPr>
        <w:pStyle w:val="SourceCode"/>
      </w:pPr>
      <w:r>
        <w:rPr>
          <w:rStyle w:val="VerbatimChar"/>
        </w:rPr>
        <w:t xml:space="preserve">plots/sir_des.png</w:t>
      </w:r>
      <w:r>
        <w:br/>
      </w:r>
      <w:r>
        <w:rPr>
          <w:rStyle w:val="VerbatimChar"/>
        </w:rPr>
        <w:t xml:space="preserve">data/sims/sir_990_10_0.05_10.0_0.25.csv</w:t>
      </w:r>
    </w:p>
    <w:p>
      <w:pPr>
        <w:pStyle w:val="FirstParagraph"/>
      </w:pPr>
      <w:r>
        <w:t xml:space="preserve">Таблица базового запуска содержит 1516 строк данных и колонки</w:t>
      </w:r>
      <w:r>
        <w:t xml:space="preserve"> </w:t>
      </w:r>
      <w:r>
        <w:rPr>
          <w:rStyle w:val="VerbatimChar"/>
        </w:rPr>
        <w:t xml:space="preserve">t</w:t>
      </w:r>
      <w:r>
        <w:t xml:space="preserve">,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. Последнее состояние траектории:</w:t>
      </w:r>
      <w:r>
        <w:t xml:space="preserve"> </w:t>
      </w:r>
      <w:r>
        <w:rPr>
          <w:rStyle w:val="VerbatimChar"/>
        </w:rPr>
        <w:t xml:space="preserve">t = 39.9933</w:t>
      </w:r>
      <w:r>
        <w:t xml:space="preserve">,</w:t>
      </w:r>
      <w:r>
        <w:t xml:space="preserve"> </w:t>
      </w:r>
      <w:r>
        <w:rPr>
          <w:rStyle w:val="VerbatimChar"/>
        </w:rPr>
        <w:t xml:space="preserve">S = 226</w:t>
      </w:r>
      <w:r>
        <w:t xml:space="preserve">,</w:t>
      </w:r>
      <w:r>
        <w:t xml:space="preserve"> </w:t>
      </w:r>
      <w:r>
        <w:rPr>
          <w:rStyle w:val="VerbatimChar"/>
        </w:rPr>
        <w:t xml:space="preserve">I = 23</w:t>
      </w:r>
      <w:r>
        <w:t xml:space="preserve">,</w:t>
      </w:r>
      <w:r>
        <w:t xml:space="preserve"> </w:t>
      </w:r>
      <w:r>
        <w:rPr>
          <w:rStyle w:val="VerbatimChar"/>
        </w:rPr>
        <w:t xml:space="preserve">R = 751</w:t>
      </w:r>
      <w:r>
        <w:t xml:space="preserve">.</w:t>
      </w:r>
    </w:p>
    <w:bookmarkEnd w:id="52"/>
    <w:bookmarkStart w:id="57" w:name="производные-форматы-базового-запуска"/>
    <w:p>
      <w:pPr>
        <w:pStyle w:val="Heading2"/>
      </w:pPr>
      <w:r>
        <w:t xml:space="preserve">5.5 Производные форматы базового запуска</w:t>
      </w:r>
    </w:p>
    <w:p>
      <w:pPr>
        <w:pStyle w:val="FirstParagraph"/>
      </w:pPr>
      <w:r>
        <w:t xml:space="preserve">Из</w:t>
      </w:r>
      <w:r>
        <w:t xml:space="preserve"> </w:t>
      </w:r>
      <w:r>
        <w:rPr>
          <w:rStyle w:val="VerbatimChar"/>
        </w:rPr>
        <w:t xml:space="preserve">scripts/sir_des_literate.jl</w:t>
      </w:r>
      <w:r>
        <w:t xml:space="preserve"> </w:t>
      </w:r>
      <w:r>
        <w:t xml:space="preserve">были сгенерированы чистый скрипт, Markdown-документация и выполненный Jupyter notebook.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sir-des-derivatives"/>
          <w:p>
            <w:pPr>
              <w:pStyle w:val="Compact"/>
              <w:jc w:val="center"/>
            </w:pPr>
            <w:r>
              <w:drawing>
                <wp:inline>
                  <wp:extent cx="4267200" cy="317948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7sir_des_derivatives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1794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Генерация производных форматов базового скрипта</w:t>
            </w:r>
          </w:p>
          <w:bookmarkEnd w:id="56"/>
        </w:tc>
      </w:tr>
    </w:tbl>
    <w:p>
      <w:pPr>
        <w:pStyle w:val="BodyText"/>
      </w:pPr>
      <w:r>
        <w:t xml:space="preserve">Полученные файлы:</w:t>
      </w:r>
    </w:p>
    <w:p>
      <w:pPr>
        <w:pStyle w:val="SourceCode"/>
      </w:pPr>
      <w:r>
        <w:rPr>
          <w:rStyle w:val="VerbatimChar"/>
        </w:rPr>
        <w:t xml:space="preserve">scripts/sir_des_clean.jl</w:t>
      </w:r>
      <w:r>
        <w:br/>
      </w:r>
      <w:r>
        <w:rPr>
          <w:rStyle w:val="VerbatimChar"/>
        </w:rPr>
        <w:t xml:space="preserve">docs/sir_des.md</w:t>
      </w:r>
      <w:r>
        <w:br/>
      </w:r>
      <w:r>
        <w:rPr>
          <w:rStyle w:val="VerbatimChar"/>
        </w:rPr>
        <w:t xml:space="preserve">notebooks/sir_des.ipynb</w:t>
      </w:r>
    </w:p>
    <w:bookmarkEnd w:id="57"/>
    <w:bookmarkStart w:id="62" w:name="график-базового-запуска"/>
    <w:p>
      <w:pPr>
        <w:pStyle w:val="Heading2"/>
      </w:pPr>
      <w:r>
        <w:t xml:space="preserve">5.6 График базового запуска</w:t>
      </w:r>
    </w:p>
    <w:p>
      <w:pPr>
        <w:pStyle w:val="FirstParagraph"/>
      </w:pPr>
      <w:r>
        <w:t xml:space="preserve">На графике базового запуска показана динамика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sir-des-plot"/>
          <w:p>
            <w:pPr>
              <w:pStyle w:val="Compact"/>
              <w:jc w:val="center"/>
            </w:pPr>
            <w:r>
              <w:drawing>
                <wp:inline>
                  <wp:extent cx="4000500" cy="26670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sir_des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Базовая SIR-модель</w:t>
            </w:r>
          </w:p>
          <w:bookmarkEnd w:id="61"/>
        </w:tc>
      </w:tr>
    </w:tbl>
    <w:p>
      <w:pPr>
        <w:pStyle w:val="BodyText"/>
      </w:pPr>
      <w:r>
        <w:t xml:space="preserve">Кривая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убывает по мере заражения восприимчивых индивидов. Кривая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сначала растёт, достигает максимума, затем снижается из-за выздоровления. Кривая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монотонно возрастает. К концу моделирования переболело</w:t>
      </w:r>
      <w:r>
        <w:t xml:space="preserve"> </w:t>
      </w:r>
      <w:r>
        <w:rPr>
          <w:rStyle w:val="VerbatimChar"/>
        </w:rPr>
        <w:t xml:space="preserve">751</w:t>
      </w:r>
      <w:r>
        <w:t xml:space="preserve"> </w:t>
      </w:r>
      <w:r>
        <w:t xml:space="preserve">индивидов, что соответствует</w:t>
      </w:r>
      <w:r>
        <w:t xml:space="preserve"> </w:t>
      </w:r>
      <w:r>
        <w:rPr>
          <w:rStyle w:val="VerbatimChar"/>
        </w:rPr>
        <w:t xml:space="preserve">75.1%</w:t>
      </w:r>
      <w:r>
        <w:t xml:space="preserve"> </w:t>
      </w:r>
      <w:r>
        <w:t xml:space="preserve">популяции.</w:t>
      </w:r>
    </w:p>
    <w:bookmarkEnd w:id="62"/>
    <w:bookmarkStart w:id="68" w:name="параметрическое-исследование"/>
    <w:p>
      <w:pPr>
        <w:pStyle w:val="Heading2"/>
      </w:pPr>
      <w:r>
        <w:t xml:space="preserve">5.7 Параметрическое исследование</w:t>
      </w:r>
    </w:p>
    <w:p>
      <w:pPr>
        <w:pStyle w:val="FirstParagraph"/>
      </w:pPr>
      <w:r>
        <w:t xml:space="preserve">Параметрическое исследование выполнено скриптом</w:t>
      </w:r>
      <w:r>
        <w:t xml:space="preserve"> </w:t>
      </w:r>
      <w:r>
        <w:rPr>
          <w:rStyle w:val="VerbatimChar"/>
        </w:rPr>
        <w:t xml:space="preserve">scripts/sir_des_sweep_parameters.jl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un-sweep"/>
          <w:p>
            <w:pPr>
              <w:pStyle w:val="Compact"/>
              <w:jc w:val="center"/>
            </w:pPr>
            <w:r>
              <w:drawing>
                <wp:inline>
                  <wp:extent cx="4000500" cy="600412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8dir_des_sweep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600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Запуск параметрического исследования</w:t>
            </w:r>
          </w:p>
          <w:bookmarkEnd w:id="66"/>
        </w:tc>
      </w:tr>
    </w:tbl>
    <w:p>
      <w:pPr>
        <w:pStyle w:val="BodyText"/>
      </w:pPr>
      <w:r>
        <w:t xml:space="preserve">Исследовались следующие сценарии: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tbl-sweep-scenario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5: Сценарии параметрического исследования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Сценарий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gamma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baseline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10.0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beta_low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10.0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beta_high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10.0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contacts_low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5.0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contacts_high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15.0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recovery_slow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10.0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recovery_fast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10.0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0.35</w:t>
                  </w:r>
                </w:p>
              </w:tc>
            </w:tr>
          </w:tbl>
          <w:bookmarkEnd w:id="67"/>
          <w:p/>
        </w:tc>
      </w:tr>
    </w:tbl>
    <w:p>
      <w:pPr>
        <w:pStyle w:val="BodyText"/>
      </w:pPr>
      <w:r>
        <w:t xml:space="preserve">После запуска были получены:</w:t>
      </w:r>
    </w:p>
    <w:p>
      <w:pPr>
        <w:pStyle w:val="SourceCode"/>
      </w:pPr>
      <w:r>
        <w:rPr>
          <w:rStyle w:val="VerbatimChar"/>
        </w:rPr>
        <w:t xml:space="preserve">data/sims/sir_des_sweep_parameters_timeseries.csv</w:t>
      </w:r>
      <w:r>
        <w:br/>
      </w:r>
      <w:r>
        <w:rPr>
          <w:rStyle w:val="VerbatimChar"/>
        </w:rPr>
        <w:t xml:space="preserve">data/sims/sir_des_sweep_parameters_metrics.csv</w:t>
      </w:r>
      <w:r>
        <w:br/>
      </w:r>
      <w:r>
        <w:rPr>
          <w:rStyle w:val="VerbatimChar"/>
        </w:rPr>
        <w:t xml:space="preserve">plots/sir_des_sweep_parameters_infected.png</w:t>
      </w:r>
      <w:r>
        <w:br/>
      </w:r>
      <w:r>
        <w:rPr>
          <w:rStyle w:val="VerbatimChar"/>
        </w:rPr>
        <w:t xml:space="preserve">plots/sir_des_sweep_parameters_final_size.png</w:t>
      </w:r>
    </w:p>
    <w:bookmarkEnd w:id="68"/>
    <w:bookmarkStart w:id="73" w:name="Xb2d7a8986f1bf04a957cd7cfb7e38ee5850c16a"/>
    <w:p>
      <w:pPr>
        <w:pStyle w:val="Heading2"/>
      </w:pPr>
      <w:r>
        <w:t xml:space="preserve">5.8 Производные форматы параметрического исследования</w:t>
      </w:r>
    </w:p>
    <w:p>
      <w:pPr>
        <w:pStyle w:val="FirstParagraph"/>
      </w:pPr>
      <w:r>
        <w:t xml:space="preserve">Из</w:t>
      </w:r>
      <w:r>
        <w:t xml:space="preserve"> </w:t>
      </w:r>
      <w:r>
        <w:rPr>
          <w:rStyle w:val="VerbatimChar"/>
        </w:rPr>
        <w:t xml:space="preserve">scripts/sir_des_sweep_parameters_literate.jl</w:t>
      </w:r>
      <w:r>
        <w:t xml:space="preserve"> </w:t>
      </w:r>
      <w:r>
        <w:t xml:space="preserve">были сгенерированы производные форматы.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sweep-derivatives"/>
          <w:p>
            <w:pPr>
              <w:pStyle w:val="Compact"/>
              <w:jc w:val="center"/>
            </w:pPr>
            <w:r>
              <w:drawing>
                <wp:inline>
                  <wp:extent cx="4267200" cy="3162991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9sir_des_sweep_derivatives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1629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Генерация производных форматов параметрического исследования</w:t>
            </w:r>
          </w:p>
          <w:bookmarkEnd w:id="72"/>
        </w:tc>
      </w:tr>
    </w:tbl>
    <w:p>
      <w:pPr>
        <w:pStyle w:val="BodyText"/>
      </w:pPr>
      <w:r>
        <w:t xml:space="preserve">Полученные файлы:</w:t>
      </w:r>
    </w:p>
    <w:p>
      <w:pPr>
        <w:pStyle w:val="SourceCode"/>
      </w:pPr>
      <w:r>
        <w:rPr>
          <w:rStyle w:val="VerbatimChar"/>
        </w:rPr>
        <w:t xml:space="preserve">scripts/sir_des_sweep_parameters_clean.jl</w:t>
      </w:r>
      <w:r>
        <w:br/>
      </w:r>
      <w:r>
        <w:rPr>
          <w:rStyle w:val="VerbatimChar"/>
        </w:rPr>
        <w:t xml:space="preserve">docs/sir_des_sweep_parameters.md</w:t>
      </w:r>
      <w:r>
        <w:br/>
      </w:r>
      <w:r>
        <w:rPr>
          <w:rStyle w:val="VerbatimChar"/>
        </w:rPr>
        <w:t xml:space="preserve">notebooks/sir_des_sweep_parameters.ipynb</w:t>
      </w:r>
    </w:p>
    <w:bookmarkEnd w:id="73"/>
    <w:bookmarkStart w:id="78" w:name="сравнение-кривых-заражения"/>
    <w:p>
      <w:pPr>
        <w:pStyle w:val="Heading2"/>
      </w:pPr>
      <w:r>
        <w:t xml:space="preserve">5.9 Сравнение кривых заражения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sir_des_sweep_parameters_infected.png</w:t>
      </w:r>
      <w:r>
        <w:t xml:space="preserve"> </w:t>
      </w:r>
      <w:r>
        <w:t xml:space="preserve">показывает кривые</w:t>
      </w:r>
      <w:r>
        <w:t xml:space="preserve"> </w:t>
      </w:r>
      <w:r>
        <w:rPr>
          <w:rStyle w:val="VerbatimChar"/>
        </w:rPr>
        <w:t xml:space="preserve">I(t)</w:t>
      </w:r>
      <w:r>
        <w:t xml:space="preserve"> </w:t>
      </w:r>
      <w:r>
        <w:t xml:space="preserve">для всех сценариев.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weep-infected"/>
          <w:p>
            <w:pPr>
              <w:pStyle w:val="Compact"/>
              <w:jc w:val="center"/>
            </w:pPr>
            <w:r>
              <w:drawing>
                <wp:inline>
                  <wp:extent cx="4800600" cy="288036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sir_des_sweep_parameters_infected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880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Сравнение инфицированных по сценариям</w:t>
            </w:r>
          </w:p>
          <w:bookmarkEnd w:id="77"/>
        </w:tc>
      </w:tr>
    </w:tbl>
    <w:p>
      <w:pPr>
        <w:pStyle w:val="BodyText"/>
      </w:pPr>
      <w:r>
        <w:t xml:space="preserve">Наибольший пик инфицированных получен в сценарии</w:t>
      </w:r>
      <w:r>
        <w:t xml:space="preserve"> </w:t>
      </w:r>
      <w:r>
        <w:rPr>
          <w:rStyle w:val="VerbatimChar"/>
        </w:rPr>
        <w:t xml:space="preserve">recovery_slow</w:t>
      </w:r>
      <w:r>
        <w:t xml:space="preserve">:</w:t>
      </w:r>
      <w:r>
        <w:t xml:space="preserve"> </w:t>
      </w:r>
      <w:r>
        <w:rPr>
          <w:rStyle w:val="VerbatimChar"/>
        </w:rPr>
        <w:t xml:space="preserve">peak_I = 376</w:t>
      </w:r>
      <w:r>
        <w:t xml:space="preserve">. При медленном выздоровлении инфицированные дольше остаются в состоянии</w:t>
      </w:r>
      <w:r>
        <w:t xml:space="preserve"> </w:t>
      </w:r>
      <w:r>
        <w:rPr>
          <w:rStyle w:val="VerbatimChar"/>
        </w:rPr>
        <w:t xml:space="preserve">I</w:t>
      </w:r>
      <w:r>
        <w:t xml:space="preserve">, поэтому одновременно больных становится больше. Высокая частота контактов (</w:t>
      </w:r>
      <w:r>
        <w:rPr>
          <w:rStyle w:val="VerbatimChar"/>
        </w:rPr>
        <w:t xml:space="preserve">contacts_high</w:t>
      </w:r>
      <w:r>
        <w:t xml:space="preserve">) даёт пик</w:t>
      </w:r>
      <w:r>
        <w:t xml:space="preserve"> </w:t>
      </w:r>
      <w:r>
        <w:rPr>
          <w:rStyle w:val="VerbatimChar"/>
        </w:rPr>
        <w:t xml:space="preserve">293</w:t>
      </w:r>
      <w:r>
        <w:t xml:space="preserve">, а высокая вероятность заражения (</w:t>
      </w:r>
      <w:r>
        <w:rPr>
          <w:rStyle w:val="VerbatimChar"/>
        </w:rPr>
        <w:t xml:space="preserve">beta_high</w:t>
      </w:r>
      <w:r>
        <w:t xml:space="preserve">) даёт пик</w:t>
      </w:r>
      <w:r>
        <w:t xml:space="preserve"> </w:t>
      </w:r>
      <w:r>
        <w:rPr>
          <w:rStyle w:val="VerbatimChar"/>
        </w:rPr>
        <w:t xml:space="preserve">264</w:t>
      </w:r>
      <w:r>
        <w:t xml:space="preserve">. Наименьшие пики получены при</w:t>
      </w:r>
      <w:r>
        <w:t xml:space="preserve"> </w:t>
      </w:r>
      <w:r>
        <w:rPr>
          <w:rStyle w:val="VerbatimChar"/>
        </w:rPr>
        <w:t xml:space="preserve">contacts_low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beta_low</w:t>
      </w:r>
      <w:r>
        <w:t xml:space="preserve">.</w:t>
      </w:r>
    </w:p>
    <w:bookmarkEnd w:id="78"/>
    <w:bookmarkStart w:id="83" w:name="итоговая-доля-переболевших"/>
    <w:p>
      <w:pPr>
        <w:pStyle w:val="Heading2"/>
      </w:pPr>
      <w:r>
        <w:t xml:space="preserve">5.10 Итоговая доля переболевших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sir_des_sweep_parameters_final_size.png</w:t>
      </w:r>
      <w:r>
        <w:t xml:space="preserve"> </w:t>
      </w:r>
      <w:r>
        <w:t xml:space="preserve">сравнивает итоговую долю переболевших.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sweep-final-size"/>
          <w:p>
            <w:pPr>
              <w:pStyle w:val="Compact"/>
              <w:jc w:val="center"/>
            </w:pPr>
            <w:r>
              <w:drawing>
                <wp:inline>
                  <wp:extent cx="4800600" cy="288036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sir_des_sweep_parameters_final_siz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880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Итоговая доля переболевших</w:t>
            </w:r>
          </w:p>
          <w:bookmarkEnd w:id="82"/>
        </w:tc>
      </w:tr>
    </w:tbl>
    <w:p>
      <w:pPr>
        <w:pStyle w:val="BodyText"/>
      </w:pPr>
      <w:r>
        <w:t xml:space="preserve">Самая большая итоговая доля переболевших наблюдается в сценарии</w:t>
      </w:r>
      <w:r>
        <w:t xml:space="preserve"> </w:t>
      </w:r>
      <w:r>
        <w:rPr>
          <w:rStyle w:val="VerbatimChar"/>
        </w:rPr>
        <w:t xml:space="preserve">recovery_slow</w:t>
      </w:r>
      <w:r>
        <w:t xml:space="preserve">:</w:t>
      </w:r>
      <w:r>
        <w:t xml:space="preserve"> </w:t>
      </w:r>
      <w:r>
        <w:rPr>
          <w:rStyle w:val="VerbatimChar"/>
        </w:rPr>
        <w:t xml:space="preserve">0.941</w:t>
      </w:r>
      <w:r>
        <w:t xml:space="preserve">. Сценарии</w:t>
      </w:r>
      <w:r>
        <w:t xml:space="preserve"> </w:t>
      </w:r>
      <w:r>
        <w:rPr>
          <w:rStyle w:val="VerbatimChar"/>
        </w:rPr>
        <w:t xml:space="preserve">beta_high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contacts_high</w:t>
      </w:r>
      <w:r>
        <w:t xml:space="preserve"> </w:t>
      </w:r>
      <w:r>
        <w:t xml:space="preserve">дают по</w:t>
      </w:r>
      <w:r>
        <w:t xml:space="preserve"> </w:t>
      </w:r>
      <w:r>
        <w:rPr>
          <w:rStyle w:val="VerbatimChar"/>
        </w:rPr>
        <w:t xml:space="preserve">0.924</w:t>
      </w:r>
      <w:r>
        <w:t xml:space="preserve">. Самая малая итоговая доля получена при низкой частоте контактов:</w:t>
      </w:r>
      <w:r>
        <w:t xml:space="preserve"> </w:t>
      </w:r>
      <w:r>
        <w:rPr>
          <w:rStyle w:val="VerbatimChar"/>
        </w:rPr>
        <w:t xml:space="preserve">contacts_low = 0.082</w:t>
      </w:r>
      <w:r>
        <w:t xml:space="preserve">.</w:t>
      </w:r>
    </w:p>
    <w:bookmarkEnd w:id="83"/>
    <w:bookmarkStart w:id="85" w:name="сводная-таблица-метрик"/>
    <w:p>
      <w:pPr>
        <w:pStyle w:val="Heading2"/>
      </w:pPr>
      <w:r>
        <w:t xml:space="preserve">5.11 Сводная таблица метрик</w:t>
      </w:r>
    </w:p>
    <w:p>
      <w:pPr>
        <w:pStyle w:val="FirstParagraph"/>
      </w:pPr>
      <w:r>
        <w:t xml:space="preserve">Таблица</w:t>
      </w:r>
      <w:r>
        <w:t xml:space="preserve"> </w:t>
      </w:r>
      <w:r>
        <w:rPr>
          <w:rStyle w:val="VerbatimChar"/>
        </w:rPr>
        <w:t xml:space="preserve">sir_des_sweep_parameters_metrics.csv</w:t>
      </w:r>
      <w:r>
        <w:t xml:space="preserve"> </w:t>
      </w:r>
      <w:r>
        <w:t xml:space="preserve">содержит основные показатели по каждому сценарию.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tbl-sweep-metric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6: Метрики параметрического исследования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766"/>
              <w:gridCol w:w="1021"/>
              <w:gridCol w:w="1021"/>
              <w:gridCol w:w="1021"/>
              <w:gridCol w:w="1021"/>
              <w:gridCol w:w="1021"/>
              <w:gridCol w:w="1021"/>
              <w:gridCol w:w="102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Сценарий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Пик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Время пика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Итоговое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Доля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baseline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17.8722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beta_low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37.8662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beta_high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12.2485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contacts_low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7.1631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contacts_high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8.2436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recovery_slow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14.5966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recovery_fast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20.5455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0.576</w:t>
                  </w:r>
                </w:p>
              </w:tc>
            </w:tr>
          </w:tbl>
          <w:bookmarkEnd w:id="84"/>
          <w:p/>
        </w:tc>
      </w:tr>
    </w:tbl>
    <w:bookmarkEnd w:id="85"/>
    <w:bookmarkStart w:id="86" w:name="интерпретация-результатов"/>
    <w:p>
      <w:pPr>
        <w:pStyle w:val="Heading2"/>
      </w:pPr>
      <w:r>
        <w:t xml:space="preserve">5.12 Интерпретация результатов</w:t>
      </w:r>
    </w:p>
    <w:p>
      <w:pPr>
        <w:pStyle w:val="FirstParagraph"/>
      </w:pPr>
      <w:r>
        <w:t xml:space="preserve">Увеличение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повышает вероятность передачи инфекции при контакте. Поэтому сценарий</w:t>
      </w:r>
      <w:r>
        <w:t xml:space="preserve"> </w:t>
      </w:r>
      <w:r>
        <w:rPr>
          <w:rStyle w:val="VerbatimChar"/>
        </w:rPr>
        <w:t xml:space="preserve">beta_high</w:t>
      </w:r>
      <w:r>
        <w:t xml:space="preserve"> </w:t>
      </w:r>
      <w:r>
        <w:t xml:space="preserve">приводит к более раннему и высокому пику, а итоговая доля переболевших возрастает до</w:t>
      </w:r>
      <w:r>
        <w:t xml:space="preserve"> </w:t>
      </w:r>
      <w:r>
        <w:rPr>
          <w:rStyle w:val="VerbatimChar"/>
        </w:rPr>
        <w:t xml:space="preserve">0.924</w:t>
      </w:r>
      <w:r>
        <w:t xml:space="preserve">. Уменьшение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замедляет распространение: в сценарии</w:t>
      </w:r>
      <w:r>
        <w:t xml:space="preserve"> </w:t>
      </w:r>
      <w:r>
        <w:rPr>
          <w:rStyle w:val="VerbatimChar"/>
        </w:rPr>
        <w:t xml:space="preserve">beta_low</w:t>
      </w:r>
      <w:r>
        <w:t xml:space="preserve"> </w:t>
      </w:r>
      <w:r>
        <w:t xml:space="preserve">пик составляет только</w:t>
      </w:r>
      <w:r>
        <w:t xml:space="preserve"> </w:t>
      </w:r>
      <w:r>
        <w:rPr>
          <w:rStyle w:val="VerbatimChar"/>
        </w:rPr>
        <w:t xml:space="preserve">24</w:t>
      </w:r>
      <w:r>
        <w:t xml:space="preserve">, а итоговая доля переболевших равна</w:t>
      </w:r>
      <w:r>
        <w:t xml:space="preserve"> </w:t>
      </w:r>
      <w:r>
        <w:rPr>
          <w:rStyle w:val="VerbatimChar"/>
        </w:rPr>
        <w:t xml:space="preserve">0.116</w:t>
      </w:r>
      <w:r>
        <w:t xml:space="preserve">.</w:t>
      </w:r>
    </w:p>
    <w:p>
      <w:pPr>
        <w:pStyle w:val="BodyText"/>
      </w:pPr>
      <w:r>
        <w:t xml:space="preserve">Увеличение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означает больше контактов на единицу времени. При</w:t>
      </w:r>
      <w:r>
        <w:t xml:space="preserve"> </w:t>
      </w:r>
      <w:r>
        <w:rPr>
          <w:rStyle w:val="VerbatimChar"/>
        </w:rPr>
        <w:t xml:space="preserve">contacts_high</w:t>
      </w:r>
      <w:r>
        <w:t xml:space="preserve"> </w:t>
      </w:r>
      <w:r>
        <w:t xml:space="preserve">пик достигает</w:t>
      </w:r>
      <w:r>
        <w:t xml:space="preserve"> </w:t>
      </w:r>
      <w:r>
        <w:rPr>
          <w:rStyle w:val="VerbatimChar"/>
        </w:rPr>
        <w:t xml:space="preserve">293</w:t>
      </w:r>
      <w:r>
        <w:t xml:space="preserve">, а итоговая доля переболевших равна</w:t>
      </w:r>
      <w:r>
        <w:t xml:space="preserve"> </w:t>
      </w:r>
      <w:r>
        <w:rPr>
          <w:rStyle w:val="VerbatimChar"/>
        </w:rPr>
        <w:t xml:space="preserve">0.924</w:t>
      </w:r>
      <w:r>
        <w:t xml:space="preserve">. При</w:t>
      </w:r>
      <w:r>
        <w:t xml:space="preserve"> </w:t>
      </w:r>
      <w:r>
        <w:rPr>
          <w:rStyle w:val="VerbatimChar"/>
        </w:rPr>
        <w:t xml:space="preserve">contacts_low</w:t>
      </w:r>
      <w:r>
        <w:t xml:space="preserve"> </w:t>
      </w:r>
      <w:r>
        <w:t xml:space="preserve">эпидемия почти затухает: пик равен</w:t>
      </w:r>
      <w:r>
        <w:t xml:space="preserve"> </w:t>
      </w:r>
      <w:r>
        <w:rPr>
          <w:rStyle w:val="VerbatimChar"/>
        </w:rPr>
        <w:t xml:space="preserve">21</w:t>
      </w:r>
      <w:r>
        <w:t xml:space="preserve">, итоговая доля переболевших равна</w:t>
      </w:r>
      <w:r>
        <w:t xml:space="preserve"> </w:t>
      </w:r>
      <w:r>
        <w:rPr>
          <w:rStyle w:val="VerbatimChar"/>
        </w:rPr>
        <w:t xml:space="preserve">0.082</w:t>
      </w:r>
      <w:r>
        <w:t xml:space="preserve">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gamma</w:t>
      </w:r>
      <w:r>
        <w:t xml:space="preserve"> </w:t>
      </w:r>
      <w:r>
        <w:t xml:space="preserve">отвечает за скорость выздоровления. При</w:t>
      </w:r>
      <w:r>
        <w:t xml:space="preserve"> </w:t>
      </w:r>
      <w:r>
        <w:rPr>
          <w:rStyle w:val="VerbatimChar"/>
        </w:rPr>
        <w:t xml:space="preserve">recovery_slow</w:t>
      </w:r>
      <w:r>
        <w:t xml:space="preserve"> </w:t>
      </w:r>
      <w:r>
        <w:t xml:space="preserve">инфицированные дольше остаются заразными, поэтому пик самый высокий:</w:t>
      </w:r>
      <w:r>
        <w:t xml:space="preserve"> </w:t>
      </w:r>
      <w:r>
        <w:rPr>
          <w:rStyle w:val="VerbatimChar"/>
        </w:rPr>
        <w:t xml:space="preserve">376</w:t>
      </w:r>
      <w:r>
        <w:t xml:space="preserve">, а итоговая доля переболевших равна</w:t>
      </w:r>
      <w:r>
        <w:t xml:space="preserve"> </w:t>
      </w:r>
      <w:r>
        <w:rPr>
          <w:rStyle w:val="VerbatimChar"/>
        </w:rPr>
        <w:t xml:space="preserve">0.941</w:t>
      </w:r>
      <w:r>
        <w:t xml:space="preserve">. При</w:t>
      </w:r>
      <w:r>
        <w:t xml:space="preserve"> </w:t>
      </w:r>
      <w:r>
        <w:rPr>
          <w:rStyle w:val="VerbatimChar"/>
        </w:rPr>
        <w:t xml:space="preserve">recovery_fast</w:t>
      </w:r>
      <w:r>
        <w:t xml:space="preserve"> </w:t>
      </w:r>
      <w:r>
        <w:t xml:space="preserve">пик меньше (</w:t>
      </w:r>
      <w:r>
        <w:rPr>
          <w:rStyle w:val="VerbatimChar"/>
        </w:rPr>
        <w:t xml:space="preserve">109</w:t>
      </w:r>
      <w:r>
        <w:t xml:space="preserve">), а итоговая доля переболевших равна</w:t>
      </w:r>
      <w:r>
        <w:t xml:space="preserve"> </w:t>
      </w:r>
      <w:r>
        <w:rPr>
          <w:rStyle w:val="VerbatimChar"/>
        </w:rPr>
        <w:t xml:space="preserve">0.576</w:t>
      </w:r>
      <w:r>
        <w:t xml:space="preserve">.</w:t>
      </w:r>
    </w:p>
    <w:bookmarkEnd w:id="86"/>
    <w:bookmarkEnd w:id="87"/>
    <w:bookmarkStart w:id="88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лабораторной работы была реализована стохастическая дискретно-событийная SIR-модель на Julia. Проект организован в структуре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 ядро модели вынесено в</w:t>
      </w:r>
      <w:r>
        <w:t xml:space="preserve"> </w:t>
      </w:r>
      <w:r>
        <w:rPr>
          <w:rStyle w:val="VerbatimChar"/>
        </w:rPr>
        <w:t xml:space="preserve">src/sir_model.jl</w:t>
      </w:r>
      <w:r>
        <w:t xml:space="preserve">, а сценарии запуска размещены в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.</w:t>
      </w:r>
    </w:p>
    <w:p>
      <w:pPr>
        <w:pStyle w:val="BodyText"/>
      </w:pPr>
      <w:r>
        <w:t xml:space="preserve">Базовый запуск показал типичную SIR-динамику: число восприимчивых убывает, число инфицированных сначала растёт и затем снижается, число переболевших монотонно растёт. В базовом сценарии к концу моделирования переболело</w:t>
      </w:r>
      <w:r>
        <w:t xml:space="preserve"> </w:t>
      </w:r>
      <w:r>
        <w:rPr>
          <w:rStyle w:val="VerbatimChar"/>
        </w:rPr>
        <w:t xml:space="preserve">751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1000</w:t>
      </w:r>
      <w:r>
        <w:t xml:space="preserve"> </w:t>
      </w:r>
      <w:r>
        <w:t xml:space="preserve">индивидов.</w:t>
      </w:r>
    </w:p>
    <w:p>
      <w:pPr>
        <w:pStyle w:val="BodyText"/>
      </w:pPr>
      <w:r>
        <w:t xml:space="preserve">Параметрическое исследование показало, что увеличение вероятности заражения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и частоты контактов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усиливает эпидемию. Уменьшение интенсивности выздоровления</w:t>
      </w:r>
      <w:r>
        <w:t xml:space="preserve"> </w:t>
      </w:r>
      <w:r>
        <w:rPr>
          <w:rStyle w:val="VerbatimChar"/>
        </w:rPr>
        <w:t xml:space="preserve">gamma</w:t>
      </w:r>
      <w:r>
        <w:t xml:space="preserve"> </w:t>
      </w:r>
      <w:r>
        <w:t xml:space="preserve">также повышает пик инфицированных и итоговую долю переболевших. Все результаты сохранены в</w:t>
      </w:r>
      <w:r>
        <w:t xml:space="preserve"> </w:t>
      </w:r>
      <w:r>
        <w:rPr>
          <w:rStyle w:val="VerbatimChar"/>
        </w:rPr>
        <w:t xml:space="preserve">CSV</w:t>
      </w:r>
      <w:r>
        <w:t xml:space="preserve">, графики сохранены в</w:t>
      </w:r>
      <w:r>
        <w:t xml:space="preserve"> </w:t>
      </w:r>
      <w:r>
        <w:rPr>
          <w:rStyle w:val="VerbatimChar"/>
        </w:rPr>
        <w:t xml:space="preserve">PNG</w:t>
      </w:r>
      <w:r>
        <w:t xml:space="preserve">, а из literate-скриптов получены чистые Julia-скрипты, Markdown-документация и Jupyter notebook.</w:t>
      </w:r>
    </w:p>
    <w:bookmarkEnd w:id="88"/>
    <w:bookmarkStart w:id="102" w:name="список-литературы"/>
    <w:p>
      <w:pPr>
        <w:pStyle w:val="Heading1"/>
      </w:pPr>
      <w:r>
        <w:t xml:space="preserve">Список литературы</w:t>
      </w:r>
    </w:p>
    <w:bookmarkStart w:id="101" w:name="refs"/>
    <w:bookmarkStart w:id="90" w:name="ref-kermack1927epidemic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Kermack W. O., McKendrick A. G.</w:t>
      </w:r>
      <w:r>
        <w:t xml:space="preserve"> </w:t>
      </w:r>
      <w:hyperlink r:id="rId89">
        <w:r>
          <w:rPr>
            <w:rStyle w:val="Hyperlink"/>
          </w:rPr>
          <w:t xml:space="preserve">A Contribution to the Mathematical Theory of Epidemics</w:t>
        </w:r>
      </w:hyperlink>
      <w:r>
        <w:t xml:space="preserve"> </w:t>
      </w:r>
      <w:r>
        <w:t xml:space="preserve">// Proceedings of the Royal Society of London. Series A. 1927. Т. 115, № 772. С. 700–721.</w:t>
      </w:r>
    </w:p>
    <w:bookmarkEnd w:id="90"/>
    <w:bookmarkStart w:id="92" w:name="ref-concurrentsim_docs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JuliaDynamics. ConcurrentSim.jl Documentation [Электронный ресурс]. 2026. URL:</w:t>
      </w:r>
      <w:r>
        <w:t xml:space="preserve"> </w:t>
      </w:r>
      <w:hyperlink r:id="rId91">
        <w:r>
          <w:rPr>
            <w:rStyle w:val="Hyperlink"/>
          </w:rPr>
          <w:t xml:space="preserve">https://juliadynamics.github.io/ConcurrentSim.jl/stable/</w:t>
        </w:r>
      </w:hyperlink>
      <w:r>
        <w:t xml:space="preserve"> </w:t>
      </w:r>
      <w:r>
        <w:t xml:space="preserve">(дата обращения: 23.05.2026).</w:t>
      </w:r>
    </w:p>
    <w:bookmarkEnd w:id="92"/>
    <w:bookmarkStart w:id="94" w:name="ref-bezanson2017julia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Bezanson J. и др.</w:t>
      </w:r>
      <w:r>
        <w:t xml:space="preserve"> </w:t>
      </w:r>
      <w:hyperlink r:id="rId93">
        <w:r>
          <w:rPr>
            <w:rStyle w:val="Hyperlink"/>
          </w:rPr>
          <w:t xml:space="preserve">Julia: A Fresh Approach to Numerical Computing</w:t>
        </w:r>
      </w:hyperlink>
      <w:r>
        <w:t xml:space="preserve"> </w:t>
      </w:r>
      <w:r>
        <w:t xml:space="preserve">// SIAM Review. 2017. Т. 59, № 1. С. 65–98.</w:t>
      </w:r>
    </w:p>
    <w:bookmarkEnd w:id="94"/>
    <w:bookmarkStart w:id="96" w:name="ref-datseris2020drwatso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Datseris G. и др.</w:t>
      </w:r>
      <w:r>
        <w:t xml:space="preserve"> </w:t>
      </w:r>
      <w:hyperlink r:id="rId95">
        <w:r>
          <w:rPr>
            <w:rStyle w:val="Hyperlink"/>
          </w:rPr>
          <w:t xml:space="preserve">DrWatson: The Perfect Sidekick for Your Scientific Inquiries</w:t>
        </w:r>
      </w:hyperlink>
      <w:r>
        <w:t xml:space="preserve"> </w:t>
      </w:r>
      <w:r>
        <w:t xml:space="preserve">// Journal of Open Source Software. 2020. Т. 5, № 54. С. 2673.</w:t>
      </w:r>
    </w:p>
    <w:bookmarkEnd w:id="96"/>
    <w:bookmarkStart w:id="98" w:name="ref-drwatson_project_docs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JuliaDynamics. DrWatson.jl: Project Setup [Электронный ресурс]. 2025. URL:</w:t>
      </w:r>
      <w:r>
        <w:t xml:space="preserve"> </w:t>
      </w:r>
      <w:hyperlink r:id="rId97">
        <w:r>
          <w:rPr>
            <w:rStyle w:val="Hyperlink"/>
          </w:rPr>
          <w:t xml:space="preserve">https://juliadynamics.github.io/DrWatson.jl/dev/project/</w:t>
        </w:r>
      </w:hyperlink>
      <w:r>
        <w:t xml:space="preserve"> </w:t>
      </w:r>
      <w:r>
        <w:t xml:space="preserve">(дата обращения: 23.05.2026).</w:t>
      </w:r>
    </w:p>
    <w:bookmarkEnd w:id="98"/>
    <w:bookmarkStart w:id="100" w:name="ref-literate_docs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Ekre F. Literate.jl Documentation: File Format [Электронный ресурс]. 2026. URL:</w:t>
      </w:r>
      <w:r>
        <w:t xml:space="preserve"> </w:t>
      </w:r>
      <w:hyperlink r:id="rId99">
        <w:r>
          <w:rPr>
            <w:rStyle w:val="Hyperlink"/>
          </w:rPr>
          <w:t xml:space="preserve">https://fredrikekre.github.io/Literate.jl/v2/fileformat/</w:t>
        </w:r>
      </w:hyperlink>
      <w:r>
        <w:t xml:space="preserve"> </w:t>
      </w:r>
      <w:r>
        <w:t xml:space="preserve">(дата обращения: 23.05.2026).</w:t>
      </w:r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7" Target="media/rId47.png" /><Relationship Type="http://schemas.openxmlformats.org/officeDocument/2006/relationships/image" Id="rId53" Target="media/rId53.png" /><Relationship Type="http://schemas.openxmlformats.org/officeDocument/2006/relationships/image" Id="rId63" Target="media/rId63.png" /><Relationship Type="http://schemas.openxmlformats.org/officeDocument/2006/relationships/image" Id="rId69" Target="media/rId69.png" /><Relationship Type="http://schemas.openxmlformats.org/officeDocument/2006/relationships/image" Id="rId58" Target="media/rId58.png" /><Relationship Type="http://schemas.openxmlformats.org/officeDocument/2006/relationships/image" Id="rId79" Target="media/rId79.png" /><Relationship Type="http://schemas.openxmlformats.org/officeDocument/2006/relationships/image" Id="rId74" Target="media/rId74.png" /><Relationship Type="http://schemas.openxmlformats.org/officeDocument/2006/relationships/hyperlink" Id="rId89" Target="https://doi.org/10.1098/rspa.1927.0118" TargetMode="External" /><Relationship Type="http://schemas.openxmlformats.org/officeDocument/2006/relationships/hyperlink" Id="rId93" Target="https://doi.org/10.1137/141000671" TargetMode="External" /><Relationship Type="http://schemas.openxmlformats.org/officeDocument/2006/relationships/hyperlink" Id="rId95" Target="https://doi.org/10.21105/joss.02673" TargetMode="External" /><Relationship Type="http://schemas.openxmlformats.org/officeDocument/2006/relationships/hyperlink" Id="rId99" Target="https://fredrikekre.github.io/Literate.jl/v2/fileformat/" TargetMode="External" /><Relationship Type="http://schemas.openxmlformats.org/officeDocument/2006/relationships/hyperlink" Id="rId91" Target="https://juliadynamics.github.io/ConcurrentSim.jl/stable/" TargetMode="External" /><Relationship Type="http://schemas.openxmlformats.org/officeDocument/2006/relationships/hyperlink" Id="rId97" Target="https://juliadynamics.github.io/DrWatson.jl/dev/projec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https://doi.org/10.1098/rspa.1927.0118" TargetMode="External" /><Relationship Type="http://schemas.openxmlformats.org/officeDocument/2006/relationships/hyperlink" Id="rId93" Target="https://doi.org/10.1137/141000671" TargetMode="External" /><Relationship Type="http://schemas.openxmlformats.org/officeDocument/2006/relationships/hyperlink" Id="rId95" Target="https://doi.org/10.21105/joss.02673" TargetMode="External" /><Relationship Type="http://schemas.openxmlformats.org/officeDocument/2006/relationships/hyperlink" Id="rId99" Target="https://fredrikekre.github.io/Literate.jl/v2/fileformat/" TargetMode="External" /><Relationship Type="http://schemas.openxmlformats.org/officeDocument/2006/relationships/hyperlink" Id="rId91" Target="https://juliadynamics.github.io/ConcurrentSim.jl/stable/" TargetMode="External" /><Relationship Type="http://schemas.openxmlformats.org/officeDocument/2006/relationships/hyperlink" Id="rId97" Target="https://juliadynamics.github.io/DrWatson.jl/dev/projec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Имитационное моделирование</dc:title>
  <dc:creator>Гашимов Кенан Мухтар оглы</dc:creator>
  <dc:language>ru-RU</dc:language>
  <cp:keywords/>
  <dcterms:created xsi:type="dcterms:W3CDTF">2026-06-08T19:20:50Z</dcterms:created>
  <dcterms:modified xsi:type="dcterms:W3CDTF">2026-06-08T19:20:50Z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lot">
    <vt:lpwstr>True</vt:lpwstr>
  </property>
  <property fmtid="{D5CDD505-2E9C-101B-9397-08002B2CF9AE}" pid="17" name="subtitle">
    <vt:lpwstr>Лабораторная работа №8. Реализация основных моделей в дискретно-событийном подходе</vt:lpwstr>
  </property>
  <property fmtid="{D5CDD505-2E9C-101B-9397-08002B2CF9AE}" pid="18" name="toc-title">
    <vt:lpwstr>Содержание</vt:lpwstr>
  </property>
</Properties>
</file>