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160"/>
        <w:jc w:val="center"/>
      </w:pPr>
      <w:r>
        <w:rPr>
          <w:rFonts w:ascii="Arial" w:hAnsi="Arial" w:eastAsia="黑体"/>
          <w:b/>
          <w:i w:val="0"/>
          <w:color w:val="000000"/>
          <w:sz w:val="48"/>
        </w:rPr>
        <w:t>公开招标文件</w:t>
      </w:r>
    </w:p>
    <w:p>
      <w:pPr>
        <w:spacing w:after="560"/>
        <w:jc w:val="center"/>
      </w:pPr>
      <w:r>
        <w:rPr>
          <w:rFonts w:ascii="Arial" w:hAnsi="Arial" w:eastAsia="宋体"/>
          <w:b w:val="0"/>
          <w:i w:val="0"/>
          <w:color w:val="555555"/>
          <w:sz w:val="26"/>
        </w:rPr>
        <w:t>项目协同与经营管理数字化平台建设项目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576"/>
      </w:tblGrid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招标编号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CYZB-2026-017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采购人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上海澄岳智能装备有限公司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采购控制价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¥3,450,000.00（含税）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发布日期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2026年9月5日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投标截止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2026年9月28日09:30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文件状态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学生输入资料 / 教学模拟</w:t>
            </w:r>
          </w:p>
        </w:tc>
      </w:tr>
    </w:tbl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44"/>
      </w:tblGrid>
      <w:tr>
        <w:trPr>
          <w:cantSplit/>
        </w:trPr>
        <w:tc>
          <w:tcPr>
            <w:tcW w:type="dxa" w:w="8844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 w:eastAsia="宋体"/>
                <w:b w:val="0"/>
                <w:i w:val="0"/>
                <w:color w:val="444444"/>
                <w:sz w:val="19"/>
              </w:rPr>
              <w:t>本资料为课程教学模拟文件。企业、人员、地址、联系方式及业务数据均为虚构，不具有法律、采购、审计或人事效力。</w:t>
            </w:r>
          </w:p>
        </w:tc>
      </w:tr>
    </w:tbl>
    <w:p>
      <w:r>
        <w:br w:type="page"/>
      </w:r>
    </w:p>
    <w:p>
      <w:pPr>
        <w:pStyle w:val="Heading1"/>
      </w:pPr>
      <w:r>
        <w:t>第一章 招标公告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上海澄岳智能装备有限公司拟对“项目协同与经营管理数字化平台建设项目”进行教学模拟公开招标，现邀请具备企业项目管理平台实施、系统集成、数据治理和安全交付能力的供应商参与。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576"/>
      </w:tblGrid>
      <w:tr>
        <w:trPr>
          <w:tblHeader w:val="true"/>
          <w:cantSplit/>
        </w:trPr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576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项目名称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项目协同与经营管理数字化平台建设项目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项目编号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CY-DCM-2026-01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招标编号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CYZB-2026-017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采购控制价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人民币3,450,000.00元（含税），超过控制价的投标无效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建设周期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2026年10月20日至2027年4月19日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建设地点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上海总部及采购人批准的云资源/VPC；必要时覆盖苏州制造中心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采购内容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项目协同与经营管理数字化平台的软件许可/订阅、实施、集成、数据迁移、测试、培训、上线和质保服务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投标保证金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人民币50,000元；教学文件不提供真实收款账户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投标有效期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自投标截止之日起90日</w:t>
            </w:r>
          </w:p>
        </w:tc>
      </w:tr>
    </w:tbl>
    <w:p>
      <w:pPr>
        <w:spacing w:after="0"/>
      </w:pPr>
    </w:p>
    <w:p>
      <w:pPr>
        <w:pStyle w:val="Heading2"/>
      </w:pPr>
      <w:r>
        <w:t>一、投标人资格要求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依法设立并能够独立承担民事责任；本教学案例不要求提交真实证照。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具有企业级项目管理或经营数字化平台实施经验，并能提供项目团队和类似项目说明。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近三年无重大违法、重大质量或重大信息安全事故的书面声明。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具备项目实施、系统集成、数据迁移、信息安全和售后服务能力。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本项目不接受未经采购人书面同意的整体转包；联合体规则以正式发布文件为准。</w:t>
      </w:r>
    </w:p>
    <w:p>
      <w:pPr>
        <w:pStyle w:val="Heading2"/>
      </w:pPr>
      <w:r>
        <w:t>二、招标日程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1"/>
        <w:gridCol w:w="2268"/>
        <w:gridCol w:w="4025"/>
      </w:tblGrid>
      <w:tr>
        <w:trPr>
          <w:tblHeader w:val="true"/>
          <w:cantSplit/>
        </w:trPr>
        <w:tc>
          <w:tcPr>
            <w:tcW w:type="dxa" w:w="255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事项</w:t>
            </w:r>
          </w:p>
        </w:tc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时间</w:t>
            </w:r>
          </w:p>
        </w:tc>
        <w:tc>
          <w:tcPr>
            <w:tcW w:type="dxa" w:w="402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方式/地点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招标文件发布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2026-09-05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课程资料包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书面答疑截止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2026-09-16 17:00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发送至采购人指定教学邮箱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统一答疑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2026-09-18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以书面补充文件为准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投标截止及开标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2026-09-28 09:30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上海总部3号会议室（教学模拟）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评审与澄清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2026-09-28至2026-09-30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必要时书面澄清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中标通知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2026-10-08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教学模拟</w:t>
            </w:r>
          </w:p>
        </w:tc>
      </w:tr>
    </w:tbl>
    <w:p>
      <w:pPr>
        <w:spacing w:after="0"/>
      </w:pPr>
    </w:p>
    <w:p>
      <w:pPr>
        <w:pStyle w:val="Heading1"/>
      </w:pPr>
      <w:r>
        <w:t>第二章 投标人须知</w:t>
      </w:r>
    </w:p>
    <w:p>
      <w:pPr>
        <w:pStyle w:val="Heading2"/>
      </w:pPr>
      <w:r>
        <w:t>一、总则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投标人应充分理解采购人的业务目标、项目制经营特点、现有系统边界和数据安全要求。投标报价应覆盖合同范围内的全部软件、实施、集成、迁移、测试、培训、文档、差旅、税费和质保服务，不得以未充分调研为由追加已包含范围费用。</w:t>
      </w:r>
    </w:p>
    <w:p>
      <w:pPr>
        <w:pStyle w:val="Heading2"/>
      </w:pPr>
      <w:r>
        <w:t>二、投标文件组成</w:t>
      </w:r>
    </w:p>
    <w:tbl>
      <w:tblPr>
        <w:tblStyle w:val="TableGrid"/>
        <w:tblW w:type="dxa" w:w="884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3969"/>
        <w:gridCol w:w="3175"/>
      </w:tblGrid>
      <w:tr>
        <w:trPr>
          <w:tblHeader w:val="true"/>
          <w:cantSplit/>
        </w:trPr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分册</w:t>
            </w:r>
          </w:p>
        </w:tc>
        <w:tc>
          <w:tcPr>
            <w:tcW w:type="dxa" w:w="3969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主要内容</w:t>
            </w:r>
          </w:p>
        </w:tc>
        <w:tc>
          <w:tcPr>
            <w:tcW w:type="dxa" w:w="317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形式要求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资格册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主体信息、授权、承诺、类似项目、信用与合规声明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单独成册，逐项响应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商务册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报价、付款偏差、合同条款偏差、服务承诺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含税/不含税/税额分列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技术册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理解、方案、架构、功能、接口、迁移、安全、测试、培训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逐项对应需求编号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项目管理册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计划、团队、治理、风险、质量、交付物和验收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关键人员简历和投入</w:t>
            </w:r>
          </w:p>
        </w:tc>
      </w:tr>
    </w:tbl>
    <w:p>
      <w:pPr>
        <w:spacing w:after="0"/>
      </w:pPr>
    </w:p>
    <w:p>
      <w:pPr>
        <w:pStyle w:val="Heading2"/>
      </w:pPr>
      <w:r>
        <w:t>三、报价和偏差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报价币种为人民币，采用总价合同，含税总价不得超过采购控制价。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投标人应列明软件、实施、接口、迁移、测试、培训、质保等构成，但分项之和必须等于总价。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技术和商务偏差应集中列示；未列示且与招标文件冲突的，以招标文件要求为准。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任何澄清不得实质性改变投标范围、总价或形成对其他投标人的不公平。</w:t>
      </w:r>
    </w:p>
    <w:p>
      <w:pPr>
        <w:pStyle w:val="Heading1"/>
      </w:pPr>
      <w:r>
        <w:t>第三章 项目背景与采购目标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澄岳装备现有项目计划、成本、风险、合同和交付资料分散在ERP、OA、共享盘、邮件及个人表格中，数据更新周期长、口径不一，管理层难以及时获得项目组合、成本偏差、资源负荷和重大风险信息。</w:t>
      </w:r>
    </w:p>
    <w:p>
      <w:pPr>
        <w:pStyle w:val="Heading2"/>
      </w:pPr>
      <w:r>
        <w:t>一、建设目标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建立统一项目主数据、项目分类和立项机制，实现项目组合透明化。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形成WBS、计划基线、里程碑、资源工时、风险问题和变更的一体化管理。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贯通预算、已承诺、实际和预计完工成本，为经营决策提供一致口径。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连接OA、ERP、HR、财务和统一身份系统，减少重复录入和手工汇总。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沉淀项目模板、交付文档和复盘知识，提升组织复用能力。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在权限、日志、导出和数据隔离方面满足企业信息安全要求。</w:t>
      </w:r>
    </w:p>
    <w:p>
      <w:pPr>
        <w:pStyle w:val="Heading2"/>
      </w:pPr>
      <w:r>
        <w:t>二、成功标准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576"/>
      </w:tblGrid>
      <w:tr>
        <w:trPr>
          <w:tblHeader w:val="true"/>
          <w:cantSplit/>
        </w:trPr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6576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成功标准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业务覆盖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本期10个模块范围完成，关键项目全过程可在线管理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迁移近3年约320个项目，关键字段准确率不低于99.5%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用户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注册用户680人，并发用户不低于300人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常用查询95百分位响应时间不超过3秒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质量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最终验收时P1/P2缺陷为0，功能测试总体通过率不低于95%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采用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管理员、项目经理、普通用户和管理层培训完成，试运行不少于20个工作日</w:t>
            </w:r>
          </w:p>
        </w:tc>
      </w:tr>
    </w:tbl>
    <w:p>
      <w:pPr>
        <w:spacing w:after="0"/>
      </w:pPr>
    </w:p>
    <w:p>
      <w:pPr>
        <w:pStyle w:val="Heading1"/>
      </w:pPr>
      <w:r>
        <w:t>第四章 采购范围与功能要求</w:t>
      </w:r>
    </w:p>
    <w:tbl>
      <w:tblPr>
        <w:tblStyle w:val="TableGrid"/>
        <w:tblW w:type="dxa" w:w="884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4"/>
        <w:gridCol w:w="1871"/>
        <w:gridCol w:w="5216"/>
        <w:gridCol w:w="964"/>
      </w:tblGrid>
      <w:tr>
        <w:trPr>
          <w:tblHeader w:val="true"/>
          <w:cantSplit/>
        </w:trPr>
        <w:tc>
          <w:tcPr>
            <w:tcW w:type="dxa" w:w="79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187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模块</w:t>
            </w:r>
          </w:p>
        </w:tc>
        <w:tc>
          <w:tcPr>
            <w:tcW w:type="dxa" w:w="5216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主要要求</w:t>
            </w:r>
          </w:p>
        </w:tc>
        <w:tc>
          <w:tcPr>
            <w:tcW w:type="dxa" w:w="96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F01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项目组合与立项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项目分类、模板、立项申请、评审、优先级、项目组合和状态报告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F02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WBS与计划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多级WBS、里程碑、依赖、计划基线、实际进度、延期预警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F03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资源与工时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角色、投入比例、资源负荷、工时填报审批和资源冲突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F04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预算与成本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预算、已承诺、实际、完工预测、偏差和权限控制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F05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采购与合同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采购需求、合同、付款节点、履约证据和供应商事项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F06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风险问题变更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登记、评级、措施、升级、关闭、变更申请和审批记录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F07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文档与知识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模板、版本、权限、检索、归档、会议纪要和复盘知识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F08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经营分析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按事业部、行业、客户、项目经理等维度分析，敏感字段受控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F09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通知与移动Web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待办、提醒、邮件/企业消息和响应式浏览器页面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F10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权限审计</w:t>
            </w:r>
          </w:p>
        </w:tc>
        <w:tc>
          <w:tcPr>
            <w:tcW w:type="dxa" w:w="52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SSO、角色、数据权限、敏感字段、导出控制、操作日志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必须</w:t>
            </w:r>
          </w:p>
        </w:tc>
      </w:tr>
    </w:tbl>
    <w:p>
      <w:pPr>
        <w:spacing w:after="0"/>
      </w:pPr>
    </w:p>
    <w:p>
      <w:pPr>
        <w:pStyle w:val="Heading2"/>
      </w:pPr>
      <w:r>
        <w:t>一、数据与接口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7"/>
        <w:gridCol w:w="2268"/>
        <w:gridCol w:w="1701"/>
        <w:gridCol w:w="3288"/>
      </w:tblGrid>
      <w:tr>
        <w:trPr>
          <w:tblHeader w:val="true"/>
          <w:cantSplit/>
        </w:trPr>
        <w:tc>
          <w:tcPr>
            <w:tcW w:type="dxa" w:w="158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接口</w:t>
            </w:r>
          </w:p>
        </w:tc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主要对象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频率</w:t>
            </w:r>
          </w:p>
        </w:tc>
        <w:tc>
          <w:tcPr>
            <w:tcW w:type="dxa" w:w="328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OA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组织、审批、待办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实时/准实时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失败重试、状态回写和日志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ERP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项目、采购、合同、成本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日批+必要实时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数据字典、增量机制和对账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HR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人员、部门、岗位、状态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日批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离职禁用和历史归属保留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财务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凭证汇总、付款、发票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日批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只读同步、金额与期间校验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统一身份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账号、SSO、角色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实时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单点登录、多因素能力预留</w:t>
            </w:r>
          </w:p>
        </w:tc>
      </w:tr>
    </w:tbl>
    <w:p>
      <w:pPr>
        <w:spacing w:after="0"/>
      </w:pPr>
    </w:p>
    <w:p>
      <w:pPr>
        <w:pStyle w:val="Heading1"/>
      </w:pPr>
      <w:r>
        <w:t>第五章 实施、迁移与服务要求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47"/>
        <w:gridCol w:w="1984"/>
        <w:gridCol w:w="2948"/>
        <w:gridCol w:w="2665"/>
      </w:tblGrid>
      <w:tr>
        <w:trPr>
          <w:tblHeader w:val="true"/>
          <w:cantSplit/>
        </w:trPr>
        <w:tc>
          <w:tcPr>
            <w:tcW w:type="dxa" w:w="124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阶段</w:t>
            </w:r>
          </w:p>
        </w:tc>
        <w:tc>
          <w:tcPr>
            <w:tcW w:type="dxa" w:w="198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计划日期</w:t>
            </w:r>
          </w:p>
        </w:tc>
        <w:tc>
          <w:tcPr>
            <w:tcW w:type="dxa" w:w="294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核心活动</w:t>
            </w:r>
          </w:p>
        </w:tc>
        <w:tc>
          <w:tcPr>
            <w:tcW w:type="dxa" w:w="266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主要交付物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启动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2026-10-20至10-30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启动、调研、计划和治理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项目计划、沟通计划、风险清单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需求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2026-10-21至11-20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访谈、原型、需求确认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需求规格、原型、数据字典、接口清单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设计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2026-11-21至12-18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架构、详细、安全和测试设计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总体/详细/安全设计、测试计划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构建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2026-12-19至2027-02-19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配置、开发、接口、单元测试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系统版本、代码/配置、单元测试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测试迁移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2027-02-20至03-19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集成、性能、安全、迁移演练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测试报告、迁移报告、安全整改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试运行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2027-03-22至04-16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培训、试运行、问题闭环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培训记录、试运行报告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验收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2027-04-19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最终验收与运维移交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验收报告、运维手册、资产清单</w:t>
            </w:r>
          </w:p>
        </w:tc>
      </w:tr>
    </w:tbl>
    <w:p>
      <w:pPr>
        <w:spacing w:after="0"/>
      </w:pPr>
    </w:p>
    <w:p>
      <w:pPr>
        <w:pStyle w:val="Heading2"/>
      </w:pPr>
      <w:r>
        <w:t>一、项目团队要求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乙方项目经理原则上全程投入不低于80%，关键阶段现场或实时在线支持。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解决方案架构师在需求、设计、集成和性能阶段投入不低于50%。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安全负责人参与设计评审、安全测试和整改关闭。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关键人员变更应提前10个工作日书面申请，完成同等或更高资质人员替换和交接。</w:t>
      </w:r>
    </w:p>
    <w:p>
      <w:pPr>
        <w:pStyle w:val="Heading2"/>
      </w:pPr>
      <w:r>
        <w:t>二、数据迁移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迁移范围为近3年约320个项目。乙方应完成数据盘点、映射、清洗规则、模拟迁移、核对、正式迁移和回退方案。关键主数据准确率不低于99.5%，不一致项应形成清单并由业务责任人确认。</w:t>
      </w:r>
    </w:p>
    <w:p>
      <w:pPr>
        <w:pStyle w:val="Heading1"/>
      </w:pPr>
      <w:r>
        <w:t>第六章 信息安全与合规要求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576"/>
      </w:tblGrid>
      <w:tr>
        <w:trPr>
          <w:tblHeader w:val="true"/>
          <w:cantSplit/>
        </w:trPr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领域</w:t>
            </w:r>
          </w:p>
        </w:tc>
        <w:tc>
          <w:tcPr>
            <w:tcW w:type="dxa" w:w="6576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部署与隔离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部署在采购人批准的云资源/VPC；生产、测试环境和数据隔离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身份权限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统一身份、最小权限、角色和数据权限；管理员操作受控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数据保护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传输加密、敏感存储加密、导出和批量下载审批/留痕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日志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登录、权限、配置、导出和关键业务操作日志至少保留180天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漏洞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上线前完成第三方安全测试，严重和高危漏洞清零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事件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重大安全事件1小时内通知，提交处置、影响和复盘报告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退出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合同结束或终止时返还采购人数据，并按确认要求删除副本</w:t>
            </w:r>
          </w:p>
        </w:tc>
      </w:tr>
    </w:tbl>
    <w:p>
      <w:pPr>
        <w:spacing w:after="0"/>
      </w:pPr>
    </w:p>
    <w:p>
      <w:pPr>
        <w:pStyle w:val="Heading1"/>
      </w:pPr>
      <w:r>
        <w:t>第七章 验收与服务等级</w:t>
      </w:r>
    </w:p>
    <w:p>
      <w:pPr>
        <w:pStyle w:val="Heading2"/>
      </w:pPr>
      <w:r>
        <w:t>一、验收条件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合同范围和批准变更全部完成，交付物齐全并通过评审。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关键功能100%通过，功能测试总体通过率不低于95%，P1/P2缺陷为0。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常用查询95百分位响应时间不超过3秒，并发能力不低于300用户。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历史数据迁移完成，关键字段准确率不低于99.5%。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第三方安全测试完成，严重和高危漏洞清零。</w:t>
      </w:r>
    </w:p>
    <w:p>
      <w:pPr>
        <w:pStyle w:val="ListNumber"/>
      </w:pPr>
      <w:r>
        <w:rPr>
          <w:rFonts w:ascii="Arial" w:hAnsi="Arial" w:eastAsia="宋体"/>
          <w:b w:val="0"/>
          <w:i w:val="0"/>
          <w:color w:val="000000"/>
          <w:sz w:val="21"/>
        </w:rPr>
        <w:t>试运行不少于20个工作日，四类用户培训和运维交接完成。</w:t>
      </w:r>
    </w:p>
    <w:p>
      <w:pPr>
        <w:pStyle w:val="Heading2"/>
      </w:pPr>
      <w:r>
        <w:t>二、质保服务等级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969"/>
        <w:gridCol w:w="1701"/>
        <w:gridCol w:w="2324"/>
      </w:tblGrid>
      <w:tr>
        <w:trPr>
          <w:tblHeader w:val="true"/>
          <w:cantSplit/>
        </w:trPr>
        <w:tc>
          <w:tcPr>
            <w:tcW w:type="dxa" w:w="85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级别</w:t>
            </w:r>
          </w:p>
        </w:tc>
        <w:tc>
          <w:tcPr>
            <w:tcW w:type="dxa" w:w="3969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定义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响应时间</w:t>
            </w:r>
          </w:p>
        </w:tc>
        <w:tc>
          <w:tcPr>
            <w:tcW w:type="dxa" w:w="232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恢复/解决目标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系统不可用、核心数据损坏或重大安全事件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15分钟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4小时内恢复服务，24小时内初步报告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核心功能严重受影响且无替代方案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30分钟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8小时内恢复或提供可接受方案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P3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一般功能问题，有替代方案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4小时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2个工作日内解决或给出计划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P4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咨询、优化和低影响问题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1个工作日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5个工作日内处理</w:t>
            </w:r>
          </w:p>
        </w:tc>
      </w:tr>
    </w:tbl>
    <w:p>
      <w:pPr>
        <w:spacing w:after="0"/>
      </w:pPr>
    </w:p>
    <w:p>
      <w:pPr>
        <w:pStyle w:val="Heading1"/>
      </w:pPr>
      <w:r>
        <w:t>第八章 商务条款</w:t>
      </w:r>
    </w:p>
    <w:tbl>
      <w:tblPr>
        <w:tblStyle w:val="TableGrid"/>
        <w:tblW w:type="dxa" w:w="884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4"/>
        <w:gridCol w:w="1020"/>
        <w:gridCol w:w="1587"/>
        <w:gridCol w:w="4252"/>
      </w:tblGrid>
      <w:tr>
        <w:trPr>
          <w:tblHeader w:val="true"/>
          <w:cantSplit/>
        </w:trPr>
        <w:tc>
          <w:tcPr>
            <w:tcW w:type="dxa" w:w="198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付款节点</w:t>
            </w:r>
          </w:p>
        </w:tc>
        <w:tc>
          <w:tcPr>
            <w:tcW w:type="dxa" w:w="102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比例</w:t>
            </w:r>
          </w:p>
        </w:tc>
        <w:tc>
          <w:tcPr>
            <w:tcW w:type="dxa" w:w="158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金额</w:t>
            </w:r>
          </w:p>
        </w:tc>
        <w:tc>
          <w:tcPr>
            <w:tcW w:type="dxa" w:w="4252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付款前提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合同生效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20%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¥690,000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合同生效、计划和保障到位、合法发票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需求与设计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20%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¥690,000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需求规格和总体设计验收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构建与集成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30%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¥1,035,000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构建、接口和集成测试通过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最终验收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25%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¥862,500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最终验收和资料移交完成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质保期满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5%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¥172,500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12个月质保期满且无未关闭重大问题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合同为含税总价合同，税率6%；付款以验收、发票和审批资料齐全为前提。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质保期为最终验收后12个月，质保范围内缺陷修复和必要支持已包含在合同总价中。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知识产权、数据安全、保密、违约和争议解决以双方最终签署合同为准。</w:t>
      </w:r>
    </w:p>
    <w:p>
      <w:pPr>
        <w:pStyle w:val="Heading1"/>
      </w:pPr>
      <w:r>
        <w:t>第九章 评标办法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采用综合评分法，总分100分。评审应依据投标文件和书面澄清，不得使用招标文件未公布的实质性评分因素。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34"/>
        <w:gridCol w:w="2381"/>
        <w:gridCol w:w="907"/>
        <w:gridCol w:w="4422"/>
      </w:tblGrid>
      <w:tr>
        <w:trPr>
          <w:tblHeader w:val="true"/>
          <w:cantSplit/>
        </w:trPr>
        <w:tc>
          <w:tcPr>
            <w:tcW w:type="dxa" w:w="113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类别</w:t>
            </w:r>
          </w:p>
        </w:tc>
        <w:tc>
          <w:tcPr>
            <w:tcW w:type="dxa" w:w="238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评分项</w:t>
            </w:r>
          </w:p>
        </w:tc>
        <w:tc>
          <w:tcPr>
            <w:tcW w:type="dxa" w:w="90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分值</w:t>
            </w:r>
          </w:p>
        </w:tc>
        <w:tc>
          <w:tcPr>
            <w:tcW w:type="dxa" w:w="4422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评分要点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技术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需求理解与总体方案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问题理解、目标、范围、可行性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技术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功能与业务适配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十个模块响应和关键场景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技术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架构、接口与数据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集成、数据治理、扩展和可维护性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技术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安全、性能与运维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权限、日志、测试、SLA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技术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实施、迁移与培训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计划、方法、资源和风险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商务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类似项目与能力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同类经验和可验证成果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商务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项目团队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经理、架构、安全和实施团队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商务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服务承诺与合同响应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质保、响应、偏差和承诺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商务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投标文件质量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完整、清晰、一致、可追溯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价格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投标报价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满足招标规则的最低评标价/投标价×20</w:t>
            </w:r>
          </w:p>
        </w:tc>
      </w:tr>
    </w:tbl>
    <w:p>
      <w:pPr>
        <w:spacing w:after="0"/>
      </w:pPr>
    </w:p>
    <w:p>
      <w:pPr>
        <w:pStyle w:val="Heading1"/>
      </w:pPr>
      <w:r>
        <w:t>第十章 投标文件格式</w:t>
      </w:r>
    </w:p>
    <w:p>
      <w:pPr>
        <w:pStyle w:val="Heading2"/>
      </w:pPr>
      <w:r>
        <w:t>一、投标函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致：上海澄岳智能装备有限公司。我方已阅读招标文件及补充文件，愿按投标报价和响应方案承担本项目工作，并承诺投标有效期、项目团队、交付周期、保密和合规要求。具体授权、报价和偏差以投标文件签署版为准。</w:t>
      </w:r>
    </w:p>
    <w:p>
      <w:pPr>
        <w:pStyle w:val="Heading2"/>
      </w:pPr>
      <w:r>
        <w:t>二、报价汇总表</w:t>
      </w:r>
    </w:p>
    <w:tbl>
      <w:tblPr>
        <w:tblStyle w:val="TableGrid"/>
        <w:tblW w:type="dxa" w:w="884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1701"/>
        <w:gridCol w:w="1134"/>
        <w:gridCol w:w="1701"/>
        <w:gridCol w:w="2041"/>
      </w:tblGrid>
      <w:tr>
        <w:trPr>
          <w:tblHeader w:val="true"/>
          <w:cantSplit/>
        </w:trPr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不含税金额</w:t>
            </w:r>
          </w:p>
        </w:tc>
        <w:tc>
          <w:tcPr>
            <w:tcW w:type="dxa" w:w="113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税率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税额</w:t>
            </w:r>
          </w:p>
        </w:tc>
        <w:tc>
          <w:tcPr>
            <w:tcW w:type="dxa" w:w="204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8"/>
              </w:rPr>
              <w:t>含税金额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软件与实施服务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系统集成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数据迁移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测试、培训与质保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6%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合计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不得超过¥3,450,000</w:t>
            </w:r>
          </w:p>
        </w:tc>
      </w:tr>
    </w:tbl>
    <w:p>
      <w:pPr>
        <w:spacing w:after="0"/>
      </w:pPr>
    </w:p>
    <w:p>
      <w:pPr>
        <w:pStyle w:val="Heading2"/>
      </w:pPr>
      <w:r>
        <w:t>三、偏差表</w:t>
      </w:r>
    </w:p>
    <w:tbl>
      <w:tblPr>
        <w:tblStyle w:val="TableGrid"/>
        <w:tblW w:type="dxa" w:w="884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1928"/>
        <w:gridCol w:w="2268"/>
        <w:gridCol w:w="2268"/>
        <w:gridCol w:w="1701"/>
      </w:tblGrid>
      <w:tr>
        <w:trPr>
          <w:tblHeader w:val="true"/>
          <w:cantSplit/>
        </w:trPr>
        <w:tc>
          <w:tcPr>
            <w:tcW w:type="dxa" w:w="68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序号</w:t>
            </w:r>
          </w:p>
        </w:tc>
        <w:tc>
          <w:tcPr>
            <w:tcW w:type="dxa" w:w="192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招标条款</w:t>
            </w:r>
          </w:p>
        </w:tc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投标响应</w:t>
            </w:r>
          </w:p>
        </w:tc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偏差及影响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四、项目团队表</w:t>
      </w:r>
    </w:p>
    <w:tbl>
      <w:tblPr>
        <w:tblStyle w:val="TableGrid"/>
        <w:tblW w:type="dxa" w:w="884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47"/>
        <w:gridCol w:w="1361"/>
        <w:gridCol w:w="1701"/>
        <w:gridCol w:w="1134"/>
        <w:gridCol w:w="2268"/>
        <w:gridCol w:w="1134"/>
      </w:tblGrid>
      <w:tr>
        <w:trPr>
          <w:tblHeader w:val="true"/>
          <w:cantSplit/>
        </w:trPr>
        <w:tc>
          <w:tcPr>
            <w:tcW w:type="dxa" w:w="124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姓名</w:t>
            </w:r>
          </w:p>
        </w:tc>
        <w:tc>
          <w:tcPr>
            <w:tcW w:type="dxa" w:w="136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项目角色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所属单位</w:t>
            </w:r>
          </w:p>
        </w:tc>
        <w:tc>
          <w:tcPr>
            <w:tcW w:type="dxa" w:w="113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投入比例</w:t>
            </w:r>
          </w:p>
        </w:tc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主要经历</w:t>
            </w:r>
          </w:p>
        </w:tc>
        <w:tc>
          <w:tcPr>
            <w:tcW w:type="dxa" w:w="113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授权/签字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附件：投标文件完整性检查表</w:t>
      </w:r>
    </w:p>
    <w:tbl>
      <w:tblPr>
        <w:tblStyle w:val="TableGrid"/>
        <w:tblW w:type="dxa" w:w="884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3402"/>
        <w:gridCol w:w="1134"/>
        <w:gridCol w:w="1701"/>
        <w:gridCol w:w="1928"/>
      </w:tblGrid>
      <w:tr>
        <w:trPr>
          <w:tblHeader w:val="true"/>
          <w:cantSplit/>
        </w:trPr>
        <w:tc>
          <w:tcPr>
            <w:tcW w:type="dxa" w:w="68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序号</w:t>
            </w:r>
          </w:p>
        </w:tc>
        <w:tc>
          <w:tcPr>
            <w:tcW w:type="dxa" w:w="3402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检查项</w:t>
            </w:r>
          </w:p>
        </w:tc>
        <w:tc>
          <w:tcPr>
            <w:tcW w:type="dxa" w:w="113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已提供</w:t>
            </w:r>
          </w:p>
        </w:tc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页码/位置</w:t>
            </w:r>
          </w:p>
        </w:tc>
        <w:tc>
          <w:tcPr>
            <w:tcW w:type="dxa" w:w="192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投标函及授权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资格和合规声明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报价汇总及分项报价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技术响应与偏差表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实施计划与交付物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项目团队和投入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数据迁移和接口方案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安全、测试和服务方案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类似项目说明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合同条款偏差与承诺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58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宋体"/>
        <w:b w:val="0"/>
        <w:i w:val="0"/>
        <w:color w:val="666666"/>
        <w:sz w:val="17"/>
      </w:rPr>
      <w:t xml:space="preserve">第 </w:t>
    </w:r>
    <w:fldSimple w:instr="PAGE">
      <w:r>
        <w:t>1</w:t>
      </w:r>
    </w:fldSimple>
    <w:r>
      <w:rPr>
        <w:rFonts w:ascii="Arial" w:hAnsi="Arial" w:eastAsia="宋体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宋体"/>
        <w:b w:val="0"/>
        <w:i w:val="0"/>
        <w:color w:val="666666"/>
        <w:sz w:val="17"/>
      </w:rPr>
      <w:t>教学模拟招标文件  |  CY-DCM-2026-01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24" w:lineRule="auto"/>
      <w:ind w:left="420" w:hanging="210"/>
      <w:contextualSpacing/>
    </w:pPr>
    <w:rPr>
      <w:rFonts w:ascii="Arial" w:hAnsi="Arial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24" w:lineRule="auto"/>
      <w:ind w:left="420" w:hanging="210"/>
      <w:contextualSpacing/>
    </w:pPr>
    <w:rPr>
      <w:rFonts w:ascii="Arial" w:hAnsi="Arial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项目招标文件</dc:title>
  <dc:subject>项目协同与经营管理数字化平台建设项目课程教学模拟资料</dc:subject>
  <dc:creator>MEM课程教学资料编制组</dc:creator>
  <cp:keywords>MEM, 智能体, 知识库, 文档工作流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