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 w:after="160"/>
        <w:jc w:val="center"/>
      </w:pPr>
      <w:r>
        <w:rPr>
          <w:rFonts w:ascii="Arial" w:hAnsi="Arial" w:eastAsia="黑体"/>
          <w:b/>
          <w:i w:val="0"/>
          <w:color w:val="000000"/>
          <w:sz w:val="48"/>
        </w:rPr>
        <w:t>投标响应文件</w:t>
      </w:r>
    </w:p>
    <w:p>
      <w:pPr>
        <w:spacing w:after="560"/>
        <w:jc w:val="center"/>
      </w:pPr>
      <w:r>
        <w:rPr>
          <w:rFonts w:ascii="Arial" w:hAnsi="Arial" w:eastAsia="宋体"/>
          <w:b w:val="0"/>
          <w:i w:val="0"/>
          <w:color w:val="555555"/>
          <w:sz w:val="26"/>
        </w:rPr>
        <w:t>项目协同与经营管理数字化平台建设项目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6576"/>
      </w:tblGrid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招标编号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CYZB-2026-017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投标人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杭州远序数字科技有限公司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投标报价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3,280,000元（含税，税率6%）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项目经理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唐明宇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投标日期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2026年9月28日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文件状态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学生输入资料 / 教学模拟</w:t>
            </w:r>
          </w:p>
        </w:tc>
      </w:tr>
    </w:tbl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844"/>
      </w:tblGrid>
      <w:tr>
        <w:trPr>
          <w:cantSplit/>
        </w:trPr>
        <w:tc>
          <w:tcPr>
            <w:tcW w:type="dxa" w:w="8844"/>
            <w:tcMar>
              <w:top w:w="90" w:type="dxa"/>
              <w:start w:w="120" w:type="dxa"/>
              <w:bottom w:w="9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 w:eastAsia="宋体"/>
                <w:b w:val="0"/>
                <w:i w:val="0"/>
                <w:color w:val="444444"/>
                <w:sz w:val="19"/>
              </w:rPr>
              <w:t>本资料为课程教学模拟文件。企业、人员、地址、联系方式及业务数据均为虚构，不具有法律、采购、审计或人事效力。</w:t>
            </w:r>
          </w:p>
        </w:tc>
      </w:tr>
    </w:tbl>
    <w:p>
      <w:r>
        <w:br w:type="page"/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844"/>
      </w:tblGrid>
      <w:tr>
        <w:trPr>
          <w:cantSplit/>
        </w:trPr>
        <w:tc>
          <w:tcPr>
            <w:tcW w:type="dxa" w:w="8844"/>
            <w:tcMar>
              <w:top w:w="90" w:type="dxa"/>
              <w:start w:w="120" w:type="dxa"/>
              <w:bottom w:w="9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 w:eastAsia="宋体"/>
                <w:b w:val="0"/>
                <w:i w:val="0"/>
                <w:color w:val="444444"/>
                <w:sz w:val="19"/>
              </w:rPr>
              <w:t>本文件为教学案例中的供应商投标响应。学生应提取承诺和报价，但合同签署后以合同及批准变更为正式执行依据。</w:t>
            </w:r>
          </w:p>
        </w:tc>
      </w:tr>
    </w:tbl>
    <w:p>
      <w:pPr>
        <w:pStyle w:val="Heading1"/>
      </w:pPr>
      <w:r>
        <w:t>第一章 投标函与总体承诺</w:t>
      </w:r>
    </w:p>
    <w:p>
      <w:pPr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我方已研究上海澄岳智能装备有限公司发布的CYZB-2026-017招标文件，愿以含税总价人民币3,280,000元承担项目协同与经营管理数字化平台建设项目的软件许可、实施、接口、迁移、测试、培训、上线和质保服务。投标有效期为90日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承诺项目经理唐明宇总体投入不低于80%，关键会议和验收阶段到场。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承诺2026年10月15日完成进场准备并启动工作；最终日期以合同为准。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平台授权能力可支持720个账号，方案按不少于300并发设计。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近3年约320个项目历史数据纳入迁移，关键字段准确率目标99.5%。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最终验收后提供12个月质保和服务支持。</w:t>
      </w:r>
    </w:p>
    <w:p>
      <w:pPr>
        <w:pStyle w:val="Heading1"/>
      </w:pPr>
      <w:r>
        <w:t>第二章 商务报价</w:t>
      </w:r>
    </w:p>
    <w:tbl>
      <w:tblPr>
        <w:tblStyle w:val="TableGrid"/>
        <w:tblW w:type="dxa" w:w="884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1814"/>
        <w:gridCol w:w="1134"/>
        <w:gridCol w:w="1701"/>
        <w:gridCol w:w="1928"/>
      </w:tblGrid>
      <w:tr>
        <w:trPr>
          <w:tblHeader w:val="true"/>
          <w:cantSplit/>
        </w:trPr>
        <w:tc>
          <w:tcPr>
            <w:tcW w:type="dxa" w:w="226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费用类别</w:t>
            </w:r>
          </w:p>
        </w:tc>
        <w:tc>
          <w:tcPr>
            <w:tcW w:type="dxa" w:w="181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不含税金额</w:t>
            </w:r>
          </w:p>
        </w:tc>
        <w:tc>
          <w:tcPr>
            <w:tcW w:type="dxa" w:w="113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税率</w:t>
            </w:r>
          </w:p>
        </w:tc>
        <w:tc>
          <w:tcPr>
            <w:tcW w:type="dxa" w:w="170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税额</w:t>
            </w:r>
          </w:p>
        </w:tc>
        <w:tc>
          <w:tcPr>
            <w:tcW w:type="dxa" w:w="192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含税金额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平台软件许可与配置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1,037,735.85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6%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62,264.15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1,100,000.00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实施与项目管理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754,716.98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6%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45,283.02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800,000.00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接口集成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518,867.92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6%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31,132.08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550,000.00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数据迁移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330,188.68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6%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19,811.32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350,000.00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测试、培训与质保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452,830.19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6%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27,169.81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480,000.00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合计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3,094,339.62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6%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185,660.38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3,280,000.00</w:t>
            </w:r>
          </w:p>
        </w:tc>
      </w:tr>
    </w:tbl>
    <w:p>
      <w:pPr>
        <w:spacing w:after="0"/>
      </w:pPr>
    </w:p>
    <w:p>
      <w:pPr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报价包含完成投标范围所需的人员、差旅、工具、文档、培训和质保，不包含采购人新增的第三方软件许可及经批准的范围外开发。</w:t>
      </w:r>
    </w:p>
    <w:p>
      <w:pPr>
        <w:pStyle w:val="Heading1"/>
      </w:pPr>
      <w:r>
        <w:t>第三章 解决方案</w:t>
      </w:r>
    </w:p>
    <w:p>
      <w:pPr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方案采用浏览器访问的项目协同平台，部署于采购人批准的云资源/VPC，覆盖项目组合、立项、WBS与计划、资源工时、预算成本、采购合同、风险问题变更、文档知识、经营分析和权限审计十个模块。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4"/>
        <w:gridCol w:w="3969"/>
        <w:gridCol w:w="2891"/>
      </w:tblGrid>
      <w:tr>
        <w:trPr>
          <w:tblHeader w:val="true"/>
          <w:cantSplit/>
        </w:trPr>
        <w:tc>
          <w:tcPr>
            <w:tcW w:type="dxa" w:w="198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能力</w:t>
            </w:r>
          </w:p>
        </w:tc>
        <w:tc>
          <w:tcPr>
            <w:tcW w:type="dxa" w:w="3969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响应方案</w:t>
            </w:r>
          </w:p>
        </w:tc>
        <w:tc>
          <w:tcPr>
            <w:tcW w:type="dxa" w:w="289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承诺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项目主数据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统一项目编码、分类、阶段、组织和负责人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提供导入和校验规则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计划与责任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WBS、里程碑、依赖、基线、RACI和行动项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支持模板复用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经营与财务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预算、承诺、实际、预计完工和偏差分析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与ERP/财务只读同步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干系人与沟通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干系人登记、沟通计划、会议和通知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不代替人工审批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知识与文档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版本、权限、检索、归档和复盘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支持本地知识资料导入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安全审计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SSO、角色、数据权限、导出控制和180天日志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上线前第三方安全测试</w:t>
            </w:r>
          </w:p>
        </w:tc>
      </w:tr>
    </w:tbl>
    <w:p>
      <w:pPr>
        <w:spacing w:after="0"/>
      </w:pPr>
    </w:p>
    <w:p>
      <w:pPr>
        <w:pStyle w:val="Heading1"/>
      </w:pPr>
      <w:r>
        <w:t>第四章 实施计划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4"/>
        <w:gridCol w:w="2268"/>
        <w:gridCol w:w="4592"/>
      </w:tblGrid>
      <w:tr>
        <w:trPr>
          <w:tblHeader w:val="true"/>
          <w:cantSplit/>
        </w:trPr>
        <w:tc>
          <w:tcPr>
            <w:tcW w:type="dxa" w:w="198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阶段</w:t>
            </w:r>
          </w:p>
        </w:tc>
        <w:tc>
          <w:tcPr>
            <w:tcW w:type="dxa" w:w="226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投标计划</w:t>
            </w:r>
          </w:p>
        </w:tc>
        <w:tc>
          <w:tcPr>
            <w:tcW w:type="dxa" w:w="4592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主要成果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启动与调研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2026-10-15至10-30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计划、治理、风险和调研记录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需求与原型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2026-10-21至11-20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需求规格、原型、接口清单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总体与详细设计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2026-11-21至12-18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架构、详细、安全和测试设计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配置开发与接口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2026-12-19至2027-02-19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系统版本、接口和单元测试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测试与迁移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2027-02-20至03-19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测试、迁移和安全整改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培训与试运行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2027-03-22至04-12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培训、试运行和问题关闭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验收移交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2027-04-19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验收、运维手册和资产移交</w:t>
            </w:r>
          </w:p>
        </w:tc>
      </w:tr>
    </w:tbl>
    <w:p>
      <w:pPr>
        <w:spacing w:after="0"/>
      </w:pPr>
    </w:p>
    <w:p>
      <w:pPr>
        <w:pStyle w:val="Heading1"/>
      </w:pPr>
      <w:r>
        <w:t>第五章 项目团队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61"/>
        <w:gridCol w:w="1701"/>
        <w:gridCol w:w="1020"/>
        <w:gridCol w:w="3175"/>
        <w:gridCol w:w="1587"/>
      </w:tblGrid>
      <w:tr>
        <w:trPr>
          <w:tblHeader w:val="true"/>
          <w:cantSplit/>
        </w:trPr>
        <w:tc>
          <w:tcPr>
            <w:tcW w:type="dxa" w:w="136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姓名</w:t>
            </w:r>
          </w:p>
        </w:tc>
        <w:tc>
          <w:tcPr>
            <w:tcW w:type="dxa" w:w="170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角色</w:t>
            </w:r>
          </w:p>
        </w:tc>
        <w:tc>
          <w:tcPr>
            <w:tcW w:type="dxa" w:w="1020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投入</w:t>
            </w:r>
          </w:p>
        </w:tc>
        <w:tc>
          <w:tcPr>
            <w:tcW w:type="dxa" w:w="3175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主要职责</w:t>
            </w:r>
          </w:p>
        </w:tc>
        <w:tc>
          <w:tcPr>
            <w:tcW w:type="dxa" w:w="158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汇报对象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唐明宇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乙方项目经理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80%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计划、协调、风险、交付和验收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陈致远/乙方交付总监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叶知行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解决方案架构师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50%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架构、接口、性能和数据设计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唐明宇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罗清和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安全负责人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25%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安全设计、测试和整改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唐明宇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沈雨辰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业务顾问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60%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访谈、需求、原型和培训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唐明宇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杜若飞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数据迁移负责人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40%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映射、清洗、迁移和核对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叶知行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陆思源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测试负责人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40%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测试计划、执行和缺陷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唐明宇</w:t>
            </w:r>
          </w:p>
        </w:tc>
      </w:tr>
    </w:tbl>
    <w:p>
      <w:pPr>
        <w:spacing w:after="0"/>
      </w:pPr>
    </w:p>
    <w:p>
      <w:pPr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关键人员变更将提前10个工作日书面申请。短期出差期间可由同等资历人员代行会议协调，但不构成正式项目经理变更。</w:t>
      </w:r>
    </w:p>
    <w:p>
      <w:pPr>
        <w:pStyle w:val="Heading1"/>
      </w:pPr>
      <w:r>
        <w:t>第六章 质量、安全与服务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需求、设计、测试、迁移和上线均设置评审与准入条件。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P1/P2缺陷在最终验收前清零，功能测试总体通过率不低于95%。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常用查询95百分位响应不超过3秒，满足不少于300并发。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重大安全事件15分钟响应、1小时内通知采购人，形成处置和复盘。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质保期内缺陷修复和必要远程支持包含在总价内。</w:t>
      </w:r>
    </w:p>
    <w:p>
      <w:pPr>
        <w:pStyle w:val="Heading1"/>
      </w:pPr>
      <w:r>
        <w:t>第七章 偏差与澄清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381"/>
        <w:gridCol w:w="2835"/>
        <w:gridCol w:w="2778"/>
      </w:tblGrid>
      <w:tr>
        <w:trPr>
          <w:tblHeader w:val="true"/>
          <w:cantSplit/>
        </w:trPr>
        <w:tc>
          <w:tcPr>
            <w:tcW w:type="dxa" w:w="850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编号</w:t>
            </w:r>
          </w:p>
        </w:tc>
        <w:tc>
          <w:tcPr>
            <w:tcW w:type="dxa" w:w="238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招标要求</w:t>
            </w:r>
          </w:p>
        </w:tc>
        <w:tc>
          <w:tcPr>
            <w:tcW w:type="dxa" w:w="2835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投标响应</w:t>
            </w:r>
          </w:p>
        </w:tc>
        <w:tc>
          <w:tcPr>
            <w:tcW w:type="dxa" w:w="277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偏差说明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D01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注册用户680人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授权能力支持720个账号</w:t>
            </w:r>
          </w:p>
        </w:tc>
        <w:tc>
          <w:tcPr>
            <w:tcW w:type="dxa" w:w="27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正偏离，最终采购范围按合同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D02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2026-10-20启动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建议10月15日进场准备</w:t>
            </w:r>
          </w:p>
        </w:tc>
        <w:tc>
          <w:tcPr>
            <w:tcW w:type="dxa" w:w="27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提前准备，正式工期按合同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D03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统一身份实时接口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一期支持标准SSO，MFA能力预留</w:t>
            </w:r>
          </w:p>
        </w:tc>
        <w:tc>
          <w:tcPr>
            <w:tcW w:type="dxa" w:w="27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需在设计阶段确认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74" w:bottom="1417" w:left="158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宋体"/>
        <w:b w:val="0"/>
        <w:i w:val="0"/>
        <w:color w:val="666666"/>
        <w:sz w:val="17"/>
      </w:rPr>
      <w:t xml:space="preserve">第 </w:t>
    </w:r>
    <w:fldSimple w:instr="PAGE">
      <w:r>
        <w:t>1</w:t>
      </w:r>
    </w:fldSimple>
    <w:r>
      <w:rPr>
        <w:rFonts w:ascii="Arial" w:hAnsi="Arial" w:eastAsia="宋体"/>
        <w:b w:val="0"/>
        <w:i w:val="0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宋体"/>
        <w:b w:val="0"/>
        <w:i w:val="0"/>
        <w:color w:val="666666"/>
        <w:sz w:val="17"/>
      </w:rPr>
      <w:t>学生输入资料  |  CY-DCM-2026-01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60" w:lineRule="auto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24" w:lineRule="auto"/>
      <w:ind w:left="420" w:hanging="210"/>
      <w:contextualSpacing/>
    </w:pPr>
    <w:rPr>
      <w:rFonts w:ascii="Arial" w:hAnsi="Arial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24" w:lineRule="auto"/>
      <w:ind w:left="420" w:hanging="210"/>
      <w:contextualSpacing/>
    </w:pPr>
    <w:rPr>
      <w:rFonts w:ascii="Arial" w:hAnsi="Arial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项目投标响应文件</dc:title>
  <dc:subject>项目协同与经营管理数字化平台建设项目课程教学模拟资料</dc:subject>
  <dc:creator>MEM课程教学资料编制组</dc:creator>
  <cp:keywords>MEM, 智能体, 知识库, 文档工作流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