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160"/>
        <w:jc w:val="center"/>
      </w:pPr>
      <w:r>
        <w:rPr>
          <w:rFonts w:ascii="Arial" w:hAnsi="Arial" w:eastAsia="黑体"/>
          <w:b/>
          <w:i w:val="0"/>
          <w:color w:val="000000"/>
          <w:sz w:val="48"/>
        </w:rPr>
        <w:t>项目建设合同</w:t>
      </w:r>
    </w:p>
    <w:p>
      <w:pPr>
        <w:spacing w:after="560"/>
        <w:jc w:val="center"/>
      </w:pPr>
      <w:r>
        <w:rPr>
          <w:rFonts w:ascii="Arial" w:hAnsi="Arial" w:eastAsia="宋体"/>
          <w:b w:val="0"/>
          <w:i w:val="0"/>
          <w:color w:val="555555"/>
          <w:sz w:val="26"/>
        </w:rPr>
        <w:t>项目协同与经营管理数字化平台建设项目</w:t>
      </w:r>
    </w:p>
    <w:tbl>
      <w:tblPr>
        <w:tblStyle w:val="TableGrid"/>
        <w:tblW w:type="dxa" w:w="8844"/>
        <w:jc w:val="left"/>
        <w:tblLayout w:type="fixed"/>
        <w:tblLook w:firstColumn="1" w:firstRow="1" w:lastColumn="0" w:lastRow="0" w:noHBand="0" w:noVBand="1" w:val="04A0"/>
        <w:tblInd w:w="120" w:type="dxa"/>
      </w:tblPr>
      <w:tblGrid>
        <w:gridCol w:w="2268"/>
        <w:gridCol w:w="6576"/>
      </w:tblGrid>
      <w:tr>
        <w:trPr>
          <w:cantSplit/>
        </w:trPr>
        <w:tc>
          <w:tcPr>
            <w:tcW w:type="dxa" w:w="2268"/>
            <w:tcMar>
              <w:top w:w="90" w:type="dxa"/>
              <w:start w:w="120" w:type="dxa"/>
              <w:bottom w:w="90" w:type="dxa"/>
              <w:end w:w="120" w:type="dxa"/>
            </w:tcMar>
            <w:vAlign w:val="center"/>
            <w:shd w:fill="EDEDED"/>
          </w:tcPr>
          <w:p>
            <w:r>
              <w:rPr>
                <w:rFonts w:ascii="Arial" w:hAnsi="Arial" w:eastAsia="黑体"/>
                <w:b/>
                <w:i w:val="0"/>
                <w:color w:val="000000"/>
                <w:sz w:val="20"/>
              </w:rPr>
              <w:t>合同编号</w:t>
            </w:r>
          </w:p>
        </w:tc>
        <w:tc>
          <w:tcPr>
            <w:tcW w:type="dxa" w:w="6576"/>
            <w:tcMar>
              <w:top w:w="90" w:type="dxa"/>
              <w:start w:w="120" w:type="dxa"/>
              <w:bottom w:w="90" w:type="dxa"/>
              <w:end w:w="120" w:type="dxa"/>
            </w:tcMar>
            <w:vAlign w:val="center"/>
          </w:tcPr>
          <w:p>
            <w:r>
              <w:rPr>
                <w:rFonts w:ascii="Arial" w:hAnsi="Arial" w:eastAsia="宋体"/>
                <w:b w:val="0"/>
                <w:i w:val="0"/>
                <w:color w:val="000000"/>
                <w:sz w:val="20"/>
              </w:rPr>
              <w:t>CYHT-2026-048</w:t>
            </w:r>
          </w:p>
        </w:tc>
      </w:tr>
      <w:tr>
        <w:trPr>
          <w:cantSplit/>
        </w:trPr>
        <w:tc>
          <w:tcPr>
            <w:tcW w:type="dxa" w:w="2268"/>
            <w:tcMar>
              <w:top w:w="90" w:type="dxa"/>
              <w:start w:w="120" w:type="dxa"/>
              <w:bottom w:w="90" w:type="dxa"/>
              <w:end w:w="120" w:type="dxa"/>
            </w:tcMar>
            <w:vAlign w:val="center"/>
            <w:shd w:fill="EDEDED"/>
          </w:tcPr>
          <w:p>
            <w:r>
              <w:rPr>
                <w:rFonts w:ascii="Arial" w:hAnsi="Arial" w:eastAsia="黑体"/>
                <w:b/>
                <w:i w:val="0"/>
                <w:color w:val="000000"/>
                <w:sz w:val="20"/>
              </w:rPr>
              <w:t>甲方</w:t>
            </w:r>
          </w:p>
        </w:tc>
        <w:tc>
          <w:tcPr>
            <w:tcW w:type="dxa" w:w="6576"/>
            <w:tcMar>
              <w:top w:w="90" w:type="dxa"/>
              <w:start w:w="120" w:type="dxa"/>
              <w:bottom w:w="90" w:type="dxa"/>
              <w:end w:w="120" w:type="dxa"/>
            </w:tcMar>
            <w:vAlign w:val="center"/>
          </w:tcPr>
          <w:p>
            <w:r>
              <w:rPr>
                <w:rFonts w:ascii="Arial" w:hAnsi="Arial" w:eastAsia="宋体"/>
                <w:b w:val="0"/>
                <w:i w:val="0"/>
                <w:color w:val="000000"/>
                <w:sz w:val="20"/>
              </w:rPr>
              <w:t>上海澄岳智能装备有限公司</w:t>
            </w:r>
          </w:p>
        </w:tc>
      </w:tr>
      <w:tr>
        <w:trPr>
          <w:cantSplit/>
        </w:trPr>
        <w:tc>
          <w:tcPr>
            <w:tcW w:type="dxa" w:w="2268"/>
            <w:tcMar>
              <w:top w:w="90" w:type="dxa"/>
              <w:start w:w="120" w:type="dxa"/>
              <w:bottom w:w="90" w:type="dxa"/>
              <w:end w:w="120" w:type="dxa"/>
            </w:tcMar>
            <w:vAlign w:val="center"/>
            <w:shd w:fill="EDEDED"/>
          </w:tcPr>
          <w:p>
            <w:r>
              <w:rPr>
                <w:rFonts w:ascii="Arial" w:hAnsi="Arial" w:eastAsia="黑体"/>
                <w:b/>
                <w:i w:val="0"/>
                <w:color w:val="000000"/>
                <w:sz w:val="20"/>
              </w:rPr>
              <w:t>乙方</w:t>
            </w:r>
          </w:p>
        </w:tc>
        <w:tc>
          <w:tcPr>
            <w:tcW w:type="dxa" w:w="6576"/>
            <w:tcMar>
              <w:top w:w="90" w:type="dxa"/>
              <w:start w:w="120" w:type="dxa"/>
              <w:bottom w:w="90" w:type="dxa"/>
              <w:end w:w="120" w:type="dxa"/>
            </w:tcMar>
            <w:vAlign w:val="center"/>
          </w:tcPr>
          <w:p>
            <w:r>
              <w:rPr>
                <w:rFonts w:ascii="Arial" w:hAnsi="Arial" w:eastAsia="宋体"/>
                <w:b w:val="0"/>
                <w:i w:val="0"/>
                <w:color w:val="000000"/>
                <w:sz w:val="20"/>
              </w:rPr>
              <w:t>杭州远序数字科技有限公司</w:t>
            </w:r>
          </w:p>
        </w:tc>
      </w:tr>
      <w:tr>
        <w:trPr>
          <w:cantSplit/>
        </w:trPr>
        <w:tc>
          <w:tcPr>
            <w:tcW w:type="dxa" w:w="2268"/>
            <w:tcMar>
              <w:top w:w="90" w:type="dxa"/>
              <w:start w:w="120" w:type="dxa"/>
              <w:bottom w:w="90" w:type="dxa"/>
              <w:end w:w="120" w:type="dxa"/>
            </w:tcMar>
            <w:vAlign w:val="center"/>
            <w:shd w:fill="EDEDED"/>
          </w:tcPr>
          <w:p>
            <w:r>
              <w:rPr>
                <w:rFonts w:ascii="Arial" w:hAnsi="Arial" w:eastAsia="黑体"/>
                <w:b/>
                <w:i w:val="0"/>
                <w:color w:val="000000"/>
                <w:sz w:val="20"/>
              </w:rPr>
              <w:t>合同总价</w:t>
            </w:r>
          </w:p>
        </w:tc>
        <w:tc>
          <w:tcPr>
            <w:tcW w:type="dxa" w:w="6576"/>
            <w:tcMar>
              <w:top w:w="90" w:type="dxa"/>
              <w:start w:w="120" w:type="dxa"/>
              <w:bottom w:w="90" w:type="dxa"/>
              <w:end w:w="120" w:type="dxa"/>
            </w:tcMar>
            <w:vAlign w:val="center"/>
          </w:tcPr>
          <w:p>
            <w:r>
              <w:rPr>
                <w:rFonts w:ascii="Arial" w:hAnsi="Arial" w:eastAsia="宋体"/>
                <w:b w:val="0"/>
                <w:i w:val="0"/>
                <w:color w:val="000000"/>
                <w:sz w:val="20"/>
              </w:rPr>
              <w:t>人民币叁佰贰拾陆万元整（¥3,260,000.00，含税）</w:t>
            </w:r>
          </w:p>
        </w:tc>
      </w:tr>
      <w:tr>
        <w:trPr>
          <w:cantSplit/>
        </w:trPr>
        <w:tc>
          <w:tcPr>
            <w:tcW w:type="dxa" w:w="2268"/>
            <w:tcMar>
              <w:top w:w="90" w:type="dxa"/>
              <w:start w:w="120" w:type="dxa"/>
              <w:bottom w:w="90" w:type="dxa"/>
              <w:end w:w="120" w:type="dxa"/>
            </w:tcMar>
            <w:vAlign w:val="center"/>
            <w:shd w:fill="EDEDED"/>
          </w:tcPr>
          <w:p>
            <w:r>
              <w:rPr>
                <w:rFonts w:ascii="Arial" w:hAnsi="Arial" w:eastAsia="黑体"/>
                <w:b/>
                <w:i w:val="0"/>
                <w:color w:val="000000"/>
                <w:sz w:val="20"/>
              </w:rPr>
              <w:t>签署日期</w:t>
            </w:r>
          </w:p>
        </w:tc>
        <w:tc>
          <w:tcPr>
            <w:tcW w:type="dxa" w:w="6576"/>
            <w:tcMar>
              <w:top w:w="90" w:type="dxa"/>
              <w:start w:w="120" w:type="dxa"/>
              <w:bottom w:w="90" w:type="dxa"/>
              <w:end w:w="120" w:type="dxa"/>
            </w:tcMar>
            <w:vAlign w:val="center"/>
          </w:tcPr>
          <w:p>
            <w:r>
              <w:rPr>
                <w:rFonts w:ascii="Arial" w:hAnsi="Arial" w:eastAsia="宋体"/>
                <w:b w:val="0"/>
                <w:i w:val="0"/>
                <w:color w:val="000000"/>
                <w:sz w:val="20"/>
              </w:rPr>
              <w:t>2026年10月15日</w:t>
            </w:r>
          </w:p>
        </w:tc>
      </w:tr>
      <w:tr>
        <w:trPr>
          <w:cantSplit/>
        </w:trPr>
        <w:tc>
          <w:tcPr>
            <w:tcW w:type="dxa" w:w="2268"/>
            <w:tcMar>
              <w:top w:w="90" w:type="dxa"/>
              <w:start w:w="120" w:type="dxa"/>
              <w:bottom w:w="90" w:type="dxa"/>
              <w:end w:w="120" w:type="dxa"/>
            </w:tcMar>
            <w:vAlign w:val="center"/>
            <w:shd w:fill="EDEDED"/>
          </w:tcPr>
          <w:p>
            <w:r>
              <w:rPr>
                <w:rFonts w:ascii="Arial" w:hAnsi="Arial" w:eastAsia="黑体"/>
                <w:b/>
                <w:i w:val="0"/>
                <w:color w:val="000000"/>
                <w:sz w:val="20"/>
              </w:rPr>
              <w:t>状态</w:t>
            </w:r>
          </w:p>
        </w:tc>
        <w:tc>
          <w:tcPr>
            <w:tcW w:type="dxa" w:w="6576"/>
            <w:tcMar>
              <w:top w:w="90" w:type="dxa"/>
              <w:start w:w="120" w:type="dxa"/>
              <w:bottom w:w="90" w:type="dxa"/>
              <w:end w:w="120" w:type="dxa"/>
            </w:tcMar>
            <w:vAlign w:val="center"/>
          </w:tcPr>
          <w:p>
            <w:r>
              <w:rPr>
                <w:rFonts w:ascii="Arial" w:hAnsi="Arial" w:eastAsia="宋体"/>
                <w:b w:val="0"/>
                <w:i w:val="0"/>
                <w:color w:val="000000"/>
                <w:sz w:val="20"/>
              </w:rPr>
              <w:t>学生输入资料 / 需法务审核的教学模拟文本</w:t>
            </w:r>
          </w:p>
        </w:tc>
      </w:tr>
    </w:tbl>
    <w:tbl>
      <w:tblPr>
        <w:tblStyle w:val="TableGrid"/>
        <w:tblW w:type="dxa" w:w="8844"/>
        <w:jc w:val="left"/>
        <w:tblLayout w:type="fixed"/>
        <w:tblLook w:firstColumn="1" w:firstRow="1" w:lastColumn="0" w:lastRow="0" w:noHBand="0" w:noVBand="1" w:val="04A0"/>
        <w:tblInd w:w="120" w:type="dxa"/>
      </w:tblPr>
      <w:tblGrid>
        <w:gridCol w:w="8844"/>
      </w:tblGrid>
      <w:tr>
        <w:trPr>
          <w:cantSplit/>
        </w:trPr>
        <w:tc>
          <w:tcPr>
            <w:tcW w:type="dxa" w:w="8844"/>
            <w:tcMar>
              <w:top w:w="90" w:type="dxa"/>
              <w:start w:w="120" w:type="dxa"/>
              <w:bottom w:w="90" w:type="dxa"/>
              <w:end w:w="120" w:type="dxa"/>
            </w:tcMar>
            <w:shd w:fill="F2F2F2"/>
          </w:tcPr>
          <w:p>
            <w:pPr>
              <w:spacing w:after="0"/>
            </w:pPr>
            <w:r>
              <w:rPr>
                <w:rFonts w:ascii="Arial" w:hAnsi="Arial" w:eastAsia="宋体"/>
                <w:b w:val="0"/>
                <w:i w:val="0"/>
                <w:color w:val="444444"/>
                <w:sz w:val="19"/>
              </w:rPr>
              <w:t>本资料为课程教学模拟文件。企业、人员、地址、联系方式及业务数据均为虚构，不具有法律、采购、审计或人事效力。</w:t>
            </w:r>
          </w:p>
        </w:tc>
      </w:tr>
    </w:tbl>
    <w:p>
      <w:r>
        <w:br w:type="page"/>
      </w:r>
    </w:p>
    <w:p>
      <w:pPr>
        <w:pStyle w:val="Heading1"/>
      </w:pPr>
      <w:r>
        <w:t>合同当事人</w:t>
      </w:r>
    </w:p>
    <w:tbl>
      <w:tblPr>
        <w:tblStyle w:val="TableGrid"/>
        <w:tblW w:type="dxa" w:w="8845"/>
        <w:jc w:val="left"/>
        <w:tblLayout w:type="fixed"/>
        <w:tblLook w:firstColumn="1" w:firstRow="1" w:lastColumn="0" w:lastRow="0" w:noHBand="0" w:noVBand="1" w:val="04A0"/>
        <w:tblInd w:w="120" w:type="dxa"/>
      </w:tblPr>
      <w:tblGrid>
        <w:gridCol w:w="1701"/>
        <w:gridCol w:w="3572"/>
        <w:gridCol w:w="3572"/>
      </w:tblGrid>
      <w:tr>
        <w:trPr>
          <w:tblHeader w:val="true"/>
          <w:cantSplit/>
        </w:trPr>
        <w:tc>
          <w:tcPr>
            <w:tcW w:type="dxa" w:w="1701"/>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8"/>
              </w:rPr>
              <w:t>项目</w:t>
            </w:r>
          </w:p>
        </w:tc>
        <w:tc>
          <w:tcPr>
            <w:tcW w:type="dxa" w:w="3572"/>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8"/>
              </w:rPr>
              <w:t>甲方</w:t>
            </w:r>
          </w:p>
        </w:tc>
        <w:tc>
          <w:tcPr>
            <w:tcW w:type="dxa" w:w="3572"/>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8"/>
              </w:rPr>
              <w:t>乙方</w:t>
            </w:r>
          </w:p>
        </w:tc>
      </w:tr>
      <w:tr>
        <w:trPr>
          <w:cantSplit/>
        </w:trPr>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名称</w:t>
            </w:r>
          </w:p>
        </w:tc>
        <w:tc>
          <w:tcPr>
            <w:tcW w:type="dxa" w:w="3572"/>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上海澄岳智能装备有限公司</w:t>
            </w:r>
          </w:p>
        </w:tc>
        <w:tc>
          <w:tcPr>
            <w:tcW w:type="dxa" w:w="3572"/>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杭州远序数字科技有限公司</w:t>
            </w:r>
          </w:p>
        </w:tc>
      </w:tr>
      <w:tr>
        <w:trPr>
          <w:cantSplit/>
        </w:trPr>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地址</w:t>
            </w:r>
          </w:p>
        </w:tc>
        <w:tc>
          <w:tcPr>
            <w:tcW w:type="dxa" w:w="357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上海市浦东新区海科路88号（教学占位）</w:t>
            </w:r>
          </w:p>
        </w:tc>
        <w:tc>
          <w:tcPr>
            <w:tcW w:type="dxa" w:w="357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杭州市滨江区江虹路66号（教学占位）</w:t>
            </w:r>
          </w:p>
        </w:tc>
      </w:tr>
      <w:tr>
        <w:trPr>
          <w:cantSplit/>
        </w:trPr>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法定/授权代表</w:t>
            </w:r>
          </w:p>
        </w:tc>
        <w:tc>
          <w:tcPr>
            <w:tcW w:type="dxa" w:w="357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周启明或正式授权人（待正式确认）</w:t>
            </w:r>
          </w:p>
        </w:tc>
        <w:tc>
          <w:tcPr>
            <w:tcW w:type="dxa" w:w="357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顾文博或正式授权人（待正式确认）</w:t>
            </w:r>
          </w:p>
        </w:tc>
      </w:tr>
      <w:tr>
        <w:trPr>
          <w:cantSplit/>
        </w:trPr>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项目经理</w:t>
            </w:r>
          </w:p>
        </w:tc>
        <w:tc>
          <w:tcPr>
            <w:tcW w:type="dxa" w:w="3572"/>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陈致远</w:t>
            </w:r>
          </w:p>
        </w:tc>
        <w:tc>
          <w:tcPr>
            <w:tcW w:type="dxa" w:w="3572"/>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唐明宇</w:t>
            </w:r>
          </w:p>
        </w:tc>
      </w:tr>
      <w:tr>
        <w:trPr>
          <w:cantSplit/>
        </w:trPr>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通知邮箱</w:t>
            </w:r>
          </w:p>
        </w:tc>
        <w:tc>
          <w:tcPr>
            <w:tcW w:type="dxa" w:w="357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pmoffice@example.com</w:t>
            </w:r>
          </w:p>
        </w:tc>
        <w:tc>
          <w:tcPr>
            <w:tcW w:type="dxa" w:w="357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bid@example.com</w:t>
            </w:r>
          </w:p>
        </w:tc>
      </w:tr>
    </w:tbl>
    <w:p>
      <w:pPr>
        <w:spacing w:after="0"/>
      </w:pPr>
    </w:p>
    <w:tbl>
      <w:tblPr>
        <w:tblStyle w:val="TableGrid"/>
        <w:tblW w:type="dxa" w:w="8844"/>
        <w:jc w:val="left"/>
        <w:tblLayout w:type="fixed"/>
        <w:tblLook w:firstColumn="1" w:firstRow="1" w:lastColumn="0" w:lastRow="0" w:noHBand="0" w:noVBand="1" w:val="04A0"/>
        <w:tblInd w:w="120" w:type="dxa"/>
      </w:tblPr>
      <w:tblGrid>
        <w:gridCol w:w="8844"/>
      </w:tblGrid>
      <w:tr>
        <w:trPr>
          <w:cantSplit/>
        </w:trPr>
        <w:tc>
          <w:tcPr>
            <w:tcW w:type="dxa" w:w="8844"/>
            <w:tcMar>
              <w:top w:w="90" w:type="dxa"/>
              <w:start w:w="120" w:type="dxa"/>
              <w:bottom w:w="90" w:type="dxa"/>
              <w:end w:w="120" w:type="dxa"/>
            </w:tcMar>
            <w:shd w:fill="F2F2F2"/>
          </w:tcPr>
          <w:p>
            <w:pPr>
              <w:spacing w:after="0"/>
            </w:pPr>
            <w:r>
              <w:rPr>
                <w:rFonts w:ascii="Arial" w:hAnsi="Arial" w:eastAsia="宋体"/>
                <w:b w:val="0"/>
                <w:i w:val="0"/>
                <w:color w:val="444444"/>
                <w:sz w:val="19"/>
              </w:rPr>
              <w:t>银行账户、统一社会信用代码、授权文件和签章信息必须在正式签署前由双方人工核验；本教学文件不提供或生成真实信息。</w:t>
            </w:r>
          </w:p>
        </w:tc>
      </w:tr>
    </w:tbl>
    <w:p>
      <w:pPr>
        <w:pStyle w:val="Heading1"/>
      </w:pPr>
      <w:r>
        <w:t>第一条 定义与解释</w:t>
      </w:r>
    </w:p>
    <w:p>
      <w:r>
        <w:rPr>
          <w:rFonts w:ascii="Arial" w:hAnsi="Arial" w:eastAsia="宋体"/>
          <w:b w:val="0"/>
          <w:i w:val="0"/>
          <w:color w:val="000000"/>
          <w:sz w:val="21"/>
        </w:rPr>
        <w:t>1. “项目”指项目协同与经营管理数字化平台建设项目，项目编号为CY-DCM-2026-01。</w:t>
      </w:r>
    </w:p>
    <w:p>
      <w:r>
        <w:rPr>
          <w:rFonts w:ascii="Arial" w:hAnsi="Arial" w:eastAsia="宋体"/>
          <w:b w:val="0"/>
          <w:i w:val="0"/>
          <w:color w:val="000000"/>
          <w:sz w:val="21"/>
        </w:rPr>
        <w:t>2. “交付物”指附件一及经批准变更中约定的软件、配置、代码、文档、数据、报告、培训和服务成果。</w:t>
      </w:r>
    </w:p>
    <w:p>
      <w:r>
        <w:rPr>
          <w:rFonts w:ascii="Arial" w:hAnsi="Arial" w:eastAsia="宋体"/>
          <w:b w:val="0"/>
          <w:i w:val="0"/>
          <w:color w:val="000000"/>
          <w:sz w:val="21"/>
        </w:rPr>
        <w:t>3. “最终验收”指甲方依据本合同、批准需求和验收标准，对项目范围、质量、安全和资料进行综合确认。</w:t>
      </w:r>
    </w:p>
    <w:p>
      <w:r>
        <w:rPr>
          <w:rFonts w:ascii="Arial" w:hAnsi="Arial" w:eastAsia="宋体"/>
          <w:b w:val="0"/>
          <w:i w:val="0"/>
          <w:color w:val="000000"/>
          <w:sz w:val="21"/>
        </w:rPr>
        <w:t>4. “背景知识产权”指一方在本合同签署前已经拥有或独立于本项目形成的知识产权。</w:t>
      </w:r>
    </w:p>
    <w:p>
      <w:pPr>
        <w:pStyle w:val="Heading1"/>
      </w:pPr>
      <w:r>
        <w:t>第二条 合同标的与范围</w:t>
      </w:r>
    </w:p>
    <w:p>
      <w:r>
        <w:rPr>
          <w:rFonts w:ascii="Arial" w:hAnsi="Arial" w:eastAsia="宋体"/>
          <w:b w:val="0"/>
          <w:i w:val="0"/>
          <w:color w:val="000000"/>
          <w:sz w:val="21"/>
        </w:rPr>
        <w:t>1. 乙方为甲方提供项目管理与经营数字化平台的软件与实施服务，包括需求分析、方案设计、配置与定制开发、系统集成、历史数据迁移、测试、安全整改、培训、上线、运维移交和质保。</w:t>
      </w:r>
    </w:p>
    <w:p>
      <w:r>
        <w:rPr>
          <w:rFonts w:ascii="Arial" w:hAnsi="Arial" w:eastAsia="宋体"/>
          <w:b w:val="0"/>
          <w:i w:val="0"/>
          <w:color w:val="000000"/>
          <w:sz w:val="21"/>
        </w:rPr>
        <w:t>2. 本期范围包括项目组合与立项、WBS与进度、资源与工时、预算与成本、采购与合同、风险问题变更、文档知识、经营看板、通知与移动Web、权限与审计等十个模块。</w:t>
      </w:r>
    </w:p>
    <w:p>
      <w:r>
        <w:rPr>
          <w:rFonts w:ascii="Arial" w:hAnsi="Arial" w:eastAsia="宋体"/>
          <w:b w:val="0"/>
          <w:i w:val="0"/>
          <w:color w:val="000000"/>
          <w:sz w:val="21"/>
        </w:rPr>
        <w:t>3. 本合同不包括替换ERP、OA、HR和财务核算系统，不包括建设原生移动APP，也不包括未经变更批准的新业务模块。</w:t>
      </w:r>
    </w:p>
    <w:p>
      <w:pPr>
        <w:pStyle w:val="Heading1"/>
      </w:pPr>
      <w:r>
        <w:t>第三条 合同价款与税费</w:t>
      </w:r>
    </w:p>
    <w:p>
      <w:r>
        <w:rPr>
          <w:rFonts w:ascii="Arial" w:hAnsi="Arial" w:eastAsia="宋体"/>
          <w:b w:val="0"/>
          <w:i w:val="0"/>
          <w:color w:val="000000"/>
          <w:sz w:val="21"/>
        </w:rPr>
        <w:t>1. 本合同含税总价为人民币叁佰贰拾陆万元整（¥3,260,000.00，含税）；适用增值税率为6%，不含税金额为¥3,075,471.70，税额为¥184,528.30。</w:t>
      </w:r>
    </w:p>
    <w:p>
      <w:r>
        <w:rPr>
          <w:rFonts w:ascii="Arial" w:hAnsi="Arial" w:eastAsia="宋体"/>
          <w:b w:val="0"/>
          <w:i w:val="0"/>
          <w:color w:val="000000"/>
          <w:sz w:val="21"/>
        </w:rPr>
        <w:t>2. 合同总价包括完成约定范围所需的软件、实施、集成、迁移、测试、培训、文档、差旅、税费和质保服务。除双方书面批准的变更外，乙方不得另行收费。</w:t>
      </w:r>
    </w:p>
    <w:p>
      <w:r>
        <w:rPr>
          <w:rFonts w:ascii="Arial" w:hAnsi="Arial" w:eastAsia="宋体"/>
          <w:b w:val="0"/>
          <w:i w:val="0"/>
          <w:color w:val="000000"/>
          <w:sz w:val="21"/>
        </w:rPr>
        <w:t>3. 税率因国家政策依法调整时，双方按不含税价不变原则及合法票据要求处理；具体由双方财务和法务确认。</w:t>
      </w:r>
    </w:p>
    <w:p>
      <w:pPr>
        <w:pStyle w:val="Heading1"/>
      </w:pPr>
      <w:r>
        <w:t>第四条 建设周期与里程碑</w:t>
      </w:r>
    </w:p>
    <w:p>
      <w:r>
        <w:rPr>
          <w:rFonts w:ascii="Arial" w:hAnsi="Arial" w:eastAsia="宋体"/>
          <w:b w:val="0"/>
          <w:i w:val="0"/>
          <w:color w:val="000000"/>
          <w:sz w:val="21"/>
        </w:rPr>
        <w:t>1. 项目建设周期为2026年10月20日至2027年4月19日，共181日。</w:t>
      </w:r>
    </w:p>
    <w:p>
      <w:r>
        <w:rPr>
          <w:rFonts w:ascii="Arial" w:hAnsi="Arial" w:eastAsia="宋体"/>
          <w:b w:val="0"/>
          <w:i w:val="0"/>
          <w:color w:val="000000"/>
          <w:sz w:val="21"/>
        </w:rPr>
        <w:t>2. 主要里程碑为：2026年11月20日需求基线；2026年12月18日方案设计完成；2027年2月19日配置开发完成；2027年3月22日试运行开始；2027年4月19日最终验收。</w:t>
      </w:r>
    </w:p>
    <w:p>
      <w:r>
        <w:rPr>
          <w:rFonts w:ascii="Arial" w:hAnsi="Arial" w:eastAsia="宋体"/>
          <w:b w:val="0"/>
          <w:i w:val="0"/>
          <w:color w:val="000000"/>
          <w:sz w:val="21"/>
        </w:rPr>
        <w:t>3. 乙方应在启动后5个工作日内提交详细计划，经甲方批准后形成计划基线。乙方预见延误时应在2个工作日内书面报告原因、影响和纠正计划。</w:t>
      </w:r>
    </w:p>
    <w:p>
      <w:pPr>
        <w:pStyle w:val="Heading1"/>
      </w:pPr>
      <w:r>
        <w:t>第五条 项目治理与人员</w:t>
      </w:r>
    </w:p>
    <w:p>
      <w:r>
        <w:rPr>
          <w:rFonts w:ascii="Arial" w:hAnsi="Arial" w:eastAsia="宋体"/>
          <w:b w:val="0"/>
          <w:i w:val="0"/>
          <w:color w:val="000000"/>
          <w:sz w:val="21"/>
        </w:rPr>
        <w:t>1. 双方建立项目发起人/业务负责人、项目经理、工作组和专题评审机制。甲方项目经理为陈致远，乙方项目经理为唐明宇。</w:t>
      </w:r>
    </w:p>
    <w:p>
      <w:r>
        <w:rPr>
          <w:rFonts w:ascii="Arial" w:hAnsi="Arial" w:eastAsia="宋体"/>
          <w:b w:val="0"/>
          <w:i w:val="0"/>
          <w:color w:val="000000"/>
          <w:sz w:val="21"/>
        </w:rPr>
        <w:t>2. 乙方项目经理全程投入原则上不低于80%，解决方案架构师在关键阶段投入不低于50%。关键人员变更应提前10个工作日书面申请，替代人员能力不得降低，并完成交接。</w:t>
      </w:r>
    </w:p>
    <w:p>
      <w:r>
        <w:rPr>
          <w:rFonts w:ascii="Arial" w:hAnsi="Arial" w:eastAsia="宋体"/>
          <w:b w:val="0"/>
          <w:i w:val="0"/>
          <w:color w:val="000000"/>
          <w:sz w:val="21"/>
        </w:rPr>
        <w:t>3. 项目周例会原则上每周举行，乙方提交周报、风险问题和计划更新；重大风险和P1事件应按升级机制即时报告。</w:t>
      </w:r>
    </w:p>
    <w:p>
      <w:pPr>
        <w:pStyle w:val="Heading1"/>
      </w:pPr>
      <w:r>
        <w:t>第六条 需求、设计与变更</w:t>
      </w:r>
    </w:p>
    <w:p>
      <w:r>
        <w:rPr>
          <w:rFonts w:ascii="Arial" w:hAnsi="Arial" w:eastAsia="宋体"/>
          <w:b w:val="0"/>
          <w:i w:val="0"/>
          <w:color w:val="000000"/>
          <w:sz w:val="21"/>
        </w:rPr>
        <w:t>1. 需求规格说明书经甲方业务、技术和项目管理角色确认后形成需求基线。任何范围、周期、价款、安全或关键接口变化，应通过书面变更申请评估。</w:t>
      </w:r>
    </w:p>
    <w:p>
      <w:r>
        <w:rPr>
          <w:rFonts w:ascii="Arial" w:hAnsi="Arial" w:eastAsia="宋体"/>
          <w:b w:val="0"/>
          <w:i w:val="0"/>
          <w:color w:val="000000"/>
          <w:sz w:val="21"/>
        </w:rPr>
        <w:t>2. 单项成本影响超过5万元、里程碑影响超过5个工作日、核心范围或安全要求变化的变更，须由甲方相应职能会签并经授权人批准。</w:t>
      </w:r>
    </w:p>
    <w:p>
      <w:r>
        <w:rPr>
          <w:rFonts w:ascii="Arial" w:hAnsi="Arial" w:eastAsia="宋体"/>
          <w:b w:val="0"/>
          <w:i w:val="0"/>
          <w:color w:val="000000"/>
          <w:sz w:val="21"/>
        </w:rPr>
        <w:t>3. 未经批准的口头、邮件或会议讨论不构成合同价款或范围变更。紧急处置可先控制风险，但应在2个工作日内补充书面记录。</w:t>
      </w:r>
    </w:p>
    <w:p>
      <w:pPr>
        <w:pStyle w:val="Heading1"/>
      </w:pPr>
      <w:r>
        <w:t>第七条 交付物与文档</w:t>
      </w:r>
    </w:p>
    <w:p>
      <w:r>
        <w:rPr>
          <w:rFonts w:ascii="Arial" w:hAnsi="Arial" w:eastAsia="宋体"/>
          <w:b w:val="0"/>
          <w:i w:val="0"/>
          <w:color w:val="000000"/>
          <w:sz w:val="21"/>
        </w:rPr>
        <w:t>1. 乙方应按照附件一提交项目计划、需求规格、原型、数据字典、接口清单、总体与详细设计、安全设计、配置/代码、测试报告、迁移报告、培训资料、试运行报告、验收资料和运维手册。</w:t>
      </w:r>
    </w:p>
    <w:p>
      <w:r>
        <w:rPr>
          <w:rFonts w:ascii="Arial" w:hAnsi="Arial" w:eastAsia="宋体"/>
          <w:b w:val="0"/>
          <w:i w:val="0"/>
          <w:color w:val="000000"/>
          <w:sz w:val="21"/>
        </w:rPr>
        <w:t>2. 文档应使用甲方批准模板，标明项目编号、版本、日期、编制、审核和批准状态。正式版本不得覆盖，作废版本应可追溯。</w:t>
      </w:r>
    </w:p>
    <w:p>
      <w:r>
        <w:rPr>
          <w:rFonts w:ascii="Arial" w:hAnsi="Arial" w:eastAsia="宋体"/>
          <w:b w:val="0"/>
          <w:i w:val="0"/>
          <w:color w:val="000000"/>
          <w:sz w:val="21"/>
        </w:rPr>
        <w:t>3. 源代码、配置、脚本、接口说明和必要的构建/部署材料应随验收移交，第三方组件及许可应单独列示。</w:t>
      </w:r>
    </w:p>
    <w:p>
      <w:pPr>
        <w:pStyle w:val="Heading1"/>
      </w:pPr>
      <w:r>
        <w:t>第八条 数据迁移与接口</w:t>
      </w:r>
    </w:p>
    <w:p>
      <w:r>
        <w:rPr>
          <w:rFonts w:ascii="Arial" w:hAnsi="Arial" w:eastAsia="宋体"/>
          <w:b w:val="0"/>
          <w:i w:val="0"/>
          <w:color w:val="000000"/>
          <w:sz w:val="21"/>
        </w:rPr>
        <w:t>1. 历史数据迁移范围为近3年约320个项目。乙方负责盘点、映射、清洗规则、模拟迁移、正式迁移、核对和回退方案。</w:t>
      </w:r>
    </w:p>
    <w:p>
      <w:r>
        <w:rPr>
          <w:rFonts w:ascii="Arial" w:hAnsi="Arial" w:eastAsia="宋体"/>
          <w:b w:val="0"/>
          <w:i w:val="0"/>
          <w:color w:val="000000"/>
          <w:sz w:val="21"/>
        </w:rPr>
        <w:t>2. 关键数据字段准确率不低于99.5%；不一致项应形成清单，经业务责任人确认处理。</w:t>
      </w:r>
    </w:p>
    <w:p>
      <w:r>
        <w:rPr>
          <w:rFonts w:ascii="Arial" w:hAnsi="Arial" w:eastAsia="宋体"/>
          <w:b w:val="0"/>
          <w:i w:val="0"/>
          <w:color w:val="000000"/>
          <w:sz w:val="21"/>
        </w:rPr>
        <w:t>3. OA、ERP、HR、财务和统一身份接口应具有身份校验、错误处理、重试、日志和对账机制。因第三方系统限制产生的新增费用须事前书面确认。</w:t>
      </w:r>
    </w:p>
    <w:p>
      <w:pPr>
        <w:pStyle w:val="Heading1"/>
      </w:pPr>
      <w:r>
        <w:t>第九条 信息安全与数据保护</w:t>
      </w:r>
    </w:p>
    <w:p>
      <w:r>
        <w:rPr>
          <w:rFonts w:ascii="Arial" w:hAnsi="Arial" w:eastAsia="宋体"/>
          <w:b w:val="0"/>
          <w:i w:val="0"/>
          <w:color w:val="000000"/>
          <w:sz w:val="21"/>
        </w:rPr>
        <w:t>1. 系统部署在甲方批准的云资源/VPC内，生产与测试环境隔离。乙方仅按履约必要范围访问甲方数据，并遵守最小权限和保密要求。</w:t>
      </w:r>
    </w:p>
    <w:p>
      <w:r>
        <w:rPr>
          <w:rFonts w:ascii="Arial" w:hAnsi="Arial" w:eastAsia="宋体"/>
          <w:b w:val="0"/>
          <w:i w:val="0"/>
          <w:color w:val="000000"/>
          <w:sz w:val="21"/>
        </w:rPr>
        <w:t>2. 系统应支持单点登录、角色和数据权限、敏感字段控制、导出与批量下载留痕；关键操作日志至少保留180天。</w:t>
      </w:r>
    </w:p>
    <w:p>
      <w:r>
        <w:rPr>
          <w:rFonts w:ascii="Arial" w:hAnsi="Arial" w:eastAsia="宋体"/>
          <w:b w:val="0"/>
          <w:i w:val="0"/>
          <w:color w:val="000000"/>
          <w:sz w:val="21"/>
        </w:rPr>
        <w:t>3. 上线前完成第三方安全测试，严重和高危漏洞必须清零。发生重大安全事件时，乙方应在1小时内通知甲方，立即控制影响并提交报告。</w:t>
      </w:r>
    </w:p>
    <w:p>
      <w:r>
        <w:rPr>
          <w:rFonts w:ascii="Arial" w:hAnsi="Arial" w:eastAsia="宋体"/>
          <w:b w:val="0"/>
          <w:i w:val="0"/>
          <w:color w:val="000000"/>
          <w:sz w:val="21"/>
        </w:rPr>
        <w:t>4. 合同结束、终止或甲方要求时，乙方应返还甲方数据，并在甲方确认后删除其持有的副本，法律另有强制保存要求的除外。</w:t>
      </w:r>
    </w:p>
    <w:p>
      <w:pPr>
        <w:pStyle w:val="Heading1"/>
      </w:pPr>
      <w:r>
        <w:t>第十条 测试与验收</w:t>
      </w:r>
    </w:p>
    <w:p>
      <w:r>
        <w:rPr>
          <w:rFonts w:ascii="Arial" w:hAnsi="Arial" w:eastAsia="宋体"/>
          <w:b w:val="0"/>
          <w:i w:val="0"/>
          <w:color w:val="000000"/>
          <w:sz w:val="21"/>
        </w:rPr>
        <w:t>1. 验收依据为本合同、招标文件、投标响应、批准需求、设计和变更文件。验收分为阶段验收和最终验收。</w:t>
      </w:r>
    </w:p>
    <w:p>
      <w:r>
        <w:rPr>
          <w:rFonts w:ascii="Arial" w:hAnsi="Arial" w:eastAsia="宋体"/>
          <w:b w:val="0"/>
          <w:i w:val="0"/>
          <w:color w:val="000000"/>
          <w:sz w:val="21"/>
        </w:rPr>
        <w:t>2. 最终验收条件包括：范围完成、关键功能100%通过、总体通过率不低于95%、P1/P2缺陷为0、并发不低于300用户、常用查询95百分位不超过3秒、数据准确率不低于99.5%、安全高危漏洞清零、试运行不少于20个工作日。</w:t>
      </w:r>
    </w:p>
    <w:p>
      <w:r>
        <w:rPr>
          <w:rFonts w:ascii="Arial" w:hAnsi="Arial" w:eastAsia="宋体"/>
          <w:b w:val="0"/>
          <w:i w:val="0"/>
          <w:color w:val="000000"/>
          <w:sz w:val="21"/>
        </w:rPr>
        <w:t>3. 甲方应在收到完整验收申请和资料后组织评审。发现问题时，乙方按时整改并重新申请；验收不免除乙方对隐蔽缺陷和质保责任。</w:t>
      </w:r>
    </w:p>
    <w:p>
      <w:pPr>
        <w:pStyle w:val="Heading1"/>
      </w:pPr>
      <w:r>
        <w:t>第十一条 付款与发票</w:t>
      </w:r>
    </w:p>
    <w:p>
      <w:r>
        <w:rPr>
          <w:rFonts w:ascii="Arial" w:hAnsi="Arial" w:eastAsia="宋体"/>
          <w:b w:val="0"/>
          <w:i w:val="0"/>
          <w:color w:val="000000"/>
          <w:sz w:val="21"/>
        </w:rPr>
        <w:t>1. 合同生效并满足约定保障、计划和发票条件后支付20%，即¥652,000。</w:t>
      </w:r>
    </w:p>
    <w:p>
      <w:r>
        <w:rPr>
          <w:rFonts w:ascii="Arial" w:hAnsi="Arial" w:eastAsia="宋体"/>
          <w:b w:val="0"/>
          <w:i w:val="0"/>
          <w:color w:val="000000"/>
          <w:sz w:val="21"/>
        </w:rPr>
        <w:t>2. 需求规格和总体设计验收通过后支付20%，即¥652,000。</w:t>
      </w:r>
    </w:p>
    <w:p>
      <w:r>
        <w:rPr>
          <w:rFonts w:ascii="Arial" w:hAnsi="Arial" w:eastAsia="宋体"/>
          <w:b w:val="0"/>
          <w:i w:val="0"/>
          <w:color w:val="000000"/>
          <w:sz w:val="21"/>
        </w:rPr>
        <w:t>3. 配置开发、接口和集成测试阶段验收通过后支付30%，即¥978,000。</w:t>
      </w:r>
    </w:p>
    <w:p>
      <w:r>
        <w:rPr>
          <w:rFonts w:ascii="Arial" w:hAnsi="Arial" w:eastAsia="宋体"/>
          <w:b w:val="0"/>
          <w:i w:val="0"/>
          <w:color w:val="000000"/>
          <w:sz w:val="21"/>
        </w:rPr>
        <w:t>4. 最终验收通过、资料和资产移交完成后支付25%，即¥815,000。</w:t>
      </w:r>
    </w:p>
    <w:p>
      <w:r>
        <w:rPr>
          <w:rFonts w:ascii="Arial" w:hAnsi="Arial" w:eastAsia="宋体"/>
          <w:b w:val="0"/>
          <w:i w:val="0"/>
          <w:color w:val="000000"/>
          <w:sz w:val="21"/>
        </w:rPr>
        <w:t>5. 质保期12个月届满且无未关闭重大问题后支付5%，即¥163,000。</w:t>
      </w:r>
    </w:p>
    <w:p>
      <w:r>
        <w:rPr>
          <w:rFonts w:ascii="Arial" w:hAnsi="Arial" w:eastAsia="宋体"/>
          <w:b w:val="0"/>
          <w:i w:val="0"/>
          <w:color w:val="000000"/>
          <w:sz w:val="21"/>
        </w:rPr>
        <w:t>6. 每次付款以对应成果验收、合法发票、付款申请和甲方内部审批完成为前提。乙方收款账户须由正式盖章文件确认。</w:t>
      </w:r>
    </w:p>
    <w:p>
      <w:pPr>
        <w:pStyle w:val="Heading1"/>
      </w:pPr>
      <w:r>
        <w:t>第十二条 知识产权与第三方组件</w:t>
      </w:r>
    </w:p>
    <w:p>
      <w:r>
        <w:rPr>
          <w:rFonts w:ascii="Arial" w:hAnsi="Arial" w:eastAsia="宋体"/>
          <w:b w:val="0"/>
          <w:i w:val="0"/>
          <w:color w:val="000000"/>
          <w:sz w:val="21"/>
        </w:rPr>
        <w:t>1. 双方各自背景知识产权归原权利人所有。乙方应在交付物中标识背景知识产权、开源软件和第三方组件，并确保许可满足甲方使用、维护和扩展需要。</w:t>
      </w:r>
    </w:p>
    <w:p>
      <w:r>
        <w:rPr>
          <w:rFonts w:ascii="Arial" w:hAnsi="Arial" w:eastAsia="宋体"/>
          <w:b w:val="0"/>
          <w:i w:val="0"/>
          <w:color w:val="000000"/>
          <w:sz w:val="21"/>
        </w:rPr>
        <w:t>2. 为甲方需求专门开发并由甲方支付费用的定制成果，其知识产权归属或使用权应在正式法律审核中进一步确认；任何表述以双方最终签署文本为准。</w:t>
      </w:r>
    </w:p>
    <w:p>
      <w:r>
        <w:rPr>
          <w:rFonts w:ascii="Arial" w:hAnsi="Arial" w:eastAsia="宋体"/>
          <w:b w:val="0"/>
          <w:i w:val="0"/>
          <w:color w:val="000000"/>
          <w:sz w:val="21"/>
        </w:rPr>
        <w:t>3. 乙方保证交付物不侵犯第三方合法权益。发生权利主张时，乙方应负责处理并避免甲方业务中断，但具体责任范围需经法务确认。</w:t>
      </w:r>
    </w:p>
    <w:p>
      <w:pPr>
        <w:pStyle w:val="Heading1"/>
      </w:pPr>
      <w:r>
        <w:t>第十三条 保密</w:t>
      </w:r>
    </w:p>
    <w:p>
      <w:r>
        <w:rPr>
          <w:rFonts w:ascii="Arial" w:hAnsi="Arial" w:eastAsia="宋体"/>
          <w:b w:val="0"/>
          <w:i w:val="0"/>
          <w:color w:val="000000"/>
          <w:sz w:val="21"/>
        </w:rPr>
        <w:t>1. 双方对在履约中获悉的商业秘密、客户资料、报价、合同、技术、财务、人事和安全信息承担保密义务。</w:t>
      </w:r>
    </w:p>
    <w:p>
      <w:r>
        <w:rPr>
          <w:rFonts w:ascii="Arial" w:hAnsi="Arial" w:eastAsia="宋体"/>
          <w:b w:val="0"/>
          <w:i w:val="0"/>
          <w:color w:val="000000"/>
          <w:sz w:val="21"/>
        </w:rPr>
        <w:t>2. 接收方仅向有必要知悉且承担保密义务的人员披露。法定披露应在法律允许范围内提前通知对方。</w:t>
      </w:r>
    </w:p>
    <w:p>
      <w:r>
        <w:rPr>
          <w:rFonts w:ascii="Arial" w:hAnsi="Arial" w:eastAsia="宋体"/>
          <w:b w:val="0"/>
          <w:i w:val="0"/>
          <w:color w:val="000000"/>
          <w:sz w:val="21"/>
        </w:rPr>
        <w:t>3. 保密义务不因合同终止而当然解除；涉及商业秘密和个人信息的保护期限按法律和双方约定执行。</w:t>
      </w:r>
    </w:p>
    <w:p>
      <w:pPr>
        <w:pStyle w:val="Heading1"/>
      </w:pPr>
      <w:r>
        <w:t>第十四条 质保与服务等级</w:t>
      </w:r>
    </w:p>
    <w:p>
      <w:r>
        <w:rPr>
          <w:rFonts w:ascii="Arial" w:hAnsi="Arial" w:eastAsia="宋体"/>
          <w:b w:val="0"/>
          <w:i w:val="0"/>
          <w:color w:val="000000"/>
          <w:sz w:val="21"/>
        </w:rPr>
        <w:t>1. 质保期自最终验收之日起12个月。质保范围内因乙方交付缺陷产生的修复、必要支持和文档更新包含在合同价内。</w:t>
      </w:r>
    </w:p>
    <w:p>
      <w:r>
        <w:rPr>
          <w:rFonts w:ascii="Arial" w:hAnsi="Arial" w:eastAsia="宋体"/>
          <w:b w:val="0"/>
          <w:i w:val="0"/>
          <w:color w:val="000000"/>
          <w:sz w:val="21"/>
        </w:rPr>
        <w:t>2. P1事件15分钟响应、4小时恢复；P2事件30分钟响应、8小时恢复；P3事件4小时响应、2个工作日解决或给出计划；P4事件1个工作日响应、5个工作日处理。</w:t>
      </w:r>
    </w:p>
    <w:p>
      <w:r>
        <w:rPr>
          <w:rFonts w:ascii="Arial" w:hAnsi="Arial" w:eastAsia="宋体"/>
          <w:b w:val="0"/>
          <w:i w:val="0"/>
          <w:color w:val="000000"/>
          <w:sz w:val="21"/>
        </w:rPr>
        <w:t>3. 乙方应提供服务台、事件记录、根因分析和月度服务报告。重复或重大问题应形成预防措施。</w:t>
      </w:r>
    </w:p>
    <w:p>
      <w:pPr>
        <w:pStyle w:val="Heading1"/>
      </w:pPr>
      <w:r>
        <w:t>第十五条 违约责任</w:t>
      </w:r>
    </w:p>
    <w:p>
      <w:r>
        <w:rPr>
          <w:rFonts w:ascii="Arial" w:hAnsi="Arial" w:eastAsia="宋体"/>
          <w:b w:val="0"/>
          <w:i w:val="0"/>
          <w:color w:val="000000"/>
          <w:sz w:val="21"/>
        </w:rPr>
        <w:t>1. 一方未按合同履行的，应在收到通知后及时纠正并赔偿对方可证明的直接损失。进度延误、验收不合格、安全事件、知识产权侵权和保密违约的具体责任由双方正式合同及法务审核确定。</w:t>
      </w:r>
    </w:p>
    <w:p>
      <w:r>
        <w:rPr>
          <w:rFonts w:ascii="Arial" w:hAnsi="Arial" w:eastAsia="宋体"/>
          <w:b w:val="0"/>
          <w:i w:val="0"/>
          <w:color w:val="000000"/>
          <w:sz w:val="21"/>
        </w:rPr>
        <w:t>2. 任何违约金比例、责任上限和例外情形均属于高风险法律条款，本教学文本不替代法务意见，正式签署前必须单独确认。</w:t>
      </w:r>
    </w:p>
    <w:p>
      <w:pPr>
        <w:pStyle w:val="Heading1"/>
      </w:pPr>
      <w:r>
        <w:t>第十六条 合同暂停与终止</w:t>
      </w:r>
    </w:p>
    <w:p>
      <w:r>
        <w:rPr>
          <w:rFonts w:ascii="Arial" w:hAnsi="Arial" w:eastAsia="宋体"/>
          <w:b w:val="0"/>
          <w:i w:val="0"/>
          <w:color w:val="000000"/>
          <w:sz w:val="21"/>
        </w:rPr>
        <w:t>1. 发生重大违约、持续未整改、资不抵债、违法或重大安全风险时，守约方可按合同通知要求暂停或终止。</w:t>
      </w:r>
    </w:p>
    <w:p>
      <w:r>
        <w:rPr>
          <w:rFonts w:ascii="Arial" w:hAnsi="Arial" w:eastAsia="宋体"/>
          <w:b w:val="0"/>
          <w:i w:val="0"/>
          <w:color w:val="000000"/>
          <w:sz w:val="21"/>
        </w:rPr>
        <w:t>2. 合同终止不影响已产生的付款、保密、知识产权、数据返还、责任和争议解决条款。乙方应配合平稳移交，避免甲方业务中断。</w:t>
      </w:r>
    </w:p>
    <w:p>
      <w:pPr>
        <w:pStyle w:val="Heading1"/>
      </w:pPr>
      <w:r>
        <w:t>第十七条 不可抗力</w:t>
      </w:r>
    </w:p>
    <w:p>
      <w:r>
        <w:rPr>
          <w:rFonts w:ascii="Arial" w:hAnsi="Arial" w:eastAsia="宋体"/>
          <w:b w:val="0"/>
          <w:i w:val="0"/>
          <w:color w:val="000000"/>
          <w:sz w:val="21"/>
        </w:rPr>
        <w:t>1. 受不可抗力影响的一方应及时通知、提供合理证明并采取减损措施。双方根据影响协商计划调整；金钱给付义务和可避免的管理失误不当然免除。</w:t>
      </w:r>
    </w:p>
    <w:p>
      <w:pPr>
        <w:pStyle w:val="Heading1"/>
      </w:pPr>
      <w:r>
        <w:t>第十八条 争议解决与适用法律</w:t>
      </w:r>
    </w:p>
    <w:p>
      <w:r>
        <w:rPr>
          <w:rFonts w:ascii="Arial" w:hAnsi="Arial" w:eastAsia="宋体"/>
          <w:b w:val="0"/>
          <w:i w:val="0"/>
          <w:color w:val="000000"/>
          <w:sz w:val="21"/>
        </w:rPr>
        <w:t>1. 本合同适用中华人民共和国法律。争议首先由项目经理和管理层协商；协商不成的管辖或仲裁方式须由双方在正式签署前经法务确认。</w:t>
      </w:r>
    </w:p>
    <w:p>
      <w:pPr>
        <w:pStyle w:val="Heading1"/>
      </w:pPr>
      <w:r>
        <w:t>第十九条 通知、文本与生效</w:t>
      </w:r>
    </w:p>
    <w:p>
      <w:r>
        <w:rPr>
          <w:rFonts w:ascii="Arial" w:hAnsi="Arial" w:eastAsia="宋体"/>
          <w:b w:val="0"/>
          <w:i w:val="0"/>
          <w:color w:val="000000"/>
          <w:sz w:val="21"/>
        </w:rPr>
        <w:t>1. 合同通知应发送至双方确认的地址或邮箱；涉及价款、范围、终止和权利放弃的通知应采用可留痕的正式方式。</w:t>
      </w:r>
    </w:p>
    <w:p>
      <w:r>
        <w:rPr>
          <w:rFonts w:ascii="Arial" w:hAnsi="Arial" w:eastAsia="宋体"/>
          <w:b w:val="0"/>
          <w:i w:val="0"/>
          <w:color w:val="000000"/>
          <w:sz w:val="21"/>
        </w:rPr>
        <w:t>2. 本合同正文、附件和经双方授权签署的变更文件构成完整合同。若内容冲突，按双方正式约定的优先顺序解释。</w:t>
      </w:r>
    </w:p>
    <w:p>
      <w:r>
        <w:rPr>
          <w:rFonts w:ascii="Arial" w:hAnsi="Arial" w:eastAsia="宋体"/>
          <w:b w:val="0"/>
          <w:i w:val="0"/>
          <w:color w:val="000000"/>
          <w:sz w:val="21"/>
        </w:rPr>
        <w:t>3. 合同经双方授权代表签署并盖章后生效。本教学文本不生成签名、印章或真实账户信息。</w:t>
      </w:r>
    </w:p>
    <w:p>
      <w:pPr>
        <w:pStyle w:val="Heading1"/>
      </w:pPr>
      <w:r>
        <w:t>附件一：交付物清单</w:t>
      </w:r>
    </w:p>
    <w:tbl>
      <w:tblPr>
        <w:tblStyle w:val="TableGrid"/>
        <w:tblW w:type="dxa" w:w="8844"/>
        <w:jc w:val="left"/>
        <w:tblLayout w:type="fixed"/>
        <w:tblLook w:firstColumn="1" w:firstRow="1" w:lastColumn="0" w:lastRow="0" w:noHBand="0" w:noVBand="1" w:val="04A0"/>
        <w:tblInd w:w="120" w:type="dxa"/>
      </w:tblPr>
      <w:tblGrid>
        <w:gridCol w:w="680"/>
        <w:gridCol w:w="2948"/>
        <w:gridCol w:w="1417"/>
        <w:gridCol w:w="1871"/>
        <w:gridCol w:w="1928"/>
      </w:tblGrid>
      <w:tr>
        <w:trPr>
          <w:tblHeader w:val="true"/>
          <w:cantSplit/>
        </w:trPr>
        <w:tc>
          <w:tcPr>
            <w:tcW w:type="dxa" w:w="680"/>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序号</w:t>
            </w:r>
          </w:p>
        </w:tc>
        <w:tc>
          <w:tcPr>
            <w:tcW w:type="dxa" w:w="2948"/>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交付物</w:t>
            </w:r>
          </w:p>
        </w:tc>
        <w:tc>
          <w:tcPr>
            <w:tcW w:type="dxa" w:w="1417"/>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计划阶段</w:t>
            </w:r>
          </w:p>
        </w:tc>
        <w:tc>
          <w:tcPr>
            <w:tcW w:type="dxa" w:w="1871"/>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介质/格式</w:t>
            </w:r>
          </w:p>
        </w:tc>
        <w:tc>
          <w:tcPr>
            <w:tcW w:type="dxa" w:w="1928"/>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验收责任</w:t>
            </w:r>
          </w:p>
        </w:tc>
      </w:tr>
      <w:tr>
        <w:trPr>
          <w:cantSplit/>
        </w:trPr>
        <w:tc>
          <w:tcPr>
            <w:tcW w:type="dxa" w:w="68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1</w:t>
            </w:r>
          </w:p>
        </w:tc>
        <w:tc>
          <w:tcPr>
            <w:tcW w:type="dxa" w:w="2948"/>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7"/>
              </w:rPr>
              <w:t>项目计划、沟通计划、风险清单</w:t>
            </w:r>
          </w:p>
        </w:tc>
        <w:tc>
          <w:tcPr>
            <w:tcW w:type="dxa" w:w="141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启动</w:t>
            </w:r>
          </w:p>
        </w:tc>
        <w:tc>
          <w:tcPr>
            <w:tcW w:type="dxa" w:w="187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可编辑文件+PDF</w:t>
            </w:r>
          </w:p>
        </w:tc>
        <w:tc>
          <w:tcPr>
            <w:tcW w:type="dxa" w:w="192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陈致远</w:t>
            </w:r>
          </w:p>
        </w:tc>
      </w:tr>
      <w:tr>
        <w:trPr>
          <w:cantSplit/>
        </w:trPr>
        <w:tc>
          <w:tcPr>
            <w:tcW w:type="dxa" w:w="68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2</w:t>
            </w:r>
          </w:p>
        </w:tc>
        <w:tc>
          <w:tcPr>
            <w:tcW w:type="dxa" w:w="2948"/>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7"/>
              </w:rPr>
              <w:t>需求规格、原型、数据字典、接口清单</w:t>
            </w:r>
          </w:p>
        </w:tc>
        <w:tc>
          <w:tcPr>
            <w:tcW w:type="dxa" w:w="141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需求</w:t>
            </w:r>
          </w:p>
        </w:tc>
        <w:tc>
          <w:tcPr>
            <w:tcW w:type="dxa" w:w="187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可编辑文件+配置</w:t>
            </w:r>
          </w:p>
        </w:tc>
        <w:tc>
          <w:tcPr>
            <w:tcW w:type="dxa" w:w="192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林若岚/高一川</w:t>
            </w:r>
          </w:p>
        </w:tc>
      </w:tr>
      <w:tr>
        <w:trPr>
          <w:cantSplit/>
        </w:trPr>
        <w:tc>
          <w:tcPr>
            <w:tcW w:type="dxa" w:w="68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3</w:t>
            </w:r>
          </w:p>
        </w:tc>
        <w:tc>
          <w:tcPr>
            <w:tcW w:type="dxa" w:w="294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总体、详细和安全设计</w:t>
            </w:r>
          </w:p>
        </w:tc>
        <w:tc>
          <w:tcPr>
            <w:tcW w:type="dxa" w:w="141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设计</w:t>
            </w:r>
          </w:p>
        </w:tc>
        <w:tc>
          <w:tcPr>
            <w:tcW w:type="dxa" w:w="187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可编辑文件+PDF</w:t>
            </w:r>
          </w:p>
        </w:tc>
        <w:tc>
          <w:tcPr>
            <w:tcW w:type="dxa" w:w="192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高一川/彭子墨</w:t>
            </w:r>
          </w:p>
        </w:tc>
      </w:tr>
      <w:tr>
        <w:trPr>
          <w:cantSplit/>
        </w:trPr>
        <w:tc>
          <w:tcPr>
            <w:tcW w:type="dxa" w:w="68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4</w:t>
            </w:r>
          </w:p>
        </w:tc>
        <w:tc>
          <w:tcPr>
            <w:tcW w:type="dxa" w:w="2948"/>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7"/>
              </w:rPr>
              <w:t>配置、代码、脚本、接口和单元测试</w:t>
            </w:r>
          </w:p>
        </w:tc>
        <w:tc>
          <w:tcPr>
            <w:tcW w:type="dxa" w:w="141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构建</w:t>
            </w:r>
          </w:p>
        </w:tc>
        <w:tc>
          <w:tcPr>
            <w:tcW w:type="dxa" w:w="187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受控代码库/文档</w:t>
            </w:r>
          </w:p>
        </w:tc>
        <w:tc>
          <w:tcPr>
            <w:tcW w:type="dxa" w:w="192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高一川</w:t>
            </w:r>
          </w:p>
        </w:tc>
      </w:tr>
      <w:tr>
        <w:trPr>
          <w:cantSplit/>
        </w:trPr>
        <w:tc>
          <w:tcPr>
            <w:tcW w:type="dxa" w:w="68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5</w:t>
            </w:r>
          </w:p>
        </w:tc>
        <w:tc>
          <w:tcPr>
            <w:tcW w:type="dxa" w:w="2948"/>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7"/>
              </w:rPr>
              <w:t>功能、集成、性能、安全和迁移报告</w:t>
            </w:r>
          </w:p>
        </w:tc>
        <w:tc>
          <w:tcPr>
            <w:tcW w:type="dxa" w:w="141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测试迁移</w:t>
            </w:r>
          </w:p>
        </w:tc>
        <w:tc>
          <w:tcPr>
            <w:tcW w:type="dxa" w:w="187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报告+证据</w:t>
            </w:r>
          </w:p>
        </w:tc>
        <w:tc>
          <w:tcPr>
            <w:tcW w:type="dxa" w:w="192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高一川/彭子墨</w:t>
            </w:r>
          </w:p>
        </w:tc>
      </w:tr>
      <w:tr>
        <w:trPr>
          <w:cantSplit/>
        </w:trPr>
        <w:tc>
          <w:tcPr>
            <w:tcW w:type="dxa" w:w="68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6</w:t>
            </w:r>
          </w:p>
        </w:tc>
        <w:tc>
          <w:tcPr>
            <w:tcW w:type="dxa" w:w="2948"/>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7"/>
              </w:rPr>
              <w:t>培训资料、签到、反馈、试运行报告</w:t>
            </w:r>
          </w:p>
        </w:tc>
        <w:tc>
          <w:tcPr>
            <w:tcW w:type="dxa" w:w="141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试运行</w:t>
            </w:r>
          </w:p>
        </w:tc>
        <w:tc>
          <w:tcPr>
            <w:tcW w:type="dxa" w:w="187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文档+记录</w:t>
            </w:r>
          </w:p>
        </w:tc>
        <w:tc>
          <w:tcPr>
            <w:tcW w:type="dxa" w:w="192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吴桐/林若岚</w:t>
            </w:r>
          </w:p>
        </w:tc>
      </w:tr>
      <w:tr>
        <w:trPr>
          <w:cantSplit/>
        </w:trPr>
        <w:tc>
          <w:tcPr>
            <w:tcW w:type="dxa" w:w="68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7</w:t>
            </w:r>
          </w:p>
        </w:tc>
        <w:tc>
          <w:tcPr>
            <w:tcW w:type="dxa" w:w="2948"/>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7"/>
              </w:rPr>
              <w:t>验收报告、运维手册、资产和许可清单</w:t>
            </w:r>
          </w:p>
        </w:tc>
        <w:tc>
          <w:tcPr>
            <w:tcW w:type="dxa" w:w="141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验收</w:t>
            </w:r>
          </w:p>
        </w:tc>
        <w:tc>
          <w:tcPr>
            <w:tcW w:type="dxa" w:w="187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可编辑文件+PDF</w:t>
            </w:r>
          </w:p>
        </w:tc>
        <w:tc>
          <w:tcPr>
            <w:tcW w:type="dxa" w:w="192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陈致远/林若岚</w:t>
            </w:r>
          </w:p>
        </w:tc>
      </w:tr>
    </w:tbl>
    <w:p>
      <w:pPr>
        <w:spacing w:after="0"/>
      </w:pPr>
    </w:p>
    <w:p>
      <w:pPr>
        <w:pStyle w:val="Heading1"/>
      </w:pPr>
      <w:r>
        <w:t>附件二：里程碑与付款</w:t>
      </w:r>
    </w:p>
    <w:tbl>
      <w:tblPr>
        <w:tblStyle w:val="TableGrid"/>
        <w:tblW w:type="dxa" w:w="8843"/>
        <w:jc w:val="left"/>
        <w:tblLayout w:type="fixed"/>
        <w:tblLook w:firstColumn="1" w:firstRow="1" w:lastColumn="0" w:lastRow="0" w:noHBand="0" w:noVBand="1" w:val="04A0"/>
        <w:tblInd w:w="120" w:type="dxa"/>
      </w:tblPr>
      <w:tblGrid>
        <w:gridCol w:w="1814"/>
        <w:gridCol w:w="1587"/>
        <w:gridCol w:w="1020"/>
        <w:gridCol w:w="1701"/>
        <w:gridCol w:w="2721"/>
      </w:tblGrid>
      <w:tr>
        <w:trPr>
          <w:tblHeader w:val="true"/>
          <w:cantSplit/>
        </w:trPr>
        <w:tc>
          <w:tcPr>
            <w:tcW w:type="dxa" w:w="1814"/>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里程碑</w:t>
            </w:r>
          </w:p>
        </w:tc>
        <w:tc>
          <w:tcPr>
            <w:tcW w:type="dxa" w:w="1587"/>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日期</w:t>
            </w:r>
          </w:p>
        </w:tc>
        <w:tc>
          <w:tcPr>
            <w:tcW w:type="dxa" w:w="1020"/>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比例</w:t>
            </w:r>
          </w:p>
        </w:tc>
        <w:tc>
          <w:tcPr>
            <w:tcW w:type="dxa" w:w="1701"/>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金额</w:t>
            </w:r>
          </w:p>
        </w:tc>
        <w:tc>
          <w:tcPr>
            <w:tcW w:type="dxa" w:w="2721"/>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7"/>
              </w:rPr>
              <w:t>验收证据</w:t>
            </w:r>
          </w:p>
        </w:tc>
      </w:tr>
      <w:tr>
        <w:trPr>
          <w:cantSplit/>
        </w:trPr>
        <w:tc>
          <w:tcPr>
            <w:tcW w:type="dxa" w:w="1814"/>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合同生效</w:t>
            </w:r>
          </w:p>
        </w:tc>
        <w:tc>
          <w:tcPr>
            <w:tcW w:type="dxa" w:w="158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2026-10-15</w:t>
            </w:r>
          </w:p>
        </w:tc>
        <w:tc>
          <w:tcPr>
            <w:tcW w:type="dxa" w:w="102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20%</w:t>
            </w:r>
          </w:p>
        </w:tc>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¥652,000</w:t>
            </w:r>
          </w:p>
        </w:tc>
        <w:tc>
          <w:tcPr>
            <w:tcW w:type="dxa" w:w="272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合同、计划、保障、发票</w:t>
            </w:r>
          </w:p>
        </w:tc>
      </w:tr>
      <w:tr>
        <w:trPr>
          <w:cantSplit/>
        </w:trPr>
        <w:tc>
          <w:tcPr>
            <w:tcW w:type="dxa" w:w="1814"/>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需求与设计</w:t>
            </w:r>
          </w:p>
        </w:tc>
        <w:tc>
          <w:tcPr>
            <w:tcW w:type="dxa" w:w="158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2026-12-18</w:t>
            </w:r>
          </w:p>
        </w:tc>
        <w:tc>
          <w:tcPr>
            <w:tcW w:type="dxa" w:w="102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20%</w:t>
            </w:r>
          </w:p>
        </w:tc>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¥652,000</w:t>
            </w:r>
          </w:p>
        </w:tc>
        <w:tc>
          <w:tcPr>
            <w:tcW w:type="dxa" w:w="272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需求和总体设计验收</w:t>
            </w:r>
          </w:p>
        </w:tc>
      </w:tr>
      <w:tr>
        <w:trPr>
          <w:cantSplit/>
        </w:trPr>
        <w:tc>
          <w:tcPr>
            <w:tcW w:type="dxa" w:w="1814"/>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构建与集成</w:t>
            </w:r>
          </w:p>
        </w:tc>
        <w:tc>
          <w:tcPr>
            <w:tcW w:type="dxa" w:w="158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2027-03-19</w:t>
            </w:r>
          </w:p>
        </w:tc>
        <w:tc>
          <w:tcPr>
            <w:tcW w:type="dxa" w:w="102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30%</w:t>
            </w:r>
          </w:p>
        </w:tc>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¥978,000</w:t>
            </w:r>
          </w:p>
        </w:tc>
        <w:tc>
          <w:tcPr>
            <w:tcW w:type="dxa" w:w="272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阶段验收与测试报告</w:t>
            </w:r>
          </w:p>
        </w:tc>
      </w:tr>
      <w:tr>
        <w:trPr>
          <w:cantSplit/>
        </w:trPr>
        <w:tc>
          <w:tcPr>
            <w:tcW w:type="dxa" w:w="1814"/>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最终验收</w:t>
            </w:r>
          </w:p>
        </w:tc>
        <w:tc>
          <w:tcPr>
            <w:tcW w:type="dxa" w:w="158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2027-04-19</w:t>
            </w:r>
          </w:p>
        </w:tc>
        <w:tc>
          <w:tcPr>
            <w:tcW w:type="dxa" w:w="102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25%</w:t>
            </w:r>
          </w:p>
        </w:tc>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¥815,000</w:t>
            </w:r>
          </w:p>
        </w:tc>
        <w:tc>
          <w:tcPr>
            <w:tcW w:type="dxa" w:w="272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最终验收和移交</w:t>
            </w:r>
          </w:p>
        </w:tc>
      </w:tr>
      <w:tr>
        <w:trPr>
          <w:cantSplit/>
        </w:trPr>
        <w:tc>
          <w:tcPr>
            <w:tcW w:type="dxa" w:w="1814"/>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质保期满</w:t>
            </w:r>
          </w:p>
        </w:tc>
        <w:tc>
          <w:tcPr>
            <w:tcW w:type="dxa" w:w="1587"/>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2028-04-18</w:t>
            </w:r>
          </w:p>
        </w:tc>
        <w:tc>
          <w:tcPr>
            <w:tcW w:type="dxa" w:w="1020"/>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5%</w:t>
            </w:r>
          </w:p>
        </w:tc>
        <w:tc>
          <w:tcPr>
            <w:tcW w:type="dxa" w:w="170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¥163,000</w:t>
            </w:r>
          </w:p>
        </w:tc>
        <w:tc>
          <w:tcPr>
            <w:tcW w:type="dxa" w:w="2721"/>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7"/>
              </w:rPr>
              <w:t>质保总结和问题清零</w:t>
            </w:r>
          </w:p>
        </w:tc>
      </w:tr>
    </w:tbl>
    <w:p>
      <w:pPr>
        <w:spacing w:after="0"/>
      </w:pPr>
    </w:p>
    <w:p>
      <w:pPr>
        <w:pStyle w:val="Heading1"/>
      </w:pPr>
      <w:r>
        <w:t>签署页</w:t>
      </w:r>
    </w:p>
    <w:tbl>
      <w:tblPr>
        <w:tblStyle w:val="TableGrid"/>
        <w:tblW w:type="dxa" w:w="8844"/>
        <w:jc w:val="left"/>
        <w:tblLayout w:type="fixed"/>
        <w:tblLook w:firstColumn="1" w:firstRow="1" w:lastColumn="0" w:lastRow="0" w:noHBand="0" w:noVBand="1" w:val="04A0"/>
        <w:tblInd w:w="120" w:type="dxa"/>
      </w:tblPr>
      <w:tblGrid>
        <w:gridCol w:w="8844"/>
      </w:tblGrid>
      <w:tr>
        <w:trPr>
          <w:cantSplit/>
        </w:trPr>
        <w:tc>
          <w:tcPr>
            <w:tcW w:type="dxa" w:w="8844"/>
            <w:tcMar>
              <w:top w:w="90" w:type="dxa"/>
              <w:start w:w="120" w:type="dxa"/>
              <w:bottom w:w="90" w:type="dxa"/>
              <w:end w:w="120" w:type="dxa"/>
            </w:tcMar>
            <w:shd w:fill="F2F2F2"/>
          </w:tcPr>
          <w:p>
            <w:pPr>
              <w:spacing w:after="0"/>
            </w:pPr>
            <w:r>
              <w:rPr>
                <w:rFonts w:ascii="Arial" w:hAnsi="Arial" w:eastAsia="宋体"/>
                <w:b w:val="0"/>
                <w:i w:val="0"/>
                <w:color w:val="444444"/>
                <w:sz w:val="19"/>
              </w:rPr>
              <w:t>以下签字、盖章、授权和日期栏仅为模板。正式合同必须由双方核验主体、授权、账户、税务和法律条款后签署。</w:t>
            </w:r>
          </w:p>
        </w:tc>
      </w:tr>
    </w:tbl>
    <w:tbl>
      <w:tblPr>
        <w:tblStyle w:val="TableGrid"/>
        <w:tblW w:type="dxa" w:w="8844"/>
        <w:jc w:val="left"/>
        <w:tblLayout w:type="fixed"/>
        <w:tblLook w:firstColumn="1" w:firstRow="1" w:lastColumn="0" w:lastRow="0" w:noHBand="0" w:noVBand="1" w:val="04A0"/>
        <w:tblInd w:w="120" w:type="dxa"/>
      </w:tblPr>
      <w:tblGrid>
        <w:gridCol w:w="4422"/>
        <w:gridCol w:w="4422"/>
      </w:tblGrid>
      <w:tr>
        <w:trPr>
          <w:tblHeader w:val="true"/>
          <w:cantSplit/>
        </w:trPr>
        <w:tc>
          <w:tcPr>
            <w:tcW w:type="dxa" w:w="4422"/>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8"/>
              </w:rPr>
              <w:t>甲方</w:t>
            </w:r>
          </w:p>
        </w:tc>
        <w:tc>
          <w:tcPr>
            <w:tcW w:type="dxa" w:w="4422"/>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8"/>
              </w:rPr>
              <w:t>乙方</w:t>
            </w:r>
          </w:p>
        </w:tc>
      </w:tr>
      <w:tr>
        <w:trPr>
          <w:cantSplit/>
        </w:trPr>
        <w:tc>
          <w:tcPr>
            <w:tcW w:type="dxa" w:w="442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名称：上海澄岳智能装备有限公司</w:t>
            </w:r>
          </w:p>
        </w:tc>
        <w:tc>
          <w:tcPr>
            <w:tcW w:type="dxa" w:w="442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名称：杭州远序数字科技有限公司</w:t>
            </w:r>
          </w:p>
        </w:tc>
      </w:tr>
      <w:tr>
        <w:trPr>
          <w:cantSplit/>
        </w:trPr>
        <w:tc>
          <w:tcPr>
            <w:tcW w:type="dxa" w:w="442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授权代表（签字）：____________</w:t>
            </w:r>
          </w:p>
        </w:tc>
        <w:tc>
          <w:tcPr>
            <w:tcW w:type="dxa" w:w="442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授权代表（签字）：____________</w:t>
            </w:r>
          </w:p>
        </w:tc>
      </w:tr>
      <w:tr>
        <w:trPr>
          <w:cantSplit/>
        </w:trPr>
        <w:tc>
          <w:tcPr>
            <w:tcW w:type="dxa" w:w="442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盖章：____________</w:t>
            </w:r>
          </w:p>
        </w:tc>
        <w:tc>
          <w:tcPr>
            <w:tcW w:type="dxa" w:w="442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盖章：____________</w:t>
            </w:r>
          </w:p>
        </w:tc>
      </w:tr>
      <w:tr>
        <w:trPr>
          <w:cantSplit/>
        </w:trPr>
        <w:tc>
          <w:tcPr>
            <w:tcW w:type="dxa" w:w="442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签署日期：____年__月__日</w:t>
            </w:r>
          </w:p>
        </w:tc>
        <w:tc>
          <w:tcPr>
            <w:tcW w:type="dxa" w:w="4422"/>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签署日期：____年__月__日</w:t>
            </w:r>
          </w:p>
        </w:tc>
      </w:tr>
    </w:tbl>
    <w:p>
      <w:pPr>
        <w:spacing w:after="0"/>
      </w:pPr>
    </w:p>
    <w:p>
      <w:r>
        <w:br w:type="page"/>
      </w:r>
    </w:p>
    <w:p>
      <w:pPr>
        <w:pStyle w:val="Heading1"/>
      </w:pPr>
      <w:r>
        <w:t>补充协议（一）</w:t>
      </w:r>
    </w:p>
    <w:p>
      <w:pPr>
        <w:ind w:firstLine="420"/>
        <w:jc w:val="both"/>
      </w:pPr>
      <w:r>
        <w:rPr>
          <w:rFonts w:ascii="Arial" w:hAnsi="Arial" w:eastAsia="宋体"/>
          <w:b w:val="0"/>
          <w:i w:val="0"/>
          <w:color w:val="000000"/>
          <w:sz w:val="21"/>
        </w:rPr>
        <w:t>甲方上海澄岳智能装备有限公司与乙方杭州远序数字科技有限公司就CYHT-2026-048合同执行事项达成以下补充约定。本补充协议与主合同具有同等效力；不一致处以本补充协议为准。</w:t>
      </w:r>
    </w:p>
    <w:tbl>
      <w:tblPr>
        <w:tblStyle w:val="TableGrid"/>
        <w:tblW w:type="dxa" w:w="8844"/>
        <w:jc w:val="left"/>
        <w:tblLayout w:type="fixed"/>
        <w:tblLook w:firstColumn="1" w:firstRow="1" w:lastColumn="0" w:lastRow="0" w:noHBand="0" w:noVBand="1" w:val="04A0"/>
        <w:tblInd w:w="120" w:type="dxa"/>
      </w:tblPr>
      <w:tblGrid>
        <w:gridCol w:w="2268"/>
        <w:gridCol w:w="6576"/>
      </w:tblGrid>
      <w:tr>
        <w:trPr>
          <w:tblHeader w:val="true"/>
          <w:cantSplit/>
        </w:trPr>
        <w:tc>
          <w:tcPr>
            <w:tcW w:type="dxa" w:w="2268"/>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8"/>
              </w:rPr>
              <w:t>事项</w:t>
            </w:r>
          </w:p>
        </w:tc>
        <w:tc>
          <w:tcPr>
            <w:tcW w:type="dxa" w:w="6576"/>
            <w:shd w:fill="E6E6E6"/>
            <w:vAlign w:val="center"/>
            <w:tcMar>
              <w:top w:w="90" w:type="dxa"/>
              <w:start w:w="120" w:type="dxa"/>
              <w:bottom w:w="90" w:type="dxa"/>
              <w:end w:w="120" w:type="dxa"/>
            </w:tcMar>
          </w:tcPr>
          <w:p>
            <w:pPr>
              <w:spacing w:after="0"/>
              <w:jc w:val="center"/>
            </w:pPr>
            <w:r>
              <w:rPr>
                <w:rFonts w:ascii="Arial" w:hAnsi="Arial" w:eastAsia="黑体"/>
                <w:b/>
                <w:i w:val="0"/>
                <w:color w:val="000000"/>
                <w:sz w:val="18"/>
              </w:rPr>
              <w:t>补充约定</w:t>
            </w:r>
          </w:p>
        </w:tc>
      </w:tr>
      <w:tr>
        <w:trPr>
          <w:cantSplit/>
        </w:trPr>
        <w:tc>
          <w:tcPr>
            <w:tcW w:type="dxa" w:w="226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账号与并发</w:t>
            </w:r>
          </w:p>
        </w:tc>
        <w:tc>
          <w:tcPr>
            <w:tcW w:type="dxa" w:w="6576"/>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本期正式采购范围为680个注册用户、并发不少于300人；乙方投标文件所述720账号为产品扩展能力，不增加合同价。</w:t>
            </w:r>
          </w:p>
        </w:tc>
      </w:tr>
      <w:tr>
        <w:trPr>
          <w:cantSplit/>
        </w:trPr>
        <w:tc>
          <w:tcPr>
            <w:tcW w:type="dxa" w:w="226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上线与验收</w:t>
            </w:r>
          </w:p>
        </w:tc>
        <w:tc>
          <w:tcPr>
            <w:tcW w:type="dxa" w:w="6576"/>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计划于2027年4月12日前完成生产切换，2027年4月19日完成最终验收；二者为不同里程碑。</w:t>
            </w:r>
          </w:p>
        </w:tc>
      </w:tr>
      <w:tr>
        <w:trPr>
          <w:cantSplit/>
        </w:trPr>
        <w:tc>
          <w:tcPr>
            <w:tcW w:type="dxa" w:w="226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项目经理</w:t>
            </w:r>
          </w:p>
        </w:tc>
        <w:tc>
          <w:tcPr>
            <w:tcW w:type="dxa" w:w="6576"/>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乙方正式项目经理仍为唐明宇。临时代理会议职责须留痕，不构成人员变更。</w:t>
            </w:r>
          </w:p>
        </w:tc>
      </w:tr>
      <w:tr>
        <w:trPr>
          <w:cantSplit/>
        </w:trPr>
        <w:tc>
          <w:tcPr>
            <w:tcW w:type="dxa" w:w="226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付款资料</w:t>
            </w:r>
          </w:p>
        </w:tc>
        <w:tc>
          <w:tcPr>
            <w:tcW w:type="dxa" w:w="6576"/>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付款仍按主合同20%/20%/30%/25%/5%执行，付款以验收、发票和审批资料齐全为前提。</w:t>
            </w:r>
          </w:p>
        </w:tc>
      </w:tr>
      <w:tr>
        <w:trPr>
          <w:cantSplit/>
        </w:trPr>
        <w:tc>
          <w:tcPr>
            <w:tcW w:type="dxa" w:w="2268"/>
            <w:vAlign w:val="center"/>
            <w:tcMar>
              <w:top w:w="90" w:type="dxa"/>
              <w:start w:w="120" w:type="dxa"/>
              <w:bottom w:w="90" w:type="dxa"/>
              <w:end w:w="120" w:type="dxa"/>
            </w:tcMar>
          </w:tcPr>
          <w:p>
            <w:pPr>
              <w:spacing w:after="0" w:line="276" w:lineRule="auto"/>
              <w:jc w:val="center"/>
            </w:pPr>
            <w:r>
              <w:rPr>
                <w:rFonts w:ascii="Arial" w:hAnsi="Arial" w:eastAsia="宋体"/>
                <w:b w:val="0"/>
                <w:i w:val="0"/>
                <w:color w:val="000000"/>
                <w:sz w:val="18"/>
              </w:rPr>
              <w:t>生效</w:t>
            </w:r>
          </w:p>
        </w:tc>
        <w:tc>
          <w:tcPr>
            <w:tcW w:type="dxa" w:w="6576"/>
            <w:vAlign w:val="center"/>
            <w:tcMar>
              <w:top w:w="90" w:type="dxa"/>
              <w:start w:w="120" w:type="dxa"/>
              <w:bottom w:w="90" w:type="dxa"/>
              <w:end w:w="120" w:type="dxa"/>
            </w:tcMar>
          </w:tcPr>
          <w:p>
            <w:pPr>
              <w:spacing w:after="0" w:line="276" w:lineRule="auto"/>
              <w:jc w:val="left"/>
            </w:pPr>
            <w:r>
              <w:rPr>
                <w:rFonts w:ascii="Arial" w:hAnsi="Arial" w:eastAsia="宋体"/>
                <w:b w:val="0"/>
                <w:i w:val="0"/>
                <w:color w:val="000000"/>
                <w:sz w:val="18"/>
              </w:rPr>
              <w:t>双方授权代表签署后生效。教学文件不提供真实签章。</w:t>
            </w:r>
          </w:p>
        </w:tc>
      </w:tr>
    </w:tbl>
    <w:p>
      <w:pPr>
        <w:spacing w:after="0"/>
      </w:pPr>
    </w:p>
    <w:p>
      <w:pPr>
        <w:jc w:val="center"/>
      </w:pPr>
      <w:r>
        <w:rPr>
          <w:rFonts w:ascii="Arial" w:hAnsi="Arial" w:eastAsia="宋体"/>
          <w:b w:val="0"/>
          <w:i w:val="0"/>
          <w:color w:val="000000"/>
          <w:sz w:val="21"/>
        </w:rPr>
        <w:t>甲方授权代表：__________    乙方授权代表：__________</w:t>
      </w:r>
    </w:p>
    <w:p>
      <w:pPr>
        <w:jc w:val="center"/>
      </w:pPr>
      <w:r>
        <w:rPr>
          <w:rFonts w:ascii="Arial" w:hAnsi="Arial" w:eastAsia="宋体"/>
          <w:b w:val="0"/>
          <w:i w:val="0"/>
          <w:color w:val="000000"/>
          <w:sz w:val="21"/>
        </w:rPr>
        <w:t>签署日期：2026年12月20日</w:t>
      </w:r>
    </w:p>
    <w:sectPr w:rsidR="00FC693F" w:rsidRPr="0006063C" w:rsidSect="00034616">
      <w:headerReference w:type="default" r:id="rId9"/>
      <w:footerReference w:type="default" r:id="rId10"/>
      <w:pgSz w:w="11906" w:h="16838"/>
      <w:pgMar w:top="1417" w:right="1474" w:bottom="1417" w:left="158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宋体"/>
        <w:b w:val="0"/>
        <w:i w:val="0"/>
        <w:color w:val="666666"/>
        <w:sz w:val="17"/>
      </w:rPr>
      <w:t xml:space="preserve">第 </w:t>
    </w:r>
    <w:fldSimple w:instr="PAGE">
      <w:r>
        <w:t>1</w:t>
      </w:r>
    </w:fldSimple>
    <w:r>
      <w:rPr>
        <w:rFonts w:ascii="Arial" w:hAnsi="Arial" w:eastAsia="宋体"/>
        <w:b w:val="0"/>
        <w:i w:val="0"/>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宋体"/>
        <w:b w:val="0"/>
        <w:i w:val="0"/>
        <w:color w:val="666666"/>
        <w:sz w:val="17"/>
      </w:rPr>
      <w:t>教学模拟合同  |  CY-DCM-2026-01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60"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24" w:lineRule="auto"/>
      <w:ind w:left="420" w:hanging="210"/>
      <w:contextualSpacing/>
    </w:pPr>
    <w:rPr>
      <w:rFonts w:ascii="Arial" w:hAnsi="Arial"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24" w:lineRule="auto"/>
      <w:ind w:left="420" w:hanging="210"/>
      <w:contextualSpacing/>
    </w:pPr>
    <w:rPr>
      <w:rFonts w:ascii="Arial" w:hAnsi="Arial"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项目建设合同</dc:title>
  <dc:subject>项目协同与经营管理数字化平台建设项目课程教学模拟资料</dc:subject>
  <dc:creator>MEM课程教学资料编制组</dc:creator>
  <cp:keywords>MEM, 智能体, 知识库, 文档工作流</cp:keywords>
  <dc:description>generated by python-docx</dc:description>
  <cp:lastModifiedBy/>
  <cp:revision>1</cp:revision>
  <dcterms:created xsi:type="dcterms:W3CDTF">2013-12-23T23:15:00Z</dcterms:created>
  <dcterms:modified xsi:type="dcterms:W3CDTF">2013-12-23T23:15:00Z</dcterms:modified>
  <cp:category/>
</cp:coreProperties>
</file>