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left"/>
      </w:pPr>
      <w:r>
        <w:rPr>
          <w:rFonts w:ascii="Arial" w:hAnsi="Arial" w:eastAsia="黑体"/>
          <w:b/>
          <w:i w:val="0"/>
          <w:color w:val="000000"/>
          <w:sz w:val="44"/>
        </w:rPr>
        <w:t>项目管理计划书</w:t>
      </w:r>
    </w:p>
    <w:p>
      <w:pPr>
        <w:spacing w:after="560"/>
        <w:jc w:val="left"/>
      </w:pPr>
      <w:r>
        <w:rPr>
          <w:rFonts w:ascii="Arial" w:hAnsi="Arial" w:eastAsia="宋体"/>
          <w:b w:val="0"/>
          <w:i w:val="0"/>
          <w:color w:val="555555"/>
          <w:sz w:val="26"/>
        </w:rPr>
        <w:t>项目协同与经营管理数字化平台建设项目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68"/>
        <w:gridCol w:w="6576"/>
      </w:tblGrid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项目编号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CY-DCM-2026-01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版本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V0.9 / 2026-10-16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甲方项目经理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陈致远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乙方项目经理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唐明宇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计划状态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启动会讨论稿，待合同基线同步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EDED"/>
          </w:tcPr>
          <w:p>
            <w:r>
              <w:rPr>
                <w:rFonts w:ascii="Arial" w:hAnsi="Arial" w:eastAsia="黑体"/>
                <w:b/>
                <w:i w:val="0"/>
                <w:color w:val="000000"/>
                <w:sz w:val="20"/>
              </w:rPr>
              <w:t>文档性质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宋体"/>
                <w:b w:val="0"/>
                <w:i w:val="0"/>
                <w:color w:val="000000"/>
                <w:sz w:val="20"/>
              </w:rPr>
              <w:t>学生输入资料 / 教学模拟</w:t>
            </w:r>
          </w:p>
        </w:tc>
      </w:tr>
    </w:tbl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44"/>
      </w:tblGrid>
      <w:tr>
        <w:trPr>
          <w:cantSplit/>
        </w:trPr>
        <w:tc>
          <w:tcPr>
            <w:tcW w:type="dxa" w:w="8844"/>
            <w:tcMar>
              <w:top w:w="90" w:type="dxa"/>
              <w:start w:w="120" w:type="dxa"/>
              <w:bottom w:w="9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 w:eastAsia="宋体"/>
                <w:b w:val="0"/>
                <w:i w:val="0"/>
                <w:color w:val="444444"/>
                <w:sz w:val="19"/>
              </w:rPr>
              <w:t>本资料为课程教学模拟文件。企业、人员、地址、联系方式及业务数据均为虚构，不具有法律、采购、审计或人事效力。</w:t>
            </w:r>
          </w:p>
        </w:tc>
      </w:tr>
    </w:tbl>
    <w:p>
      <w:r>
        <w:br w:type="page"/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44"/>
      </w:tblGrid>
      <w:tr>
        <w:trPr>
          <w:cantSplit/>
        </w:trPr>
        <w:tc>
          <w:tcPr>
            <w:tcW w:type="dxa" w:w="8844"/>
            <w:tcMar>
              <w:top w:w="90" w:type="dxa"/>
              <w:start w:w="120" w:type="dxa"/>
              <w:bottom w:w="90" w:type="dxa"/>
              <w:end w:w="120" w:type="dxa"/>
            </w:tcMar>
            <w:shd w:fill="F2F2F2"/>
          </w:tcPr>
          <w:p>
            <w:pPr>
              <w:spacing w:after="0"/>
            </w:pPr>
            <w:r>
              <w:rPr>
                <w:rFonts w:ascii="Arial" w:hAnsi="Arial" w:eastAsia="宋体"/>
                <w:b w:val="0"/>
                <w:i w:val="0"/>
                <w:color w:val="444444"/>
                <w:sz w:val="19"/>
              </w:rPr>
              <w:t>本计划包含启动阶段形成的草案字段，学生应结合合同、补充协议和后续会议记录判断哪些内容需要更新。</w:t>
            </w:r>
          </w:p>
        </w:tc>
      </w:tr>
    </w:tbl>
    <w:p>
      <w:pPr>
        <w:pStyle w:val="Heading1"/>
      </w:pPr>
      <w:r>
        <w:t>一、项目目标和范围</w:t>
      </w:r>
    </w:p>
    <w:p>
      <w:pPr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项目旨在建立统一的项目主数据、WBS与计划、责任、预算成本、风险问题、合同付款、文档知识和经营分析体系，连接OA、ERP、HR、财务和统一身份系统。本期不包含ERP总账重构、生产MES改造和移动原生App开发。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14"/>
        <w:gridCol w:w="4082"/>
        <w:gridCol w:w="2948"/>
      </w:tblGrid>
      <w:tr>
        <w:trPr>
          <w:tblHeader w:val="true"/>
          <w:cantSplit/>
        </w:trPr>
        <w:tc>
          <w:tcPr>
            <w:tcW w:type="dxa" w:w="181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范围域</w:t>
            </w:r>
          </w:p>
        </w:tc>
        <w:tc>
          <w:tcPr>
            <w:tcW w:type="dxa" w:w="4082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本期内容</w:t>
            </w:r>
          </w:p>
        </w:tc>
        <w:tc>
          <w:tcPr>
            <w:tcW w:type="dxa" w:w="294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范围外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项目管理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组合、立项、WBS、里程碑、资源工时、风险问题变更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企业战略规划系统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经营财务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预算、承诺、实际、预计完工、合同付款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总账、税务申报、资金支付系统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协同知识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文档、会议、行动项、知识沉淀和通知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外部客户门户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集成</w:t>
            </w:r>
          </w:p>
        </w:tc>
        <w:tc>
          <w:tcPr>
            <w:tcW w:type="dxa" w:w="408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OA、ERP、HR、财务、SSO五类接口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MES和设备数据实时接入</w:t>
            </w:r>
          </w:p>
        </w:tc>
      </w:tr>
    </w:tbl>
    <w:p>
      <w:pPr>
        <w:spacing w:after="0"/>
      </w:pPr>
    </w:p>
    <w:p>
      <w:pPr>
        <w:pStyle w:val="Heading1"/>
      </w:pPr>
      <w:r>
        <w:t>二、项目治理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14"/>
        <w:gridCol w:w="2835"/>
        <w:gridCol w:w="2948"/>
        <w:gridCol w:w="1247"/>
      </w:tblGrid>
      <w:tr>
        <w:trPr>
          <w:tblHeader w:val="true"/>
          <w:cantSplit/>
        </w:trPr>
        <w:tc>
          <w:tcPr>
            <w:tcW w:type="dxa" w:w="181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层级</w:t>
            </w:r>
          </w:p>
        </w:tc>
        <w:tc>
          <w:tcPr>
            <w:tcW w:type="dxa" w:w="2835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成员</w:t>
            </w:r>
          </w:p>
        </w:tc>
        <w:tc>
          <w:tcPr>
            <w:tcW w:type="dxa" w:w="294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职责</w:t>
            </w:r>
          </w:p>
        </w:tc>
        <w:tc>
          <w:tcPr>
            <w:tcW w:type="dxa" w:w="124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频率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项目指导委员会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周启明、林若岚、乙方交付总监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重大范围、预算、里程碑和升级决策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月度/重大事项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项目管理组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陈致远、唐明宇、职能负责人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计划、风险、质量、资源和沟通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每周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业务与技术工作组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关键用户、技术、安全、乙方顾问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需求、设计、测试和迁移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按专题</w:t>
            </w:r>
          </w:p>
        </w:tc>
      </w:tr>
    </w:tbl>
    <w:p>
      <w:pPr>
        <w:spacing w:after="0"/>
      </w:pPr>
    </w:p>
    <w:p>
      <w:pPr>
        <w:pStyle w:val="Heading1"/>
      </w:pPr>
      <w:r>
        <w:t>三、计划基线</w:t>
      </w:r>
    </w:p>
    <w:tbl>
      <w:tblPr>
        <w:tblStyle w:val="TableGrid"/>
        <w:tblW w:type="dxa" w:w="884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0"/>
        <w:gridCol w:w="2154"/>
        <w:gridCol w:w="1247"/>
        <w:gridCol w:w="1247"/>
        <w:gridCol w:w="2268"/>
        <w:gridCol w:w="1247"/>
      </w:tblGrid>
      <w:tr>
        <w:trPr>
          <w:tblHeader w:val="true"/>
          <w:cantSplit/>
        </w:trPr>
        <w:tc>
          <w:tcPr>
            <w:tcW w:type="dxa" w:w="68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WBS</w:t>
            </w:r>
          </w:p>
        </w:tc>
        <w:tc>
          <w:tcPr>
            <w:tcW w:type="dxa" w:w="215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阶段/工作包</w:t>
            </w:r>
          </w:p>
        </w:tc>
        <w:tc>
          <w:tcPr>
            <w:tcW w:type="dxa" w:w="124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开始</w:t>
            </w:r>
          </w:p>
        </w:tc>
        <w:tc>
          <w:tcPr>
            <w:tcW w:type="dxa" w:w="124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结束</w:t>
            </w:r>
          </w:p>
        </w:tc>
        <w:tc>
          <w:tcPr>
            <w:tcW w:type="dxa" w:w="2268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里程碑/成果</w:t>
            </w:r>
          </w:p>
        </w:tc>
        <w:tc>
          <w:tcPr>
            <w:tcW w:type="dxa" w:w="124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负责人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1.0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启动与计划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2026-10-15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2026-10-30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启动会、详细计划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陈致远/唐明宇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2.0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需求与原型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2026-10-21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2026-11-20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需求规格V1.0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林若岚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3.0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总体与详细设计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2026-11-21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2026-12-25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设计评审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高一川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4.0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配置开发与接口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2026-12-19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2027-02-19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构建与接口完成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叶知行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5.0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测试与迁移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2027-02-20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2027-03-19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测试和迁移通过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唐明宇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6.0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培训与试运行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2027-03-22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2027-04-12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生产切换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陈致远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7.0</w:t>
            </w:r>
          </w:p>
        </w:tc>
        <w:tc>
          <w:tcPr>
            <w:tcW w:type="dxa" w:w="215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最终验收与移交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2027-04-19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2027-04-19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最终验收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林若岚</w:t>
            </w:r>
          </w:p>
        </w:tc>
      </w:tr>
    </w:tbl>
    <w:p>
      <w:pPr>
        <w:spacing w:after="0"/>
      </w:pPr>
    </w:p>
    <w:p>
      <w:pPr>
        <w:pStyle w:val="Heading1"/>
      </w:pPr>
      <w:r>
        <w:t>四、责任分配原则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每个关键工作包原则上只设置一个最终负责人A，可设置多个执行人R。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陈致远负责项目整体协调和升级，不替代业务、技术、安全和财务职能责任。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关键人员变更必须通过书面申请和批准；短期代理需在会议纪要中记录。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本版安全设计工作包暂列高一川和彭子墨共同为A，需在设计评审前确认唯一A。</w:t>
      </w:r>
    </w:p>
    <w:tbl>
      <w:tblPr>
        <w:tblStyle w:val="TableGrid"/>
        <w:tblW w:type="dxa" w:w="827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1"/>
        <w:gridCol w:w="907"/>
        <w:gridCol w:w="907"/>
        <w:gridCol w:w="1020"/>
        <w:gridCol w:w="907"/>
        <w:gridCol w:w="907"/>
        <w:gridCol w:w="907"/>
        <w:gridCol w:w="1020"/>
      </w:tblGrid>
      <w:tr>
        <w:trPr>
          <w:tblHeader w:val="true"/>
          <w:cantSplit/>
        </w:trPr>
        <w:tc>
          <w:tcPr>
            <w:tcW w:type="dxa" w:w="170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工作包</w:t>
            </w:r>
          </w:p>
        </w:tc>
        <w:tc>
          <w:tcPr>
            <w:tcW w:type="dxa" w:w="90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发起人</w:t>
            </w:r>
          </w:p>
        </w:tc>
        <w:tc>
          <w:tcPr>
            <w:tcW w:type="dxa" w:w="90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业务</w:t>
            </w:r>
          </w:p>
        </w:tc>
        <w:tc>
          <w:tcPr>
            <w:tcW w:type="dxa" w:w="102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甲方PM</w:t>
            </w:r>
          </w:p>
        </w:tc>
        <w:tc>
          <w:tcPr>
            <w:tcW w:type="dxa" w:w="90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技术</w:t>
            </w:r>
          </w:p>
        </w:tc>
        <w:tc>
          <w:tcPr>
            <w:tcW w:type="dxa" w:w="90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安全</w:t>
            </w:r>
          </w:p>
        </w:tc>
        <w:tc>
          <w:tcPr>
            <w:tcW w:type="dxa" w:w="90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财务</w:t>
            </w:r>
          </w:p>
        </w:tc>
        <w:tc>
          <w:tcPr>
            <w:tcW w:type="dxa" w:w="1020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乙方PM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需求确认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R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架构与接口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安全设计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预算与付款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R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最终验收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R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10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R</w:t>
            </w:r>
          </w:p>
        </w:tc>
      </w:tr>
    </w:tbl>
    <w:p>
      <w:pPr>
        <w:spacing w:after="0"/>
      </w:pPr>
    </w:p>
    <w:p>
      <w:pPr>
        <w:pStyle w:val="Heading1"/>
      </w:pPr>
      <w:r>
        <w:t>五、沟通计划</w:t>
      </w:r>
    </w:p>
    <w:tbl>
      <w:tblPr>
        <w:tblStyle w:val="TableGrid"/>
        <w:tblW w:type="dxa" w:w="884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14"/>
        <w:gridCol w:w="2041"/>
        <w:gridCol w:w="1247"/>
        <w:gridCol w:w="1417"/>
        <w:gridCol w:w="1587"/>
        <w:gridCol w:w="737"/>
      </w:tblGrid>
      <w:tr>
        <w:trPr>
          <w:tblHeader w:val="true"/>
          <w:cantSplit/>
        </w:trPr>
        <w:tc>
          <w:tcPr>
            <w:tcW w:type="dxa" w:w="181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沟通</w:t>
            </w:r>
          </w:p>
        </w:tc>
        <w:tc>
          <w:tcPr>
            <w:tcW w:type="dxa" w:w="2041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对象</w:t>
            </w:r>
          </w:p>
        </w:tc>
        <w:tc>
          <w:tcPr>
            <w:tcW w:type="dxa" w:w="124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频率</w:t>
            </w:r>
          </w:p>
        </w:tc>
        <w:tc>
          <w:tcPr>
            <w:tcW w:type="dxa" w:w="141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主持/发送</w:t>
            </w:r>
          </w:p>
        </w:tc>
        <w:tc>
          <w:tcPr>
            <w:tcW w:type="dxa" w:w="158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输出</w:t>
            </w:r>
          </w:p>
        </w:tc>
        <w:tc>
          <w:tcPr>
            <w:tcW w:type="dxa" w:w="737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6"/>
              </w:rPr>
              <w:t>反馈时限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项目周会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核心团队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每周三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陈致远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纪要、行动项、风险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1个工作日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技术专题会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技术/接口/安全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每周或专题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高一川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设计决策和待办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1个工作日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月度经营报告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指导委员会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每月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陈致远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进度、财务、风险和决策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会前2天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付款资料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采购/财务/乙方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按节点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赵宁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验收、发票、审批资料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不齐退回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重大事件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发起人和相关负责人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即时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甲乙方PM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事件、影响、措施和升级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6"/>
              </w:rPr>
              <w:t>1小时</w:t>
            </w:r>
          </w:p>
        </w:tc>
      </w:tr>
    </w:tbl>
    <w:p>
      <w:pPr>
        <w:spacing w:after="0"/>
      </w:pPr>
    </w:p>
    <w:p>
      <w:pPr>
        <w:pStyle w:val="Heading1"/>
      </w:pPr>
      <w:r>
        <w:t>六、质量与验收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需求和设计文件必须完成评审、问题关闭和签署后进入下一阶段。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关键功能100%通过、总体通过率不低于95%，P1/P2缺陷为0。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数据迁移关键字段准确率不低于99.5%，保留核对清单和业务确认。</w:t>
      </w:r>
    </w:p>
    <w:p>
      <w:pPr>
        <w:pStyle w:val="ListBullet"/>
      </w:pPr>
      <w:r>
        <w:rPr>
          <w:rFonts w:ascii="Arial" w:hAnsi="Arial" w:eastAsia="宋体"/>
          <w:b w:val="0"/>
          <w:i w:val="0"/>
          <w:color w:val="000000"/>
          <w:sz w:val="21"/>
        </w:rPr>
        <w:t>试运行不少于20个工作日，最终验收资料包括运维手册、配置清单和培训记录。</w:t>
      </w:r>
    </w:p>
    <w:p>
      <w:pPr>
        <w:pStyle w:val="Heading1"/>
      </w:pPr>
      <w:r>
        <w:t>七、风险、问题与变更</w:t>
      </w:r>
    </w:p>
    <w:p>
      <w:pPr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风险和问题由责任人维护，项目经理每周复核。范围、金额、关键日期、关键人员和验收标准的变化必须提交变更申请；未批准的建议和会议口头意见不得直接写入基线。</w:t>
      </w:r>
    </w:p>
    <w:tbl>
      <w:tblPr>
        <w:tblStyle w:val="TableGrid"/>
        <w:tblW w:type="dxa" w:w="884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35"/>
        <w:gridCol w:w="3685"/>
        <w:gridCol w:w="2324"/>
      </w:tblGrid>
      <w:tr>
        <w:trPr>
          <w:tblHeader w:val="true"/>
          <w:cantSplit/>
        </w:trPr>
        <w:tc>
          <w:tcPr>
            <w:tcW w:type="dxa" w:w="2835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触发条件</w:t>
            </w:r>
          </w:p>
        </w:tc>
        <w:tc>
          <w:tcPr>
            <w:tcW w:type="dxa" w:w="3685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处理要求</w:t>
            </w:r>
          </w:p>
        </w:tc>
        <w:tc>
          <w:tcPr>
            <w:tcW w:type="dxa" w:w="2324"/>
            <w:shd w:fill="E6E6E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i w:val="0"/>
                <w:color w:val="000000"/>
                <w:sz w:val="17"/>
              </w:rPr>
              <w:t>升级对象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关键里程碑预计延迟超过5个工作日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影响分析、纠正计划、基线是否变更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业务负责人/发起人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预算偏差超过50,000元或5%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财务影响、资金来源、审批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发起人/财务/采购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重大安全、法律或数据问题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立即止损、通知、证据和复盘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发起人/法务/安全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关键人员变更</w:t>
            </w:r>
          </w:p>
        </w:tc>
        <w:tc>
          <w:tcPr>
            <w:tcW w:type="dxa" w:w="3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书面申请、能力评估和交接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7"/>
              </w:rPr>
              <w:t>甲方项目经理/采购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417" w:left="158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宋体"/>
        <w:b w:val="0"/>
        <w:i w:val="0"/>
        <w:color w:val="666666"/>
        <w:sz w:val="17"/>
      </w:rPr>
      <w:t xml:space="preserve">第 </w:t>
    </w:r>
    <w:fldSimple w:instr="PAGE">
      <w:r>
        <w:t>1</w:t>
      </w:r>
    </w:fldSimple>
    <w:r>
      <w:rPr>
        <w:rFonts w:ascii="Arial" w:hAnsi="Arial" w:eastAsia="宋体"/>
        <w:b w:val="0"/>
        <w:i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宋体"/>
        <w:b w:val="0"/>
        <w:i w:val="0"/>
        <w:color w:val="666666"/>
        <w:sz w:val="17"/>
      </w:rPr>
      <w:t>学生输入资料  |  CY-DCM-2026-01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60" w:lineRule="auto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24" w:lineRule="auto"/>
      <w:ind w:left="420" w:hanging="210"/>
      <w:contextualSpacing/>
    </w:pPr>
    <w:rPr>
      <w:rFonts w:ascii="Arial" w:hAnsi="Arial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24" w:lineRule="auto"/>
      <w:ind w:left="420" w:hanging="210"/>
      <w:contextualSpacing/>
    </w:pPr>
    <w:rPr>
      <w:rFonts w:ascii="Arial" w:hAnsi="Arial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项目管理计划书</dc:title>
  <dc:subject>项目协同与经营管理数字化平台建设项目课程教学模拟资料</dc:subject>
  <dc:creator>MEM课程教学资料编制组</dc:creator>
  <cp:keywords>MEM, 智能体, 知识库, 文档工作流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