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14862C">
      <w:pPr>
        <w:keepNext w:val="0"/>
        <w:widowControl/>
        <w:pBdr>
          <w:top w:val="single" w:color="17365D" w:sz="18" w:space="6"/>
        </w:pBdr>
        <w:spacing w:before="0" w:after="30" w:line="240" w:lineRule="auto"/>
      </w:pPr>
      <w:r>
        <w:rPr>
          <w:rFonts w:ascii="Arial" w:hAnsi="Arial" w:eastAsia="Arial"/>
          <w:b/>
          <w:i w:val="0"/>
          <w:color w:val="17365D"/>
          <w:sz w:val="48"/>
        </w:rPr>
        <w:t>Yin Yuan</w:t>
      </w:r>
    </w:p>
    <w:p w14:paraId="5982B549">
      <w:pPr>
        <w:keepNext w:val="0"/>
        <w:widowControl/>
        <w:spacing w:before="0" w:after="44" w:line="240" w:lineRule="auto"/>
      </w:pPr>
      <w:r>
        <w:rPr>
          <w:rFonts w:ascii="Arial" w:hAnsi="Arial" w:eastAsia="Arial"/>
          <w:b w:val="0"/>
          <w:i w:val="0"/>
          <w:color w:val="5A6472"/>
          <w:sz w:val="18"/>
        </w:rPr>
        <w:t>Hong Kong  |  +852 6064 4602  |  eddyyin0424@gmail.com</w:t>
      </w:r>
    </w:p>
    <w:p w14:paraId="0CD1889F">
      <w:pPr>
        <w:keepNext w:val="0"/>
        <w:widowControl/>
        <w:spacing w:before="0" w:after="100" w:line="240" w:lineRule="auto"/>
      </w:pPr>
      <w:bookmarkStart w:id="0" w:name="_GoBack"/>
      <w:bookmarkEnd w:id="0"/>
    </w:p>
    <w:p w14:paraId="2F66D1AE">
      <w:pPr>
        <w:keepNext/>
        <w:widowControl/>
        <w:pBdr>
          <w:bottom w:val="single" w:color="17365D" w:sz="8" w:space="2"/>
        </w:pBdr>
        <w:spacing w:before="90" w:after="60" w:line="240" w:lineRule="auto"/>
      </w:pPr>
      <w:r>
        <w:rPr>
          <w:rFonts w:ascii="Arial" w:hAnsi="Arial" w:eastAsia="Arial"/>
          <w:b/>
          <w:i w:val="0"/>
          <w:color w:val="17365D"/>
          <w:sz w:val="20"/>
        </w:rPr>
        <w:t>EDUCATION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0"/>
        <w:gridCol w:w="2563"/>
      </w:tblGrid>
      <w:tr w14:paraId="1A9B8781">
        <w:trPr>
          <w:jc w:val="center"/>
        </w:trPr>
        <w:tc>
          <w:tcPr>
            <w:tcW w:w="5328" w:type="dxa"/>
            <w:tcMar>
              <w:top w:w="15" w:type="dxa"/>
              <w:left w:w="0" w:type="dxa"/>
              <w:bottom w:w="8" w:type="dxa"/>
              <w:right w:w="0" w:type="dxa"/>
            </w:tcMar>
            <w:vAlign w:val="top"/>
          </w:tcPr>
          <w:p w14:paraId="0AFAFB75">
            <w:pPr>
              <w:keepNext/>
              <w:widowControl/>
              <w:spacing w:before="0" w:after="7" w:line="240" w:lineRule="auto"/>
            </w:pPr>
            <w:r>
              <w:rPr>
                <w:rFonts w:ascii="Arial" w:hAnsi="Arial" w:eastAsia="Arial"/>
                <w:b/>
                <w:i w:val="0"/>
                <w:color w:val="20242A"/>
                <w:sz w:val="19"/>
              </w:rPr>
              <w:t>The Hong Kong Polytechnic University</w:t>
            </w:r>
          </w:p>
          <w:p w14:paraId="69BD4B5F">
            <w:pPr>
              <w:keepNext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i/>
                <w:color w:val="5A6472"/>
                <w:sz w:val="18"/>
              </w:rPr>
              <w:t>Postgraduate Diploma, Supply Chain and Logistics Management</w:t>
            </w:r>
          </w:p>
        </w:tc>
        <w:tc>
          <w:tcPr>
            <w:tcW w:w="5328" w:type="dxa"/>
            <w:tcMar>
              <w:top w:w="15" w:type="dxa"/>
              <w:left w:w="0" w:type="dxa"/>
              <w:bottom w:w="8" w:type="dxa"/>
              <w:right w:w="0" w:type="dxa"/>
            </w:tcMar>
            <w:vAlign w:val="top"/>
          </w:tcPr>
          <w:p w14:paraId="54633EF5">
            <w:pPr>
              <w:keepNext/>
              <w:widowControl/>
              <w:spacing w:before="0" w:after="7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5A6472"/>
                <w:sz w:val="17"/>
              </w:rPr>
              <w:t>Hong Kong, China</w:t>
            </w:r>
          </w:p>
          <w:p w14:paraId="5D11A4E8">
            <w:pPr>
              <w:keepNext w:val="0"/>
              <w:widowControl/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5A6472"/>
                <w:sz w:val="17"/>
              </w:rPr>
              <w:t>2026 - Present</w:t>
            </w:r>
          </w:p>
        </w:tc>
      </w:tr>
      <w:tr w14:paraId="27221DEB">
        <w:trPr>
          <w:jc w:val="center"/>
        </w:trPr>
        <w:tc>
          <w:tcPr>
            <w:tcW w:w="5328" w:type="dxa"/>
            <w:tcMar>
              <w:top w:w="15" w:type="dxa"/>
              <w:left w:w="0" w:type="dxa"/>
              <w:bottom w:w="8" w:type="dxa"/>
              <w:right w:w="0" w:type="dxa"/>
            </w:tcMar>
            <w:vAlign w:val="top"/>
          </w:tcPr>
          <w:p w14:paraId="5CFBABE9">
            <w:pPr>
              <w:keepNext/>
              <w:widowControl/>
              <w:spacing w:before="0" w:after="7" w:line="240" w:lineRule="auto"/>
            </w:pPr>
            <w:r>
              <w:rPr>
                <w:rFonts w:ascii="Arial" w:hAnsi="Arial" w:eastAsia="Arial"/>
                <w:b/>
                <w:i w:val="0"/>
                <w:color w:val="20242A"/>
                <w:sz w:val="19"/>
              </w:rPr>
              <w:t>Hefei University of Technology</w:t>
            </w:r>
          </w:p>
          <w:p w14:paraId="50F8C2B1">
            <w:pPr>
              <w:keepNext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i/>
                <w:color w:val="5A6472"/>
                <w:sz w:val="18"/>
              </w:rPr>
              <w:t>Bachelor of Economics, International Economics and Trade Innovation (Digital Economy and Global Governance)</w:t>
            </w:r>
          </w:p>
        </w:tc>
        <w:tc>
          <w:tcPr>
            <w:tcW w:w="5328" w:type="dxa"/>
            <w:tcMar>
              <w:top w:w="15" w:type="dxa"/>
              <w:left w:w="0" w:type="dxa"/>
              <w:bottom w:w="8" w:type="dxa"/>
              <w:right w:w="0" w:type="dxa"/>
            </w:tcMar>
            <w:vAlign w:val="top"/>
          </w:tcPr>
          <w:p w14:paraId="49FEEFFA">
            <w:pPr>
              <w:keepNext/>
              <w:widowControl/>
              <w:spacing w:before="0" w:after="7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5A6472"/>
                <w:sz w:val="17"/>
              </w:rPr>
              <w:t>Hefei, Mainland China</w:t>
            </w:r>
          </w:p>
          <w:p w14:paraId="1F6116DA">
            <w:pPr>
              <w:keepNext w:val="0"/>
              <w:widowControl/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5A6472"/>
                <w:sz w:val="17"/>
              </w:rPr>
              <w:t>2022 - 2026</w:t>
            </w:r>
          </w:p>
        </w:tc>
      </w:tr>
    </w:tbl>
    <w:p w14:paraId="08D3AA5E">
      <w:pPr>
        <w:pStyle w:val="16"/>
        <w:keepNext w:val="0"/>
        <w:widowControl/>
        <w:spacing w:before="0" w:after="23" w:line="250" w:lineRule="auto"/>
        <w:ind w:left="245" w:hanging="158"/>
      </w:pPr>
      <w:r>
        <w:rPr>
          <w:rFonts w:ascii="Arial" w:hAnsi="Arial" w:eastAsia="Arial"/>
          <w:b w:val="0"/>
          <w:i w:val="0"/>
          <w:color w:val="20242A"/>
          <w:sz w:val="18"/>
        </w:rPr>
        <w:t>Relevant coursework: Python and Data Analysis (95), Digital Economics (90), International Law (87), Macroeconomics (86), Globalization and World Economy (86), International Business Law (86), Accounting, Corporate Finance, Statistics, Finance and International Business.</w:t>
      </w:r>
    </w:p>
    <w:p w14:paraId="59FD62C9">
      <w:pPr>
        <w:pStyle w:val="16"/>
        <w:keepNext w:val="0"/>
        <w:widowControl/>
        <w:spacing w:before="0" w:after="23" w:line="250" w:lineRule="auto"/>
        <w:ind w:left="245" w:hanging="158"/>
      </w:pPr>
      <w:r>
        <w:rPr>
          <w:rFonts w:ascii="Arial" w:hAnsi="Arial" w:eastAsia="Arial"/>
          <w:b w:val="0"/>
          <w:i w:val="0"/>
          <w:color w:val="20242A"/>
          <w:sz w:val="18"/>
        </w:rPr>
        <w:t>Honors: New Oriental Scholarship; Provincial First Prize, Guoyuan Securities FinTech Competition; Provincial Second Prize, Anhui Provincial International Business Simulation Negotiation Competition.</w:t>
      </w:r>
    </w:p>
    <w:p w14:paraId="188A5E35">
      <w:pPr>
        <w:keepNext/>
        <w:widowControl/>
        <w:pBdr>
          <w:bottom w:val="single" w:color="17365D" w:sz="8" w:space="2"/>
        </w:pBdr>
        <w:spacing w:before="90" w:after="60" w:line="240" w:lineRule="auto"/>
      </w:pPr>
      <w:r>
        <w:rPr>
          <w:rFonts w:ascii="Arial" w:hAnsi="Arial" w:eastAsia="Arial"/>
          <w:b/>
          <w:i w:val="0"/>
          <w:color w:val="17365D"/>
          <w:sz w:val="20"/>
        </w:rPr>
        <w:t>EXPERIENCE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0"/>
        <w:gridCol w:w="2563"/>
      </w:tblGrid>
      <w:tr w14:paraId="01FD5F88">
        <w:trPr>
          <w:jc w:val="center"/>
        </w:trPr>
        <w:tc>
          <w:tcPr>
            <w:tcW w:w="5328" w:type="dxa"/>
            <w:tcMar>
              <w:top w:w="15" w:type="dxa"/>
              <w:left w:w="0" w:type="dxa"/>
              <w:bottom w:w="8" w:type="dxa"/>
              <w:right w:w="0" w:type="dxa"/>
            </w:tcMar>
            <w:vAlign w:val="top"/>
          </w:tcPr>
          <w:p w14:paraId="2B7588C5">
            <w:pPr>
              <w:keepNext/>
              <w:widowControl/>
              <w:spacing w:before="0" w:after="7" w:line="240" w:lineRule="auto"/>
            </w:pPr>
            <w:r>
              <w:rPr>
                <w:rFonts w:ascii="Arial" w:hAnsi="Arial" w:eastAsia="Arial"/>
                <w:b/>
                <w:i w:val="0"/>
                <w:color w:val="20242A"/>
                <w:sz w:val="19"/>
              </w:rPr>
              <w:t>RSM China</w:t>
            </w:r>
          </w:p>
          <w:p w14:paraId="29E96671">
            <w:pPr>
              <w:keepNext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i/>
                <w:color w:val="5A6472"/>
                <w:sz w:val="18"/>
              </w:rPr>
              <w:t>Audit Intern</w:t>
            </w:r>
          </w:p>
        </w:tc>
        <w:tc>
          <w:tcPr>
            <w:tcW w:w="5328" w:type="dxa"/>
            <w:tcMar>
              <w:top w:w="15" w:type="dxa"/>
              <w:left w:w="0" w:type="dxa"/>
              <w:bottom w:w="8" w:type="dxa"/>
              <w:right w:w="0" w:type="dxa"/>
            </w:tcMar>
            <w:vAlign w:val="top"/>
          </w:tcPr>
          <w:p w14:paraId="40B1F4BC">
            <w:pPr>
              <w:keepNext/>
              <w:widowControl/>
              <w:spacing w:before="0" w:after="7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5A6472"/>
                <w:sz w:val="17"/>
              </w:rPr>
              <w:t>Beijing, China</w:t>
            </w:r>
          </w:p>
          <w:p w14:paraId="7F39E0E6">
            <w:pPr>
              <w:keepNext w:val="0"/>
              <w:widowControl/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5A6472"/>
                <w:sz w:val="17"/>
              </w:rPr>
              <w:t>Jul 2024 - Sep 2024</w:t>
            </w:r>
          </w:p>
        </w:tc>
      </w:tr>
    </w:tbl>
    <w:p w14:paraId="1844557F">
      <w:pPr>
        <w:pStyle w:val="16"/>
        <w:keepNext w:val="0"/>
        <w:widowControl/>
        <w:spacing w:before="0" w:after="23" w:line="250" w:lineRule="auto"/>
        <w:ind w:left="245" w:hanging="158"/>
      </w:pPr>
      <w:r>
        <w:rPr>
          <w:rFonts w:ascii="Arial" w:hAnsi="Arial" w:eastAsia="Arial"/>
          <w:b w:val="0"/>
          <w:i w:val="0"/>
          <w:color w:val="20242A"/>
          <w:sz w:val="18"/>
        </w:rPr>
        <w:t>Prepared 50+ bank confirmation letters and built a return-tracking system to monitor status, follow up outstanding items, and support on-time project delivery.</w:t>
      </w:r>
    </w:p>
    <w:p w14:paraId="056BE0CC">
      <w:pPr>
        <w:pStyle w:val="16"/>
        <w:keepNext w:val="0"/>
        <w:widowControl/>
        <w:spacing w:before="0" w:after="23" w:line="250" w:lineRule="auto"/>
        <w:ind w:left="245" w:hanging="158"/>
      </w:pPr>
      <w:r>
        <w:rPr>
          <w:rFonts w:ascii="Arial" w:hAnsi="Arial" w:eastAsia="Arial"/>
          <w:b w:val="0"/>
          <w:i w:val="0"/>
          <w:color w:val="20242A"/>
          <w:sz w:val="18"/>
        </w:rPr>
        <w:t>Reviewed revenue-recognition evidence against contract terms and IFRS requirements; maintained complete working papers and financial documentation for audit preparation.</w:t>
      </w:r>
    </w:p>
    <w:p w14:paraId="6E7A361E">
      <w:pPr>
        <w:pStyle w:val="16"/>
        <w:keepNext w:val="0"/>
        <w:widowControl/>
        <w:spacing w:before="0" w:after="23" w:line="250" w:lineRule="auto"/>
        <w:ind w:left="245" w:hanging="158"/>
      </w:pPr>
      <w:r>
        <w:rPr>
          <w:rFonts w:ascii="Arial" w:hAnsi="Arial" w:eastAsia="Arial"/>
          <w:b w:val="0"/>
          <w:i w:val="0"/>
          <w:color w:val="20242A"/>
          <w:sz w:val="18"/>
        </w:rPr>
        <w:t>Applied Python + OCR to streamline financial-evidence archiving, improving document handling efficiency while maintaining high accuracy and 100% on-time delivery.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0"/>
        <w:gridCol w:w="2563"/>
      </w:tblGrid>
      <w:tr w14:paraId="46F8A362">
        <w:trPr>
          <w:jc w:val="center"/>
        </w:trPr>
        <w:tc>
          <w:tcPr>
            <w:tcW w:w="5328" w:type="dxa"/>
            <w:tcMar>
              <w:top w:w="45" w:type="dxa"/>
              <w:left w:w="0" w:type="dxa"/>
              <w:bottom w:w="8" w:type="dxa"/>
              <w:right w:w="0" w:type="dxa"/>
            </w:tcMar>
            <w:vAlign w:val="top"/>
          </w:tcPr>
          <w:p w14:paraId="1052D6BB">
            <w:pPr>
              <w:keepNext/>
              <w:widowControl/>
              <w:spacing w:before="0" w:after="7" w:line="240" w:lineRule="auto"/>
            </w:pPr>
            <w:r>
              <w:rPr>
                <w:rFonts w:ascii="Arial" w:hAnsi="Arial" w:eastAsia="Arial"/>
                <w:b/>
                <w:i w:val="0"/>
                <w:color w:val="20242A"/>
                <w:sz w:val="19"/>
              </w:rPr>
              <w:t>Ubisoft China (Chengdu Studio)</w:t>
            </w:r>
          </w:p>
          <w:p w14:paraId="780019F3">
            <w:pPr>
              <w:keepNext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i/>
                <w:color w:val="5A6472"/>
                <w:sz w:val="18"/>
              </w:rPr>
              <w:t>Game Testing Intern</w:t>
            </w:r>
          </w:p>
        </w:tc>
        <w:tc>
          <w:tcPr>
            <w:tcW w:w="5328" w:type="dxa"/>
            <w:tcMar>
              <w:top w:w="45" w:type="dxa"/>
              <w:left w:w="0" w:type="dxa"/>
              <w:bottom w:w="8" w:type="dxa"/>
              <w:right w:w="0" w:type="dxa"/>
            </w:tcMar>
            <w:vAlign w:val="top"/>
          </w:tcPr>
          <w:p w14:paraId="7322E3BB">
            <w:pPr>
              <w:keepNext/>
              <w:widowControl/>
              <w:spacing w:before="0" w:after="7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5A6472"/>
                <w:sz w:val="17"/>
              </w:rPr>
              <w:t>Chengdu, China</w:t>
            </w:r>
          </w:p>
          <w:p w14:paraId="6400B40B">
            <w:pPr>
              <w:keepNext w:val="0"/>
              <w:widowControl/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5A6472"/>
                <w:sz w:val="17"/>
              </w:rPr>
              <w:t>Aug 2025 - Sep 2025</w:t>
            </w:r>
          </w:p>
        </w:tc>
      </w:tr>
    </w:tbl>
    <w:p w14:paraId="3EDF8A33">
      <w:pPr>
        <w:pStyle w:val="16"/>
        <w:keepNext w:val="0"/>
        <w:widowControl/>
        <w:spacing w:before="0" w:after="23" w:line="250" w:lineRule="auto"/>
        <w:ind w:left="245" w:hanging="158"/>
      </w:pPr>
      <w:r>
        <w:rPr>
          <w:rFonts w:ascii="Arial" w:hAnsi="Arial" w:eastAsia="Arial"/>
          <w:b w:val="0"/>
          <w:i w:val="0"/>
          <w:color w:val="20242A"/>
          <w:sz w:val="18"/>
        </w:rPr>
        <w:t>Maintained structured testing data, defect records, and issue status across Jira, Bloomberg, Flare and internal tools, supporting accurate information handoffs across teams.</w:t>
      </w:r>
    </w:p>
    <w:p w14:paraId="73942A14">
      <w:pPr>
        <w:pStyle w:val="16"/>
        <w:keepNext w:val="0"/>
        <w:widowControl/>
        <w:spacing w:before="0" w:after="23" w:line="250" w:lineRule="auto"/>
        <w:ind w:left="245" w:hanging="158"/>
      </w:pPr>
      <w:r>
        <w:rPr>
          <w:rFonts w:ascii="Arial" w:hAnsi="Arial" w:eastAsia="Arial"/>
          <w:b w:val="0"/>
          <w:i w:val="0"/>
          <w:color w:val="20242A"/>
          <w:sz w:val="18"/>
        </w:rPr>
        <w:t>Independently identified and drove follow-up on 20+ high-priority defects, coordinating issue resolution and verification to improve release stability.</w:t>
      </w:r>
    </w:p>
    <w:p w14:paraId="65D07BEE">
      <w:pPr>
        <w:pStyle w:val="16"/>
        <w:keepNext w:val="0"/>
        <w:widowControl/>
        <w:spacing w:before="0" w:after="23" w:line="250" w:lineRule="auto"/>
        <w:ind w:left="245" w:hanging="158"/>
      </w:pPr>
      <w:r>
        <w:rPr>
          <w:rFonts w:ascii="Arial" w:hAnsi="Arial" w:eastAsia="Arial"/>
          <w:b w:val="0"/>
          <w:i w:val="0"/>
          <w:color w:val="20242A"/>
          <w:sz w:val="18"/>
        </w:rPr>
        <w:t>Supported scheduled version releases by tracking open issues, validating fixes, and keeping records current for downstream stakeholders.</w:t>
      </w:r>
    </w:p>
    <w:p w14:paraId="7AFC7B06">
      <w:pPr>
        <w:keepNext/>
        <w:widowControl/>
        <w:pBdr>
          <w:bottom w:val="single" w:color="17365D" w:sz="8" w:space="2"/>
        </w:pBdr>
        <w:spacing w:before="90" w:after="60" w:line="240" w:lineRule="auto"/>
      </w:pPr>
      <w:r>
        <w:rPr>
          <w:rFonts w:ascii="Arial" w:hAnsi="Arial" w:eastAsia="Arial"/>
          <w:b/>
          <w:i w:val="0"/>
          <w:color w:val="17365D"/>
          <w:sz w:val="20"/>
        </w:rPr>
        <w:t>PROJECTS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60"/>
        <w:gridCol w:w="2563"/>
      </w:tblGrid>
      <w:tr w14:paraId="6B4F00D4">
        <w:trPr>
          <w:jc w:val="center"/>
        </w:trPr>
        <w:tc>
          <w:tcPr>
            <w:tcW w:w="5328" w:type="dxa"/>
            <w:tcMar>
              <w:top w:w="20" w:type="dxa"/>
              <w:left w:w="0" w:type="dxa"/>
              <w:bottom w:w="8" w:type="dxa"/>
              <w:right w:w="0" w:type="dxa"/>
            </w:tcMar>
            <w:vAlign w:val="top"/>
          </w:tcPr>
          <w:p w14:paraId="0DC6801E">
            <w:pPr>
              <w:keepNext/>
              <w:widowControl/>
              <w:spacing w:before="0" w:after="7" w:line="240" w:lineRule="auto"/>
            </w:pPr>
            <w:r>
              <w:rPr>
                <w:rFonts w:ascii="Arial" w:hAnsi="Arial" w:eastAsia="Arial"/>
                <w:b/>
                <w:i w:val="0"/>
                <w:color w:val="20242A"/>
                <w:sz w:val="19"/>
              </w:rPr>
              <w:t>Game Jam Participation</w:t>
            </w:r>
          </w:p>
          <w:p w14:paraId="6C742705">
            <w:pPr>
              <w:keepNext w:val="0"/>
              <w:widowControl/>
              <w:spacing w:before="0" w:after="0" w:line="240" w:lineRule="auto"/>
            </w:pPr>
            <w:r>
              <w:rPr>
                <w:rFonts w:ascii="Arial" w:hAnsi="Arial" w:eastAsia="Arial"/>
                <w:b w:val="0"/>
                <w:i/>
                <w:color w:val="5A6472"/>
                <w:sz w:val="18"/>
              </w:rPr>
              <w:t>Ludum Dare &amp; Global Game Jam</w:t>
            </w:r>
          </w:p>
        </w:tc>
        <w:tc>
          <w:tcPr>
            <w:tcW w:w="5328" w:type="dxa"/>
            <w:tcMar>
              <w:top w:w="20" w:type="dxa"/>
              <w:left w:w="0" w:type="dxa"/>
              <w:bottom w:w="8" w:type="dxa"/>
              <w:right w:w="0" w:type="dxa"/>
            </w:tcMar>
            <w:vAlign w:val="top"/>
          </w:tcPr>
          <w:p w14:paraId="73AC5529">
            <w:pPr>
              <w:keepNext/>
              <w:widowControl/>
              <w:spacing w:before="0" w:after="7" w:line="240" w:lineRule="auto"/>
              <w:jc w:val="right"/>
            </w:pPr>
          </w:p>
          <w:p w14:paraId="534A8FDE">
            <w:pPr>
              <w:keepNext w:val="0"/>
              <w:widowControl/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 w:val="0"/>
                <w:i/>
                <w:color w:val="5A6472"/>
                <w:sz w:val="17"/>
              </w:rPr>
              <w:t>2022 - Present</w:t>
            </w:r>
          </w:p>
        </w:tc>
      </w:tr>
    </w:tbl>
    <w:p w14:paraId="6A3139A5">
      <w:pPr>
        <w:pStyle w:val="16"/>
        <w:keepNext w:val="0"/>
        <w:widowControl/>
        <w:spacing w:before="0" w:after="23" w:line="250" w:lineRule="auto"/>
        <w:ind w:left="245" w:hanging="158"/>
      </w:pPr>
      <w:r>
        <w:rPr>
          <w:rFonts w:ascii="Arial" w:hAnsi="Arial" w:eastAsia="Arial"/>
          <w:b w:val="0"/>
          <w:i w:val="0"/>
          <w:color w:val="20242A"/>
          <w:sz w:val="18"/>
        </w:rPr>
        <w:t>Created 5+ game prototypes in time-constrained team settings; won 4th place in the “Most Popular on-site” award at Global Game Jam 2024.</w:t>
      </w:r>
    </w:p>
    <w:p w14:paraId="48B719C3">
      <w:pPr>
        <w:pStyle w:val="16"/>
        <w:keepNext w:val="0"/>
        <w:widowControl/>
        <w:spacing w:before="0" w:after="23" w:line="250" w:lineRule="auto"/>
        <w:ind w:left="245" w:hanging="158"/>
      </w:pPr>
      <w:r>
        <w:rPr>
          <w:rFonts w:ascii="Arial" w:hAnsi="Arial" w:eastAsia="Arial"/>
          <w:b w:val="0"/>
          <w:i w:val="0"/>
          <w:color w:val="20242A"/>
          <w:sz w:val="18"/>
        </w:rPr>
        <w:t>Crawled and cleaned thousands of player-feedback entries with Python, then used keyword and sentiment analysis to translate unstructured feedback into actionable improvement directions.</w:t>
      </w:r>
    </w:p>
    <w:p w14:paraId="3EBF5498">
      <w:pPr>
        <w:keepNext/>
        <w:widowControl/>
        <w:pBdr>
          <w:bottom w:val="single" w:color="17365D" w:sz="8" w:space="2"/>
        </w:pBdr>
        <w:spacing w:before="90" w:after="60" w:line="240" w:lineRule="auto"/>
      </w:pPr>
      <w:r>
        <w:rPr>
          <w:rFonts w:ascii="Arial" w:hAnsi="Arial" w:eastAsia="Arial"/>
          <w:b/>
          <w:i w:val="0"/>
          <w:color w:val="17365D"/>
          <w:sz w:val="20"/>
        </w:rPr>
        <w:t>SKILLS &amp; LANGUAGES</w:t>
      </w:r>
    </w:p>
    <w:p w14:paraId="4E070679">
      <w:pPr>
        <w:keepNext w:val="0"/>
        <w:widowControl/>
        <w:spacing w:before="0" w:after="23" w:line="247" w:lineRule="auto"/>
      </w:pPr>
      <w:r>
        <w:rPr>
          <w:rFonts w:ascii="Arial" w:hAnsi="Arial" w:eastAsia="Arial"/>
          <w:b/>
          <w:i w:val="0"/>
          <w:color w:val="17365D"/>
          <w:sz w:val="18"/>
        </w:rPr>
        <w:t xml:space="preserve">Productivity &amp; data: </w:t>
      </w:r>
      <w:r>
        <w:rPr>
          <w:rFonts w:ascii="Arial" w:hAnsi="Arial" w:eastAsia="Arial"/>
          <w:b w:val="0"/>
          <w:i w:val="0"/>
          <w:color w:val="20242A"/>
          <w:sz w:val="18"/>
        </w:rPr>
        <w:t>Microsoft Excel (Advanced), Word, PowerPoint; Python; data tracking, documentation and process improvement</w:t>
      </w:r>
    </w:p>
    <w:p w14:paraId="6BC45F78">
      <w:pPr>
        <w:keepNext w:val="0"/>
        <w:widowControl/>
        <w:spacing w:before="0" w:after="23" w:line="247" w:lineRule="auto"/>
      </w:pPr>
      <w:r>
        <w:rPr>
          <w:rFonts w:ascii="Arial" w:hAnsi="Arial" w:eastAsia="Arial"/>
          <w:b/>
          <w:i w:val="0"/>
          <w:color w:val="17365D"/>
          <w:sz w:val="18"/>
        </w:rPr>
        <w:t xml:space="preserve">Tools: </w:t>
      </w:r>
      <w:r>
        <w:rPr>
          <w:rFonts w:ascii="Arial" w:hAnsi="Arial" w:eastAsia="Arial"/>
          <w:b w:val="0"/>
          <w:i w:val="0"/>
          <w:color w:val="20242A"/>
          <w:sz w:val="18"/>
        </w:rPr>
        <w:t>Jira, Bloomberg, Flare; C#, C++</w:t>
      </w:r>
    </w:p>
    <w:p w14:paraId="4F478A9F">
      <w:pPr>
        <w:keepNext w:val="0"/>
        <w:widowControl/>
        <w:spacing w:before="0" w:after="23" w:line="247" w:lineRule="auto"/>
      </w:pPr>
      <w:r>
        <w:rPr>
          <w:rFonts w:ascii="Arial" w:hAnsi="Arial" w:eastAsia="Arial"/>
          <w:b/>
          <w:i w:val="0"/>
          <w:color w:val="17365D"/>
          <w:sz w:val="18"/>
        </w:rPr>
        <w:t xml:space="preserve">Languages: </w:t>
      </w:r>
      <w:r>
        <w:rPr>
          <w:rFonts w:ascii="Arial" w:hAnsi="Arial" w:eastAsia="Arial"/>
          <w:b w:val="0"/>
          <w:i w:val="0"/>
          <w:color w:val="20242A"/>
          <w:sz w:val="18"/>
        </w:rPr>
        <w:t>Cantonese (Native), Mandarin (Native), English (Fluent; IELTS 7.5, GMAT 675)</w:t>
      </w:r>
    </w:p>
    <w:sectPr>
      <w:pgSz w:w="11909" w:h="16834"/>
      <w:pgMar w:top="691" w:right="893" w:bottom="691" w:left="89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F376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color w:val="20242A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Arial" w:hAnsi="Arial"/>
      <w:color w:val="20242A"/>
      <w:sz w:val="18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2013-12-24T06:45:00Z</dcterms:created>
  <dc:creator>Yin Yuan</dc:creator>
  <dc:description>generated by python-docx</dc:description>
  <cp:lastModifiedBy>殷源</cp:lastModifiedBy>
  <dcterms:modified xsi:type="dcterms:W3CDTF">2026-09-02T11:00:35Z</dcterms:modified>
  <dc:subject>Curriculum Vitae</dc:subject>
  <dc:title>Yin Yuan - CV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48CF7DA4FB80CA6D5391976A46A3FF16_42</vt:lpwstr>
  </property>
</Properties>
</file>