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Brand"/>
      </w:pPr>
      <w:r>
        <w:t>TARMEM</w:t>
      </w:r>
    </w:p>
    <w:p>
      <w:pPr>
        <w:pStyle w:val="CoverTitle"/>
      </w:pPr>
      <w:r>
        <w:t>Business Description</w:t>
      </w:r>
    </w:p>
    <w:p>
      <w:pPr>
        <w:pStyle w:val="CoverTagline"/>
      </w:pPr>
      <w:r>
        <w:t>A renovation marketplace built around trust,</w:t>
        <w:br/>
        <w:t>visibility, and accountable delivery</w:t>
      </w:r>
    </w:p>
    <w:p>
      <w:pPr>
        <w:pStyle w:val="CoverLead"/>
      </w:pPr>
      <w:r>
        <w:t>Tarmem is a proposed digital platform connecting homeowners with verified renovation contractors in Saudi Arabia. It brings contractor selection, communication, progress tracking, and milestone payments into one coordinated experience, with ambitions for regional expansion.</w:t>
      </w:r>
    </w:p>
    <w:p>
      <w:pPr>
        <w:pStyle w:val="CoverDescriptor"/>
      </w:pPr>
      <w:r>
        <w:t>Business concept, commercial model, customer experience, and growth strategy</w:t>
      </w:r>
    </w:p>
    <w:p>
      <w:pPr>
        <w:pStyle w:val="CoverDate"/>
      </w:pPr>
      <w:r>
        <w:t>7 September 2026</w:t>
      </w:r>
    </w:p>
    <w:p>
      <w:pPr>
        <w:pStyle w:val="CoverNote"/>
      </w:pPr>
      <w:r>
        <w:t>Prepared from the six supplied documents. This profile describes the intended business model. The files do not establish which features are live or confirm operating results. Additional operating detail is presented as proposed design, with outstanding decisions recorded at the end.</w:t>
      </w:r>
    </w:p>
    <w:p>
      <w:bookmarkStart w:id="1" w:name="section_1"/>
      <w:pPr>
        <w:pStyle w:val="Heading1"/>
        <w:pageBreakBefore/>
      </w:pPr>
      <w:r>
        <w:t>Business overview</w:t>
      </w:r>
      <w:bookmarkEnd w:id="1"/>
    </w:p>
    <w:p>
      <w:pPr/>
      <w:r>
        <w:t>Tarmem is a proposed renovation marketplace designed to make home improvement more transparent, organized, and accountable. Launching initially in Saudi Arabia, the business would connect homeowners seeking renovation services with contractors able to deliver them, while providing a shared digital environment for selecting a provider, agreeing the work, tracking progress, and managing payments.</w:t>
      </w:r>
    </w:p>
    <w:p>
      <w:pPr/>
      <w:r>
        <w:t>The central idea is to bring greater confidence to a purchase that often involves substantial spending, unfamiliar service providers, and work delivered over several weeks or months. Tarmem is designed to support the relationship beyond the initial introduction. Its intended value extends across the project, from the first brief to the approval of completed milestones and the resolution of any disagreement.</w:t>
      </w:r>
    </w:p>
    <w:p>
      <w:pPr/>
      <w:r>
        <w:t>For homeowners, the proposition is a clearer way to compare contractors, understand what has been agreed, follow the work, and authorize staged payments. For contractors, it is a channel for finding relevant projects, demonstrating experience, managing customer relationships, and receiving payments through a defined process.</w:t>
      </w:r>
    </w:p>
    <w:p>
      <w:pPr>
        <w:pStyle w:val="Heading2"/>
      </w:pPr>
      <w:r>
        <w:t>Mission</w:t>
      </w:r>
    </w:p>
    <w:p>
      <w:pPr/>
      <w:r>
        <w:t>To help homeowners undertake renovation projects with greater confidence and clarity, while giving capable contractors fair access to project opportunities and a more organized way to deliver their work.</w:t>
      </w:r>
    </w:p>
    <w:p>
      <w:pPr>
        <w:pStyle w:val="Heading2"/>
      </w:pPr>
      <w:r>
        <w:t>Vision</w:t>
      </w:r>
    </w:p>
    <w:p>
      <w:pPr/>
      <w:r>
        <w:t>To become a trusted renovation platform across the Middle East, recognized for transparent transactions, reliable contractor relationships, and an accessible customer experience.</w:t>
      </w:r>
    </w:p>
    <w:p>
      <w:pPr>
        <w:pStyle w:val="Heading2"/>
      </w:pPr>
      <w:r>
        <w:t>Business identity and role</w:t>
      </w:r>
    </w:p>
    <w:p>
      <w:pPr/>
      <w:r>
        <w:t>Tarmem's primary role is that of a digital intermediary and project coordination platform. The supplied model places physical renovation delivery with participating contractors and positions Tarmem around matching, verification, payment coordination, tracking, and support. It does not establish that Tarmem employs construction crews or acts as the principal contractor on customer projects.</w:t>
      </w:r>
    </w:p>
    <w:p>
      <w:pPr/>
      <w:r>
        <w:t>The business combines a marketplace function with an ongoing service layer. This distinction matters commercially: customers and contractors need a reason to continue using the platform after meeting each other. Documented agreements, visible progress, milestone approval, payment records, and structured support are intended to provide that continuing value.</w:t>
      </w:r>
    </w:p>
    <w:p>
      <w:pPr/>
      <w:r>
        <w:t>Tarmem's proposed revenue comes primarily from project commissions and homeowner service fees. Premium memberships, enhanced listings, and partnerships appear in the longer term strategy, but their scope and pricing have not been defined.</w:t>
      </w:r>
    </w:p>
    <w:p>
      <w:pPr>
        <w:pStyle w:val="Basis"/>
      </w:pPr>
      <w:r>
        <w:t>Source basis: overview.docx; Business Report.docx. This is a description of the proposed model, not confirmation of an operating company or launched service.</w:t>
      </w:r>
    </w:p>
    <w:p>
      <w:bookmarkStart w:id="2" w:name="section_2"/>
      <w:pPr>
        <w:pStyle w:val="Heading1"/>
        <w:pageBreakBefore w:val="0"/>
      </w:pPr>
      <w:r>
        <w:t>Customer needs and target audience</w:t>
      </w:r>
      <w:bookmarkEnd w:id="2"/>
    </w:p>
    <w:p>
      <w:pPr/>
      <w:r>
        <w:t>The source documents frame the customer problem as uncertainty throughout the renovation process. A homeowner must identify a capable contractor, judge competing proposals, commit funds, monitor work, and resolve issues. Tarmem is intended to make these decisions easier to understand and manage within one documented process.</w:t>
      </w:r>
    </w:p>
    <w:p>
      <w:pPr>
        <w:pStyle w:val="Heading2"/>
      </w:pPr>
      <w:r>
        <w:t>Homeowners</w:t>
      </w:r>
    </w:p>
    <w:p>
      <w:pPr/>
      <w:r>
        <w:t>The primary audience is homeowners in Saudi Arabia who are planning an improvement or renovation project and want help finding a suitable contractor and managing the relationship. Relevant needs include improving an existing home, preparing a recently purchased property, or upgrading selected spaces. These use cases illustrate the concept; a final catalogue of eligible projects has not been supplied.</w:t>
      </w:r>
    </w:p>
    <w:p>
      <w:pPr/>
      <w:r>
        <w:t>The targeting document proposes an initial advertising focus on adults aged 25 to 44, with interests in home improvement, interior design, architecture, property, and DIY content. This is a campaign hypothesis rather than a restriction on who may use the service. Project intent, property location, timing, and budget would provide useful additional signals for campaign and lead qualification.</w:t>
      </w:r>
    </w:p>
    <w:tbl>
      <w:tblPr>
        <w:jc w:val="left"/>
        <w:tblLayout w:type="fixed"/>
        <w:tblLook w:firstColumn="1" w:firstRow="1" w:lastColumn="0" w:lastRow="0" w:noHBand="0" w:noVBand="1" w:val="04A0"/>
        <w:tblW w:w="9360" w:type="dxa"/>
        <w:tblInd w:w="120" w:type="dxa"/>
        <w:tblBorders>
          <w:top w:val="single" w:sz="4" w:color="D8DDE2"/>
          <w:left w:val="single" w:sz="4" w:color="D8DDE2"/>
          <w:bottom w:val="single" w:sz="4" w:color="D8DDE2"/>
          <w:right w:val="single" w:sz="4" w:color="D8DDE2"/>
          <w:insideH w:val="single" w:sz="4" w:color="D8DDE2"/>
          <w:insideV w:val="single" w:sz="4" w:color="D8DDE2"/>
        </w:tblBorders>
        <w:tblCellMar>
          <w:top w:w="80" w:type="dxa"/>
          <w:bottom w:w="80" w:type="dxa"/>
          <w:start w:w="120" w:type="dxa"/>
          <w:end w:w="120" w:type="dxa"/>
        </w:tblCellMar>
      </w:tblPr>
      <w:tblGrid>
        <w:gridCol w:w="2400"/>
        <w:gridCol w:w="2730"/>
        <w:gridCol w:w="4230"/>
      </w:tblGrid>
      <w:tr>
        <w:trPr>
          <w:cantSplit/>
          <w:tblHeader/>
        </w:trPr>
        <w:tc>
          <w:tcPr>
            <w:tcW w:type="dxa" w:w="2400"/>
            <w:vAlign w:val="center"/>
            <w:shd w:val="clear" w:fill="F2F4F7"/>
          </w:tcPr>
          <w:p>
            <w:pPr>
              <w:pStyle w:val="TableHeader"/>
              <w:keepNext/>
            </w:pPr>
            <w:r>
              <w:t>Audience</w:t>
            </w:r>
          </w:p>
        </w:tc>
        <w:tc>
          <w:tcPr>
            <w:tcW w:type="dxa" w:w="2730"/>
            <w:vAlign w:val="center"/>
            <w:shd w:val="clear" w:fill="F2F4F7"/>
          </w:tcPr>
          <w:p>
            <w:pPr>
              <w:pStyle w:val="TableHeader"/>
              <w:keepNext/>
            </w:pPr>
            <w:r>
              <w:t>Main need</w:t>
            </w:r>
          </w:p>
        </w:tc>
        <w:tc>
          <w:tcPr>
            <w:tcW w:type="dxa" w:w="4230"/>
            <w:vAlign w:val="center"/>
            <w:shd w:val="clear" w:fill="F2F4F7"/>
          </w:tcPr>
          <w:p>
            <w:pPr>
              <w:pStyle w:val="TableHeader"/>
              <w:keepNext/>
            </w:pPr>
            <w:r>
              <w:t>Intended Tarmem value</w:t>
            </w:r>
          </w:p>
        </w:tc>
      </w:tr>
      <w:tr>
        <w:trPr>
          <w:cantSplit/>
        </w:trPr>
        <w:tc>
          <w:tcPr>
            <w:tcW w:type="dxa" w:w="2400"/>
            <w:vAlign w:val="center"/>
          </w:tcPr>
          <w:p>
            <w:pPr>
              <w:pStyle w:val="TableText"/>
              <w:keepNext/>
            </w:pPr>
            <w:r>
              <w:t>Homeowners planning renovations</w:t>
            </w:r>
          </w:p>
        </w:tc>
        <w:tc>
          <w:tcPr>
            <w:tcW w:type="dxa" w:w="2730"/>
            <w:vAlign w:val="center"/>
          </w:tcPr>
          <w:p>
            <w:pPr>
              <w:pStyle w:val="TableText"/>
              <w:keepNext/>
            </w:pPr>
            <w:r>
              <w:t>Choose and manage a contractor</w:t>
            </w:r>
          </w:p>
        </w:tc>
        <w:tc>
          <w:tcPr>
            <w:tcW w:type="dxa" w:w="4230"/>
            <w:vAlign w:val="center"/>
          </w:tcPr>
          <w:p>
            <w:pPr>
              <w:pStyle w:val="TableText"/>
              <w:keepNext/>
            </w:pPr>
            <w:r>
              <w:t>Comparable bids, progress visibility, staged approvals</w:t>
            </w:r>
          </w:p>
        </w:tc>
      </w:tr>
      <w:tr>
        <w:trPr>
          <w:cantSplit/>
        </w:trPr>
        <w:tc>
          <w:tcPr>
            <w:tcW w:type="dxa" w:w="2400"/>
            <w:vAlign w:val="center"/>
          </w:tcPr>
          <w:p>
            <w:pPr>
              <w:pStyle w:val="TableText"/>
              <w:keepNext/>
            </w:pPr>
            <w:r>
              <w:t>New homeowners</w:t>
            </w:r>
          </w:p>
        </w:tc>
        <w:tc>
          <w:tcPr>
            <w:tcW w:type="dxa" w:w="2730"/>
            <w:vAlign w:val="center"/>
          </w:tcPr>
          <w:p>
            <w:pPr>
              <w:pStyle w:val="TableText"/>
              <w:keepNext/>
            </w:pPr>
            <w:r>
              <w:t>Organize improvements before or after moving</w:t>
            </w:r>
          </w:p>
        </w:tc>
        <w:tc>
          <w:tcPr>
            <w:tcW w:type="dxa" w:w="4230"/>
            <w:vAlign w:val="center"/>
          </w:tcPr>
          <w:p>
            <w:pPr>
              <w:pStyle w:val="TableText"/>
              <w:keepNext/>
            </w:pPr>
            <w:r>
              <w:t>A clearer brief and coordinated project process</w:t>
            </w:r>
          </w:p>
        </w:tc>
      </w:tr>
      <w:tr>
        <w:trPr>
          <w:cantSplit/>
        </w:trPr>
        <w:tc>
          <w:tcPr>
            <w:tcW w:type="dxa" w:w="2400"/>
            <w:vAlign w:val="center"/>
          </w:tcPr>
          <w:p>
            <w:pPr>
              <w:pStyle w:val="TableText"/>
              <w:keepNext/>
            </w:pPr>
            <w:r>
              <w:t>Renovation contractors</w:t>
            </w:r>
          </w:p>
        </w:tc>
        <w:tc>
          <w:tcPr>
            <w:tcW w:type="dxa" w:w="2730"/>
            <w:vAlign w:val="center"/>
          </w:tcPr>
          <w:p>
            <w:pPr>
              <w:pStyle w:val="TableText"/>
              <w:keepNext/>
            </w:pPr>
            <w:r>
              <w:t>Find relevant work and build credibility</w:t>
            </w:r>
          </w:p>
        </w:tc>
        <w:tc>
          <w:tcPr>
            <w:tcW w:type="dxa" w:w="4230"/>
            <w:vAlign w:val="center"/>
          </w:tcPr>
          <w:p>
            <w:pPr>
              <w:pStyle w:val="TableText"/>
              <w:keepNext/>
            </w:pPr>
            <w:r>
              <w:t>Project access, verified profiles, performance records</w:t>
            </w:r>
          </w:p>
        </w:tc>
      </w:tr>
      <w:tr>
        <w:trPr>
          <w:cantSplit/>
        </w:trPr>
        <w:tc>
          <w:tcPr>
            <w:tcW w:type="dxa" w:w="2400"/>
            <w:vAlign w:val="center"/>
          </w:tcPr>
          <w:p>
            <w:pPr>
              <w:pStyle w:val="TableText"/>
              <w:keepNext w:val="0"/>
            </w:pPr>
            <w:r>
              <w:t>Property and design partners</w:t>
            </w:r>
          </w:p>
        </w:tc>
        <w:tc>
          <w:tcPr>
            <w:tcW w:type="dxa" w:w="2730"/>
            <w:vAlign w:val="center"/>
          </w:tcPr>
          <w:p>
            <w:pPr>
              <w:pStyle w:val="TableText"/>
              <w:keepNext w:val="0"/>
            </w:pPr>
            <w:r>
              <w:t>Connect clients with renovation services</w:t>
            </w:r>
          </w:p>
        </w:tc>
        <w:tc>
          <w:tcPr>
            <w:tcW w:type="dxa" w:w="4230"/>
            <w:vAlign w:val="center"/>
          </w:tcPr>
          <w:p>
            <w:pPr>
              <w:pStyle w:val="TableText"/>
              <w:keepNext w:val="0"/>
            </w:pPr>
            <w:r>
              <w:t>Referral and bundled service opportunities</w:t>
            </w:r>
          </w:p>
        </w:tc>
      </w:tr>
    </w:tbl>
    <w:p>
      <w:pPr>
        <w:pStyle w:val="TableSpacer"/>
      </w:pPr>
    </w:p>
    <w:p>
      <w:pPr>
        <w:pStyle w:val="Heading2"/>
      </w:pPr>
      <w:r>
        <w:t>Contractors</w:t>
      </w:r>
    </w:p>
    <w:p>
      <w:pPr/>
      <w:r>
        <w:t>The supply side consists of renovation contractors willing to provide their credentials, demonstrate relevant experience, bid for suitable work, and follow the platform's project and payment process. The value proposition is strongest where a contractor needs consistent visibility and customer acquisition support, while also benefiting from organized communication and payment records.</w:t>
      </w:r>
    </w:p>
    <w:p>
      <w:pPr>
        <w:pStyle w:val="Heading2"/>
      </w:pPr>
      <w:r>
        <w:t>Institutional relationships</w:t>
      </w:r>
    </w:p>
    <w:p>
      <w:pPr/>
      <w:r>
        <w:t>Real estate developers, property professionals, interior designers, suppliers, banks, and financing institutions are identified as potential partners. Some would refer customers or package renovation services with their own offerings; others could improve material access or support future financing options. The files describe these as opportunities and do not confirm signed relationships.</w:t>
      </w:r>
    </w:p>
    <w:p>
      <w:pPr/>
      <w:r>
        <w:t>An Arabic first customer experience is consistent with the targeting strategy. Content and support should reflect local renovation needs and ways of communicating. The source's suggestion of a male skew is not supported by customer data and has not been adopted as a market fact or service restriction.</w:t>
      </w:r>
    </w:p>
    <w:p>
      <w:pPr>
        <w:pStyle w:val="Basis"/>
      </w:pPr>
      <w:r>
        <w:t>Source basis: targeting.docx; overview.docx; Business Report.docx. Audience use cases and qualification signals are proposed elaborations.</w:t>
      </w:r>
    </w:p>
    <w:p>
      <w:bookmarkStart w:id="3" w:name="section_3"/>
      <w:pPr>
        <w:pStyle w:val="Heading1"/>
        <w:pageBreakBefore w:val="0"/>
      </w:pPr>
      <w:r>
        <w:t>Service model and value proposition</w:t>
      </w:r>
      <w:bookmarkEnd w:id="3"/>
    </w:p>
    <w:p>
      <w:pPr/>
      <w:r>
        <w:t>Tarmem's proposed offer combines five connected services. Their value comes from how they work together across a project: a contractor profile supports selection, a clear scope supports execution, progress evidence supports approval, and the project record supports payment and issue handling.</w:t>
      </w:r>
    </w:p>
    <w:p>
      <w:pPr>
        <w:pStyle w:val="Heading2"/>
      </w:pPr>
      <w:r>
        <w:t>Contractor discovery and verification</w:t>
      </w:r>
    </w:p>
    <w:p>
      <w:pPr/>
      <w:r>
        <w:t>Homeowners would access contractor profiles showing past projects, ratings, reviews, certifications, and licences. Contractors would complete a screening process before receiving verified status. The website plan includes a visible trusted badge and the ability for homeowners to bookmark preferred providers.</w:t>
      </w:r>
    </w:p>
    <w:p>
      <w:pPr/>
      <w:r>
        <w:t>Verification should communicate precisely what has been checked. Identity, business credentials, relevant professional documents, and portfolio evidence are different checks and should not be treated as interchangeable. The final criteria remain to be defined. A verified profile would provide information for selection; it would not by itself guarantee workmanship or project outcomes.</w:t>
      </w:r>
    </w:p>
    <w:p>
      <w:pPr>
        <w:pStyle w:val="Heading2"/>
      </w:pPr>
      <w:r>
        <w:t>Project posting and competitive bidding</w:t>
      </w:r>
    </w:p>
    <w:p>
      <w:pPr/>
      <w:r>
        <w:t>A homeowner would create a brief with a project title, description, location, budget range, and supporting photographs or design files. Contractors would respond with prices, estimated timelines, and examples of relevant work. Tarmem would help the homeowner review alternatives and select a provider suited to the project.</w:t>
      </w:r>
    </w:p>
    <w:p>
      <w:pPr/>
      <w:r>
        <w:t>To make bids meaningfully comparable, the proposed operating design should clarify inclusions, exclusions, materials, delivery assumptions, and milestones before acceptance. A lower headline price is less useful when the underlying scope differs.</w:t>
      </w:r>
    </w:p>
    <w:p>
      <w:pPr>
        <w:pStyle w:val="Heading2"/>
      </w:pPr>
      <w:r>
        <w:t>Progress tracking and communication</w:t>
      </w:r>
    </w:p>
    <w:p>
      <w:pPr/>
      <w:r>
        <w:t>The platform would provide an overview of active projects, milestone status, updates, messaging, and file sharing. This creates a common reference for decisions that might otherwise be spread across calls and separate conversations. Progress would depend on updates and evidence submitted by participants; the files do not describe automatic monitoring of physical work.</w:t>
      </w:r>
    </w:p>
    <w:p>
      <w:pPr>
        <w:pStyle w:val="Heading2"/>
      </w:pPr>
      <w:r>
        <w:t>Milestone payment coordination</w:t>
      </w:r>
    </w:p>
    <w:p>
      <w:pPr/>
      <w:r>
        <w:t>The proposed escrow model connects the release of funds to agreed stages of work and approval. Its purpose is to reduce uncertainty around advance payments and contractor collection. The custody arrangement, payment provider, release rules, and exceptions remain implementation decisions.</w:t>
      </w:r>
    </w:p>
    <w:p>
      <w:pPr>
        <w:pStyle w:val="Heading2"/>
      </w:pPr>
      <w:r>
        <w:t>Customer support and issue resolution</w:t>
      </w:r>
    </w:p>
    <w:p>
      <w:pPr/>
      <w:r>
        <w:t>Tarmem would provide assistance when questions or disagreements arise. A structured process would use the agreed brief, communications, and milestone evidence to help the parties reach an outcome. The service promise is a clearer route for handling issues, rather than a guarantee that disputes cannot occur.</w:t>
      </w:r>
    </w:p>
    <w:p>
      <w:pPr/>
      <w:r>
        <w:t>The materials do not define individual trades, minimum or maximum project values, emergency services, inspections, warranties, or material procurement responsibilities. Those boundaries should be set before Tarmem presents a complete service catalogue.</w:t>
      </w:r>
    </w:p>
    <w:p>
      <w:pPr>
        <w:pStyle w:val="Basis"/>
      </w:pPr>
      <w:r>
        <w:t>Source basis: overview.docx; Business Report.docx; Website Structure - Tarmem.docx. Scope comparison and verification detail are proposed operating design.</w:t>
      </w:r>
    </w:p>
    <w:p>
      <w:bookmarkStart w:id="4" w:name="section_4"/>
      <w:pPr>
        <w:pStyle w:val="Heading1"/>
        <w:pageBreakBefore w:val="0"/>
      </w:pPr>
      <w:r>
        <w:t>Customer and contractor experience</w:t>
      </w:r>
      <w:bookmarkEnd w:id="4"/>
    </w:p>
    <w:p>
      <w:pPr/>
      <w:r>
        <w:t>Tarmem is intended to support a continuous journey from registration to project completion. The sequence below connects the website features into a proposed operating process. Detailed approval rules, time limits, and responsibilities would need to be established during implementation.</w:t>
      </w:r>
    </w:p>
    <w:p>
      <w:pPr>
        <w:pStyle w:val="Heading2"/>
      </w:pPr>
      <w:r>
        <w:t>The homeowner journey</w:t>
      </w:r>
    </w:p>
    <w:p>
      <w:pPr>
        <w:pStyle w:val="Step"/>
        <w:numPr>
          <w:ilvl w:val="0"/>
          <w:numId w:val="10"/>
        </w:numPr>
      </w:pPr>
      <w:r>
        <w:rPr>
          <w:b/>
        </w:rPr>
        <w:t>Create an account and complete the profile.</w:t>
      </w:r>
      <w:r>
        <w:t xml:space="preserve"> The website plan provides separate homeowner and contractor registration flows, with email, phone, and proposed social sign in options. It also requires an ID or Iqama as part of profile completion before services can be used.</w:t>
      </w:r>
    </w:p>
    <w:p>
      <w:pPr>
        <w:pStyle w:val="Step"/>
        <w:numPr>
          <w:ilvl w:val="0"/>
          <w:numId w:val="10"/>
        </w:numPr>
      </w:pPr>
      <w:r>
        <w:rPr>
          <w:b/>
        </w:rPr>
        <w:t>Describe the renovation.</w:t>
      </w:r>
      <w:r>
        <w:t xml:space="preserve"> The homeowner enters the scope, location, budget range, and relevant photographs or design files. A clear brief helps contractors decide whether the work matches their capabilities.</w:t>
      </w:r>
    </w:p>
    <w:p>
      <w:pPr>
        <w:pStyle w:val="Step"/>
        <w:numPr>
          <w:ilvl w:val="0"/>
          <w:numId w:val="10"/>
        </w:numPr>
      </w:pPr>
      <w:r>
        <w:rPr>
          <w:b/>
        </w:rPr>
        <w:t>Receive and compare bids.</w:t>
      </w:r>
      <w:r>
        <w:t xml:space="preserve"> Notifications alert the homeowner to proposals. The comparison would draw on price, estimated duration, portfolio relevance, verified credentials, and available customer feedback.</w:t>
      </w:r>
    </w:p>
    <w:p>
      <w:pPr>
        <w:pStyle w:val="Step"/>
        <w:numPr>
          <w:ilvl w:val="0"/>
          <w:numId w:val="10"/>
        </w:numPr>
      </w:pPr>
      <w:r>
        <w:rPr>
          <w:b/>
        </w:rPr>
        <w:t>Choose a contractor and agree the work.</w:t>
      </w:r>
      <w:r>
        <w:t xml:space="preserve"> The parties confirm the scope, deliverables, project price, schedule, and milestones. Recording exclusions and responsibilities at this stage is a proposed safeguard against later misunderstanding.</w:t>
      </w:r>
    </w:p>
    <w:p>
      <w:pPr>
        <w:pStyle w:val="Step"/>
        <w:numPr>
          <w:ilvl w:val="0"/>
          <w:numId w:val="10"/>
        </w:numPr>
      </w:pPr>
      <w:r>
        <w:rPr>
          <w:b/>
        </w:rPr>
        <w:t>Arrange the required project funding.</w:t>
      </w:r>
      <w:r>
        <w:t xml:space="preserve"> The customer follows the agreed payment process. The files propose escrow and staged release but do not settle whether the full project value or individual milestones must be funded in advance.</w:t>
      </w:r>
    </w:p>
    <w:p>
      <w:pPr>
        <w:pStyle w:val="Step"/>
        <w:numPr>
          <w:ilvl w:val="0"/>
          <w:numId w:val="10"/>
        </w:numPr>
      </w:pPr>
      <w:r>
        <w:rPr>
          <w:b/>
        </w:rPr>
        <w:t>Follow progress and manage changes.</w:t>
      </w:r>
      <w:r>
        <w:t xml:space="preserve"> The homeowner receives updates, exchanges messages and files, and reviews milestone evidence. Any change affecting price, scope, or timing should be recorded and agreed before the additional work proceeds.</w:t>
      </w:r>
    </w:p>
    <w:p>
      <w:pPr>
        <w:pStyle w:val="Step"/>
        <w:numPr>
          <w:ilvl w:val="0"/>
          <w:numId w:val="10"/>
        </w:numPr>
      </w:pPr>
      <w:r>
        <w:rPr>
          <w:b/>
        </w:rPr>
        <w:t>Review completed milestones.</w:t>
      </w:r>
      <w:r>
        <w:t xml:space="preserve"> The homeowner approves satisfactory work or raises a specific concern through the defined process. Funds would be released in line with the agreed payment arrangement.</w:t>
      </w:r>
    </w:p>
    <w:p>
      <w:pPr>
        <w:pStyle w:val="Step"/>
        <w:numPr>
          <w:ilvl w:val="0"/>
          <w:numId w:val="10"/>
        </w:numPr>
      </w:pPr>
      <w:r>
        <w:rPr>
          <w:b/>
        </w:rPr>
        <w:t>Close the project and provide feedback.</w:t>
      </w:r>
      <w:r>
        <w:t xml:space="preserve"> Completion should capture final acceptance, outstanding items, relevant handover files, and the final payment position. A review linked to the completed project would contribute to future contractor selection.</w:t>
      </w:r>
    </w:p>
    <w:p>
      <w:pPr>
        <w:pStyle w:val="Heading2"/>
      </w:pPr>
      <w:r>
        <w:t>The contractor journey</w:t>
      </w:r>
    </w:p>
    <w:p>
      <w:pPr/>
      <w:r>
        <w:t>Contractors would register, complete their profiles, submit verification information, and present their experience through portfolios and credentials. Once eligible, they could browse open projects and submit bids with price and time estimates. Selection would lead to scope agreement and the project delivery process.</w:t>
      </w:r>
    </w:p>
    <w:p>
      <w:pPr/>
      <w:r>
        <w:t>During execution, the contractor would use the platform to communicate, provide updates, submit milestone evidence, and follow payment status. The planned dashboard includes pending payments, earnings breakdowns, customer ratings, and profile performance analytics.</w:t>
      </w:r>
    </w:p>
    <w:p>
      <w:pPr/>
      <w:r>
        <w:t>This structure is intended to help contractors build a documented record of completed work and customer experience. Eligibility to bid would provide access to opportunities, without implying that every registered contractor receives projects or wins a particular volume of work.</w:t>
      </w:r>
    </w:p>
    <w:p>
      <w:pPr>
        <w:pStyle w:val="Basis"/>
      </w:pPr>
      <w:r>
        <w:t>Source basis: Website Structure - Tarmem.docx; overview.docx. Scope agreement, change management, and handover details are proposed additions to connect the documented features.</w:t>
      </w:r>
    </w:p>
    <w:p>
      <w:bookmarkStart w:id="5" w:name="section_5"/>
      <w:pPr>
        <w:pStyle w:val="Heading1"/>
        <w:pageBreakBefore w:val="0"/>
      </w:pPr>
      <w:r>
        <w:t>Payments, trust, and dispute handling</w:t>
      </w:r>
      <w:bookmarkEnd w:id="5"/>
    </w:p>
    <w:p>
      <w:pPr/>
      <w:r>
        <w:t>The proposed payment model is central to Tarmem's positioning. Homeowners would commit funds through an agreed escrow arrangement, while contractors would receive staged payments as work reaches the required milestones and approval conditions. This is intended to align payment with delivery and make both parties' obligations more visible.</w:t>
      </w:r>
    </w:p>
    <w:p>
      <w:pPr>
        <w:pStyle w:val="Heading2"/>
      </w:pPr>
      <w:r>
        <w:t>How milestone payments would work</w:t>
      </w:r>
    </w:p>
    <w:p>
      <w:pPr/>
      <w:r>
        <w:t>Each project should have identifiable stages with defined deliverables, payment amounts, and acceptance criteria. A milestone needs enough detail for both parties to understand what is being approved. A broad label such as completion of a room is less useful unless the agreed work and required finish are also recorded.</w:t>
      </w:r>
    </w:p>
    <w:p>
      <w:pPr/>
      <w:r>
        <w:t>At each stage, the contractor would submit completion evidence, and the homeowner would review it through the platform. An approved milestone would move into the payment release process. A disputed stage would enter the issue handling process rather than being treated as automatically accepted.</w:t>
      </w:r>
    </w:p>
    <w:p>
      <w:pPr/>
      <w:r>
        <w:t>The source documents do not identify a payment partner or establish Tarmem's authority to hold customer funds. This profile therefore treats escrow as a proposed arrangement to be implemented with the appropriate provider and operating structure. The files also do not define deposits, full versus staged funding, inspection requirements, automatic release conditions, or refund handling.</w:t>
      </w:r>
    </w:p>
    <w:p>
      <w:pPr>
        <w:pStyle w:val="Heading2"/>
      </w:pPr>
      <w:r>
        <w:t>Proposed dispute process</w:t>
      </w:r>
    </w:p>
    <w:p>
      <w:pPr/>
      <w:r>
        <w:t>A practical support process would begin with a recorded issue linked to the relevant scope or milestone. The customer and contractor would provide their explanations and supporting evidence, and Tarmem's support function would review the shared project record.</w:t>
      </w:r>
    </w:p>
    <w:p>
      <w:pPr/>
      <w:r>
        <w:t>The process could then support clarification, an agreed correction, a revised timetable, or another documented settlement permitted by the project terms. Unresolved matters would follow the escalation route established in those terms. Tarmem's authority to decide an outcome, suspend a release, or arrange an independent assessment has not been defined in the materials.</w:t>
      </w:r>
    </w:p>
    <w:p>
      <w:pPr>
        <w:pStyle w:val="Heading2"/>
      </w:pPr>
      <w:r>
        <w:t>Trust depends on the operating rules</w:t>
      </w:r>
    </w:p>
    <w:p>
      <w:pPr/>
      <w:r>
        <w:t>Identity checks, contractor screening, evidence of work, visible payment status, and consistent support are complementary parts of the trust model. They reduce specific uncertainties when implemented well. They do not remove every risk associated with construction quality, customer acceptance, delay, or disagreement.</w:t>
      </w:r>
    </w:p>
    <w:p>
      <w:pPr/>
      <w:r>
        <w:t>Contractor communications should explain the conditions for payment, including funding, approval, deductions, and payout timing. Homeowner communications should distinguish money committed to a project from money already released. The documents' references to guaranteed payments and complete financial security should not be used as unconditional promises.</w:t>
      </w:r>
    </w:p>
    <w:p>
      <w:pPr/>
      <w:r>
        <w:t>Apple Pay is included in the website requirements as a proposed payment method. Its availability and role would depend on the eventual payment integration; it does not by itself establish the escrow structure.</w:t>
      </w:r>
    </w:p>
    <w:p>
      <w:pPr>
        <w:pStyle w:val="Basis"/>
      </w:pPr>
      <w:r>
        <w:t>Source basis: overview.docx; Business Report.docx; Website Structure - Tarmem.docx. Dispute stages and acceptance detail are proposed operating design.</w:t>
      </w:r>
    </w:p>
    <w:p>
      <w:bookmarkStart w:id="6" w:name="section_6"/>
      <w:pPr>
        <w:pStyle w:val="Heading1"/>
        <w:pageBreakBefore w:val="0"/>
      </w:pPr>
      <w:r>
        <w:t>Platform and digital experience</w:t>
      </w:r>
      <w:bookmarkEnd w:id="6"/>
    </w:p>
    <w:p>
      <w:pPr/>
      <w:r>
        <w:t>Tarmem's website is designed to serve both sides of the marketplace through separate onboarding and dashboard experiences. The product's purpose is to keep the important project information and actions accessible, while making it clear what each participant needs to do next.</w:t>
      </w:r>
    </w:p>
    <w:p>
      <w:pPr>
        <w:pStyle w:val="Heading2"/>
      </w:pPr>
      <w:r>
        <w:t>Public website and registration</w:t>
      </w:r>
    </w:p>
    <w:p>
      <w:pPr/>
      <w:r>
        <w:t>The planned structure includes a landing page, registration and onboarding pages, contractor profiles, project posting and bidding, dashboards, and payment functionality. The landing page should explain the service, the two user journeys, proposed fees, and the role of milestone payments in straightforward language.</w:t>
      </w:r>
    </w:p>
    <w:p>
      <w:pPr/>
      <w:r>
        <w:t>The registration plan includes email, phone, Google, and Facebook options, followed by profile completion using an ID or Iqama. These are documented requirements rather than confirmed live integrations. Identity handling, access controls, and the information visible to other users would need to be designed before collecting customer documents.</w:t>
      </w:r>
    </w:p>
    <w:p>
      <w:pPr>
        <w:pStyle w:val="Heading2"/>
      </w:pPr>
      <w:r>
        <w:t>Homeowner dashboard</w:t>
      </w:r>
    </w:p>
    <w:p>
      <w:pPr/>
      <w:r>
        <w:t>The homeowner dashboard would show active projects, contractor bids, ratings and price estimates, progress, and payment approval actions. Messaging and file sharing would support communication within the project. Notifications would draw attention to new bids and, as a proposed extension, decisions requiring customer action.</w:t>
      </w:r>
    </w:p>
    <w:p>
      <w:pPr>
        <w:pStyle w:val="Heading2"/>
      </w:pPr>
      <w:r>
        <w:t>Contractor dashboard</w:t>
      </w:r>
    </w:p>
    <w:p>
      <w:pPr/>
      <w:r>
        <w:t>Contractors would browse and bid on open projects, monitor pending payments, view earnings, and review ratings and profile performance. Their public profiles would combine portfolio work, credentials, customer feedback, and verification status. Homeowners would be able to save preferred contractors for later consideration.</w:t>
      </w:r>
    </w:p>
    <w:p>
      <w:pPr>
        <w:pStyle w:val="Heading2"/>
      </w:pPr>
      <w:r>
        <w:t>Matching and future development</w:t>
      </w:r>
    </w:p>
    <w:p>
      <w:pPr/>
      <w:r>
        <w:t>The website plan proposes AI based recommendations to identify suitable contractors for each project. This should be described as an intended feature. The files contain no model specification, training data, matching accuracy, or evidence that the capability has been developed.</w:t>
      </w:r>
    </w:p>
    <w:p>
      <w:pPr/>
      <w:r>
        <w:t>A practical starting point would be transparent matching criteria such as location, relevant trade, project type, and availability, with more advanced recommendations introduced when there is sufficient reliable data. This is a proposed development approach, not a capability already documented as live.</w:t>
      </w:r>
    </w:p>
    <w:p>
      <w:pPr/>
      <w:r>
        <w:t>Mobile app access, faster transactions, and continued product improvement are part of the growth plan. Responsive mobile access would be an appropriate early priority for users managing projects away from a desk; a standalone app remains a separate product decision.</w:t>
      </w:r>
    </w:p>
    <w:p>
      <w:pPr>
        <w:pStyle w:val="Heading2"/>
      </w:pPr>
      <w:r>
        <w:t>Internal administration</w:t>
      </w:r>
    </w:p>
    <w:p>
      <w:pPr/>
      <w:r>
        <w:t>The website structure concentrates on customer screens. A complete operating product would also need internal tools for reviewing verification records, handling support cases, supervising project status, managing payment exceptions, and controlling access. These are proposed requirements needed to support the intended service.</w:t>
      </w:r>
    </w:p>
    <w:p>
      <w:pPr>
        <w:pStyle w:val="Basis"/>
      </w:pPr>
      <w:r>
        <w:t>Source basis: Website Structure - Tarmem.docx; overview.docx; Business Report.docx. Internal administration and the suggested matching sequence are proposed elaborations.</w:t>
      </w:r>
    </w:p>
    <w:p>
      <w:bookmarkStart w:id="7" w:name="section_7"/>
      <w:pPr>
        <w:pStyle w:val="Heading1"/>
        <w:pageBreakBefore/>
      </w:pPr>
      <w:r>
        <w:t>Revenue and commercial model</w:t>
      </w:r>
      <w:bookmarkEnd w:id="7"/>
    </w:p>
    <w:p>
      <w:pPr/>
      <w:r>
        <w:t>Tarmem proposes earning transaction fees from contractors and homeowners, with a first project incentive to encourage homeowner adoption.</w:t>
      </w:r>
    </w:p>
    <w:tbl>
      <w:tblPr>
        <w:jc w:val="left"/>
        <w:tblLayout w:type="fixed"/>
        <w:tblLook w:firstColumn="1" w:firstRow="1" w:lastColumn="0" w:lastRow="0" w:noHBand="0" w:noVBand="1" w:val="04A0"/>
        <w:tblW w:w="9360" w:type="dxa"/>
        <w:tblInd w:w="120" w:type="dxa"/>
        <w:tblBorders>
          <w:top w:val="single" w:sz="4" w:color="D8DDE2"/>
          <w:left w:val="single" w:sz="4" w:color="D8DDE2"/>
          <w:bottom w:val="single" w:sz="4" w:color="D8DDE2"/>
          <w:right w:val="single" w:sz="4" w:color="D8DDE2"/>
          <w:insideH w:val="single" w:sz="4" w:color="D8DDE2"/>
          <w:insideV w:val="single" w:sz="4" w:color="D8DDE2"/>
        </w:tblBorders>
        <w:tblCellMar>
          <w:top w:w="80" w:type="dxa"/>
          <w:bottom w:w="80" w:type="dxa"/>
          <w:start w:w="120" w:type="dxa"/>
          <w:end w:w="120" w:type="dxa"/>
        </w:tblCellMar>
      </w:tblPr>
      <w:tblGrid>
        <w:gridCol w:w="3200"/>
        <w:gridCol w:w="2100"/>
        <w:gridCol w:w="4060"/>
      </w:tblGrid>
      <w:tr>
        <w:trPr>
          <w:cantSplit/>
          <w:tblHeader/>
        </w:trPr>
        <w:tc>
          <w:tcPr>
            <w:tcW w:type="dxa" w:w="3200"/>
            <w:vAlign w:val="center"/>
            <w:shd w:val="clear" w:fill="F2F4F7"/>
          </w:tcPr>
          <w:p>
            <w:pPr>
              <w:pStyle w:val="TableHeader"/>
              <w:keepNext/>
            </w:pPr>
            <w:r>
              <w:t>Customer</w:t>
            </w:r>
          </w:p>
        </w:tc>
        <w:tc>
          <w:tcPr>
            <w:tcW w:type="dxa" w:w="2100"/>
            <w:vAlign w:val="center"/>
            <w:shd w:val="clear" w:fill="F2F4F7"/>
          </w:tcPr>
          <w:p>
            <w:pPr>
              <w:pStyle w:val="TableHeader"/>
              <w:keepNext/>
            </w:pPr>
            <w:r>
              <w:t>Proposed charge</w:t>
            </w:r>
          </w:p>
        </w:tc>
        <w:tc>
          <w:tcPr>
            <w:tcW w:type="dxa" w:w="4060"/>
            <w:vAlign w:val="center"/>
            <w:shd w:val="clear" w:fill="F2F4F7"/>
          </w:tcPr>
          <w:p>
            <w:pPr>
              <w:pStyle w:val="TableHeader"/>
              <w:keepNext/>
            </w:pPr>
            <w:r>
              <w:t>Fee basis</w:t>
            </w:r>
          </w:p>
        </w:tc>
      </w:tr>
      <w:tr>
        <w:trPr>
          <w:cantSplit/>
        </w:trPr>
        <w:tc>
          <w:tcPr>
            <w:tcW w:type="dxa" w:w="3200"/>
            <w:vAlign w:val="center"/>
          </w:tcPr>
          <w:p>
            <w:pPr>
              <w:pStyle w:val="TableText"/>
              <w:keepNext/>
            </w:pPr>
            <w:r>
              <w:t>Homeowner, first project</w:t>
            </w:r>
          </w:p>
        </w:tc>
        <w:tc>
          <w:tcPr>
            <w:tcW w:type="dxa" w:w="2100"/>
            <w:vAlign w:val="center"/>
          </w:tcPr>
          <w:p>
            <w:pPr>
              <w:pStyle w:val="TableText"/>
              <w:keepNext/>
            </w:pPr>
            <w:r>
              <w:t>0% service fee</w:t>
            </w:r>
          </w:p>
        </w:tc>
        <w:tc>
          <w:tcPr>
            <w:tcW w:type="dxa" w:w="4060"/>
            <w:vAlign w:val="center"/>
          </w:tcPr>
          <w:p>
            <w:pPr>
              <w:pStyle w:val="TableText"/>
              <w:keepNext/>
            </w:pPr>
            <w:r>
              <w:t>First project incentive</w:t>
            </w:r>
          </w:p>
        </w:tc>
      </w:tr>
      <w:tr>
        <w:trPr>
          <w:cantSplit/>
        </w:trPr>
        <w:tc>
          <w:tcPr>
            <w:tcW w:type="dxa" w:w="3200"/>
            <w:vAlign w:val="center"/>
          </w:tcPr>
          <w:p>
            <w:pPr>
              <w:pStyle w:val="TableText"/>
              <w:keepNext/>
            </w:pPr>
            <w:r>
              <w:t>Homeowner, subsequent projects</w:t>
            </w:r>
          </w:p>
        </w:tc>
        <w:tc>
          <w:tcPr>
            <w:tcW w:type="dxa" w:w="2100"/>
            <w:vAlign w:val="center"/>
          </w:tcPr>
          <w:p>
            <w:pPr>
              <w:pStyle w:val="TableText"/>
              <w:keepNext/>
            </w:pPr>
            <w:r>
              <w:t>5% service fee</w:t>
            </w:r>
          </w:p>
        </w:tc>
        <w:tc>
          <w:tcPr>
            <w:tcW w:type="dxa" w:w="4060"/>
            <w:vAlign w:val="center"/>
          </w:tcPr>
          <w:p>
            <w:pPr>
              <w:pStyle w:val="TableText"/>
              <w:keepNext/>
            </w:pPr>
            <w:r>
              <w:t>Total project cost</w:t>
            </w:r>
          </w:p>
        </w:tc>
      </w:tr>
      <w:tr>
        <w:trPr>
          <w:cantSplit/>
        </w:trPr>
        <w:tc>
          <w:tcPr>
            <w:tcW w:type="dxa" w:w="3200"/>
            <w:vAlign w:val="center"/>
          </w:tcPr>
          <w:p>
            <w:pPr>
              <w:pStyle w:val="TableText"/>
              <w:keepNext w:val="0"/>
            </w:pPr>
            <w:r>
              <w:t>Contractor</w:t>
            </w:r>
          </w:p>
        </w:tc>
        <w:tc>
          <w:tcPr>
            <w:tcW w:type="dxa" w:w="2100"/>
            <w:vAlign w:val="center"/>
          </w:tcPr>
          <w:p>
            <w:pPr>
              <w:pStyle w:val="TableText"/>
              <w:keepNext w:val="0"/>
            </w:pPr>
            <w:r>
              <w:t>15% commission</w:t>
            </w:r>
          </w:p>
        </w:tc>
        <w:tc>
          <w:tcPr>
            <w:tcW w:type="dxa" w:w="4060"/>
            <w:vAlign w:val="center"/>
          </w:tcPr>
          <w:p>
            <w:pPr>
              <w:pStyle w:val="TableText"/>
              <w:keepNext w:val="0"/>
            </w:pPr>
            <w:r>
              <w:t>Total project value</w:t>
            </w:r>
          </w:p>
        </w:tc>
      </w:tr>
    </w:tbl>
    <w:p>
      <w:pPr>
        <w:pStyle w:val="TableSpacer"/>
      </w:pPr>
    </w:p>
    <w:p>
      <w:pPr>
        <w:pStyle w:val="Basis"/>
      </w:pPr>
      <w:r>
        <w:t>Proposed rates from overview.docx and Business Report.docx. The homeowner incentive does not remove the contractor commission.</w:t>
      </w:r>
    </w:p>
    <w:p>
      <w:pPr>
        <w:pStyle w:val="Heading2"/>
      </w:pPr>
      <w:r>
        <w:t>Illustrative project economics</w:t>
      </w:r>
    </w:p>
    <w:p>
      <w:pPr/>
      <w:r>
        <w:t xml:space="preserve">This example assumes a </w:t>
      </w:r>
      <w:r>
        <w:rPr>
          <w:b/>
        </w:rPr>
        <w:t>SAR 50,000 contract value</w:t>
      </w:r>
      <w:r>
        <w:t>, with the homeowner fee added and contractor commission deducted. It excludes taxes, processing costs, refunds, and discounts. It illustrates the proposed rates without settling invoicing or accounting policy.</w:t>
      </w:r>
    </w:p>
    <w:tbl>
      <w:tblPr>
        <w:jc w:val="left"/>
        <w:tblLayout w:type="fixed"/>
        <w:tblLook w:firstColumn="1" w:firstRow="1" w:lastColumn="0" w:lastRow="0" w:noHBand="0" w:noVBand="1" w:val="04A0"/>
        <w:tblW w:w="9360" w:type="dxa"/>
        <w:tblInd w:w="120" w:type="dxa"/>
        <w:tblBorders>
          <w:top w:val="single" w:sz="4" w:color="D8DDE2"/>
          <w:left w:val="single" w:sz="4" w:color="D8DDE2"/>
          <w:bottom w:val="single" w:sz="4" w:color="D8DDE2"/>
          <w:right w:val="single" w:sz="4" w:color="D8DDE2"/>
          <w:insideH w:val="single" w:sz="4" w:color="D8DDE2"/>
          <w:insideV w:val="single" w:sz="4" w:color="D8DDE2"/>
        </w:tblBorders>
        <w:tblCellMar>
          <w:top w:w="80" w:type="dxa"/>
          <w:bottom w:w="80" w:type="dxa"/>
          <w:start w:w="120" w:type="dxa"/>
          <w:end w:w="120" w:type="dxa"/>
        </w:tblCellMar>
      </w:tblPr>
      <w:tblGrid>
        <w:gridCol w:w="4020"/>
        <w:gridCol w:w="2670"/>
        <w:gridCol w:w="2670"/>
      </w:tblGrid>
      <w:tr>
        <w:trPr>
          <w:cantSplit/>
          <w:tblHeader/>
        </w:trPr>
        <w:tc>
          <w:tcPr>
            <w:tcW w:type="dxa" w:w="4020"/>
            <w:vAlign w:val="center"/>
            <w:shd w:val="clear" w:fill="F2F4F7"/>
          </w:tcPr>
          <w:p>
            <w:pPr>
              <w:pStyle w:val="TableHeader"/>
              <w:keepNext/>
            </w:pPr>
            <w:r>
              <w:t>Item</w:t>
            </w:r>
          </w:p>
        </w:tc>
        <w:tc>
          <w:tcPr>
            <w:tcW w:type="dxa" w:w="2670"/>
            <w:vAlign w:val="center"/>
            <w:shd w:val="clear" w:fill="F2F4F7"/>
          </w:tcPr>
          <w:p>
            <w:pPr>
              <w:pStyle w:val="TableHeader"/>
              <w:keepNext/>
            </w:pPr>
            <w:r>
              <w:t>First homeowner project</w:t>
            </w:r>
          </w:p>
        </w:tc>
        <w:tc>
          <w:tcPr>
            <w:tcW w:type="dxa" w:w="2670"/>
            <w:vAlign w:val="center"/>
            <w:shd w:val="clear" w:fill="F2F4F7"/>
          </w:tcPr>
          <w:p>
            <w:pPr>
              <w:pStyle w:val="TableHeader"/>
              <w:keepNext/>
            </w:pPr>
            <w:r>
              <w:t>Subsequent homeowner project</w:t>
            </w:r>
          </w:p>
        </w:tc>
      </w:tr>
      <w:tr>
        <w:trPr>
          <w:cantSplit/>
        </w:trPr>
        <w:tc>
          <w:tcPr>
            <w:tcW w:type="dxa" w:w="4020"/>
            <w:vAlign w:val="center"/>
          </w:tcPr>
          <w:p>
            <w:pPr>
              <w:pStyle w:val="TableText"/>
              <w:keepNext/>
            </w:pPr>
            <w:r>
              <w:t>Contract value</w:t>
            </w:r>
          </w:p>
        </w:tc>
        <w:tc>
          <w:tcPr>
            <w:tcW w:type="dxa" w:w="2670"/>
            <w:vAlign w:val="center"/>
          </w:tcPr>
          <w:p>
            <w:pPr>
              <w:pStyle w:val="TableText"/>
              <w:keepNext/>
            </w:pPr>
            <w:r>
              <w:t>SAR 50,000</w:t>
            </w:r>
          </w:p>
        </w:tc>
        <w:tc>
          <w:tcPr>
            <w:tcW w:type="dxa" w:w="2670"/>
            <w:vAlign w:val="center"/>
          </w:tcPr>
          <w:p>
            <w:pPr>
              <w:pStyle w:val="TableText"/>
              <w:keepNext/>
            </w:pPr>
            <w:r>
              <w:t>SAR 50,000</w:t>
            </w:r>
          </w:p>
        </w:tc>
      </w:tr>
      <w:tr>
        <w:trPr>
          <w:cantSplit/>
        </w:trPr>
        <w:tc>
          <w:tcPr>
            <w:tcW w:type="dxa" w:w="4020"/>
            <w:vAlign w:val="center"/>
          </w:tcPr>
          <w:p>
            <w:pPr>
              <w:pStyle w:val="TableText"/>
              <w:keepNext/>
            </w:pPr>
            <w:r>
              <w:t>Homeowner service fee</w:t>
            </w:r>
          </w:p>
        </w:tc>
        <w:tc>
          <w:tcPr>
            <w:tcW w:type="dxa" w:w="2670"/>
            <w:vAlign w:val="center"/>
          </w:tcPr>
          <w:p>
            <w:pPr>
              <w:pStyle w:val="TableText"/>
              <w:keepNext/>
            </w:pPr>
            <w:r>
              <w:t>SAR 0</w:t>
            </w:r>
          </w:p>
        </w:tc>
        <w:tc>
          <w:tcPr>
            <w:tcW w:type="dxa" w:w="2670"/>
            <w:vAlign w:val="center"/>
          </w:tcPr>
          <w:p>
            <w:pPr>
              <w:pStyle w:val="TableText"/>
              <w:keepNext/>
            </w:pPr>
            <w:r>
              <w:t>SAR 2,500</w:t>
            </w:r>
          </w:p>
        </w:tc>
      </w:tr>
      <w:tr>
        <w:trPr>
          <w:cantSplit/>
        </w:trPr>
        <w:tc>
          <w:tcPr>
            <w:tcW w:type="dxa" w:w="4020"/>
            <w:vAlign w:val="center"/>
          </w:tcPr>
          <w:p>
            <w:pPr>
              <w:pStyle w:val="TableText"/>
              <w:keepNext/>
            </w:pPr>
            <w:r>
              <w:t>Total paid by homeowner</w:t>
            </w:r>
          </w:p>
        </w:tc>
        <w:tc>
          <w:tcPr>
            <w:tcW w:type="dxa" w:w="2670"/>
            <w:vAlign w:val="center"/>
          </w:tcPr>
          <w:p>
            <w:pPr>
              <w:pStyle w:val="TableText"/>
              <w:keepNext/>
            </w:pPr>
            <w:r>
              <w:t>SAR 50,000</w:t>
            </w:r>
          </w:p>
        </w:tc>
        <w:tc>
          <w:tcPr>
            <w:tcW w:type="dxa" w:w="2670"/>
            <w:vAlign w:val="center"/>
          </w:tcPr>
          <w:p>
            <w:pPr>
              <w:pStyle w:val="TableText"/>
              <w:keepNext/>
            </w:pPr>
            <w:r>
              <w:t>SAR 52,500</w:t>
            </w:r>
          </w:p>
        </w:tc>
      </w:tr>
      <w:tr>
        <w:trPr>
          <w:cantSplit/>
        </w:trPr>
        <w:tc>
          <w:tcPr>
            <w:tcW w:type="dxa" w:w="4020"/>
            <w:vAlign w:val="center"/>
          </w:tcPr>
          <w:p>
            <w:pPr>
              <w:pStyle w:val="TableText"/>
              <w:keepNext/>
            </w:pPr>
            <w:r>
              <w:t>Contractor commission</w:t>
            </w:r>
          </w:p>
        </w:tc>
        <w:tc>
          <w:tcPr>
            <w:tcW w:type="dxa" w:w="2670"/>
            <w:vAlign w:val="center"/>
          </w:tcPr>
          <w:p>
            <w:pPr>
              <w:pStyle w:val="TableText"/>
              <w:keepNext/>
            </w:pPr>
            <w:r>
              <w:t>SAR 7,500</w:t>
            </w:r>
          </w:p>
        </w:tc>
        <w:tc>
          <w:tcPr>
            <w:tcW w:type="dxa" w:w="2670"/>
            <w:vAlign w:val="center"/>
          </w:tcPr>
          <w:p>
            <w:pPr>
              <w:pStyle w:val="TableText"/>
              <w:keepNext/>
            </w:pPr>
            <w:r>
              <w:t>SAR 7,500</w:t>
            </w:r>
          </w:p>
        </w:tc>
      </w:tr>
      <w:tr>
        <w:trPr>
          <w:cantSplit/>
        </w:trPr>
        <w:tc>
          <w:tcPr>
            <w:tcW w:type="dxa" w:w="4020"/>
            <w:vAlign w:val="center"/>
          </w:tcPr>
          <w:p>
            <w:pPr>
              <w:pStyle w:val="TableText"/>
              <w:keepNext/>
            </w:pPr>
            <w:r>
              <w:t>Contractor receipt after commission</w:t>
            </w:r>
          </w:p>
        </w:tc>
        <w:tc>
          <w:tcPr>
            <w:tcW w:type="dxa" w:w="2670"/>
            <w:vAlign w:val="center"/>
          </w:tcPr>
          <w:p>
            <w:pPr>
              <w:pStyle w:val="TableText"/>
              <w:keepNext/>
            </w:pPr>
            <w:r>
              <w:t>SAR 42,500</w:t>
            </w:r>
          </w:p>
        </w:tc>
        <w:tc>
          <w:tcPr>
            <w:tcW w:type="dxa" w:w="2670"/>
            <w:vAlign w:val="center"/>
          </w:tcPr>
          <w:p>
            <w:pPr>
              <w:pStyle w:val="TableText"/>
              <w:keepNext/>
            </w:pPr>
            <w:r>
              <w:t>SAR 42,500</w:t>
            </w:r>
          </w:p>
        </w:tc>
      </w:tr>
      <w:tr>
        <w:trPr>
          <w:cantSplit/>
        </w:trPr>
        <w:tc>
          <w:tcPr>
            <w:tcW w:type="dxa" w:w="4020"/>
            <w:vAlign w:val="center"/>
          </w:tcPr>
          <w:p>
            <w:pPr>
              <w:pStyle w:val="TableText"/>
              <w:keepNext w:val="0"/>
            </w:pPr>
            <w:r>
              <w:t>Gross platform fee income</w:t>
            </w:r>
          </w:p>
        </w:tc>
        <w:tc>
          <w:tcPr>
            <w:tcW w:type="dxa" w:w="2670"/>
            <w:vAlign w:val="center"/>
          </w:tcPr>
          <w:p>
            <w:pPr>
              <w:pStyle w:val="TableText"/>
              <w:keepNext w:val="0"/>
            </w:pPr>
            <w:r>
              <w:t>SAR 7,500</w:t>
            </w:r>
          </w:p>
        </w:tc>
        <w:tc>
          <w:tcPr>
            <w:tcW w:type="dxa" w:w="2670"/>
            <w:vAlign w:val="center"/>
          </w:tcPr>
          <w:p>
            <w:pPr>
              <w:pStyle w:val="TableText"/>
              <w:keepNext w:val="0"/>
            </w:pPr>
            <w:r>
              <w:t>SAR 10,000</w:t>
            </w:r>
          </w:p>
        </w:tc>
      </w:tr>
    </w:tbl>
    <w:p>
      <w:pPr>
        <w:pStyle w:val="TableSpacer"/>
      </w:pPr>
    </w:p>
    <w:p>
      <w:pPr>
        <w:pStyle w:val="Basis"/>
      </w:pPr>
      <w:r>
        <w:t>Illustrative arithmetic using the supplied fee rates. Gross fee income is before operating costs and is not profit.</w:t>
      </w:r>
    </w:p>
    <w:p>
      <w:pPr>
        <w:pStyle w:val="Heading2"/>
      </w:pPr>
      <w:r>
        <w:t>Commercial logic</w:t>
      </w:r>
    </w:p>
    <w:p>
      <w:pPr/>
      <w:r>
        <w:t>The homeowner fee supports payment coordination, verification, security, and customer assistance. Contractor commission supports project access, lead generation, visibility, and management tools. Commercial appeal will depend on the value delivered and alternative ways to acquire work.</w:t>
      </w:r>
    </w:p>
    <w:p>
      <w:pPr/>
      <w:r>
        <w:t>The first project incentive retains contractor commission income. Tarmem would need to explain the later 5% homeowner charge clearly and test whether customers continue to see value when it applies.</w:t>
      </w:r>
    </w:p>
    <w:p>
      <w:pPr>
        <w:pStyle w:val="Heading2"/>
      </w:pPr>
      <w:r>
        <w:t>Operating costs</w:t>
      </w:r>
    </w:p>
    <w:p>
      <w:pPr/>
      <w:r>
        <w:t>Initial costs include technology, marketing, and operations. Budgeting should also cover payment services, verification, support, disputes, and hosting. No costed budget or cash flow model was supplied.</w:t>
      </w:r>
    </w:p>
    <w:p>
      <w:bookmarkStart w:id="8" w:name="section_8"/>
      <w:pPr>
        <w:pStyle w:val="Heading1"/>
        <w:pageBreakBefore w:val="0"/>
      </w:pPr>
      <w:r>
        <w:t>Operations and partnerships</w:t>
      </w:r>
      <w:bookmarkEnd w:id="8"/>
    </w:p>
    <w:p>
      <w:pPr/>
      <w:r>
        <w:t>Tarmem's proposed business requires ongoing service delivery behind the digital platform. Matching two parties is only the start: the business also needs to maintain credible contractor information, keep project records usable, support payment coordination, and respond when a project does not proceed as expected.</w:t>
      </w:r>
    </w:p>
    <w:p>
      <w:pPr/>
      <w:r>
        <w:t>The functions below are a proposed operating structure. The files do not provide an organization chart, staffing levels, named leaders, or evidence that these teams are already in place.</w:t>
      </w:r>
    </w:p>
    <w:p>
      <w:pPr>
        <w:pStyle w:val="Heading2"/>
      </w:pPr>
      <w:r>
        <w:t>Contractor onboarding and quality management</w:t>
      </w:r>
    </w:p>
    <w:p>
      <w:pPr/>
      <w:r>
        <w:t>An onboarding function would review submitted identities and professional information, maintain verification status, and help contractors create useful profiles. Quality management would examine customer feedback, project completion records, and recurring issues. It would also need criteria for restricting or removing participants when warranted by the platform's terms.</w:t>
      </w:r>
    </w:p>
    <w:p>
      <w:pPr/>
      <w:r>
        <w:t>Verification should remain meaningful as the network grows. Document expiry, changes in business details, and repeated delivery concerns are examples of matters that a continuing review process would need to address. Any trusted badge should have a clear meaning and remain separate from paid promotion.</w:t>
      </w:r>
    </w:p>
    <w:p>
      <w:pPr>
        <w:pStyle w:val="Heading2"/>
      </w:pPr>
      <w:r>
        <w:t>Customer operations and payment coordination</w:t>
      </w:r>
    </w:p>
    <w:p>
      <w:pPr/>
      <w:r>
        <w:t>A customer operations function would help users with account access, project setup, communication problems, and support cases. Payment operations would coordinate status information and exceptions with the selected provider, using a record of the project, approvals, deductions, and releases.</w:t>
      </w:r>
    </w:p>
    <w:p>
      <w:pPr/>
      <w:r>
        <w:t>The appropriate level of support would depend on project complexity and value. The sources do not define service hours, response times, on site involvement, or inspection coverage, so these should not be presented as existing commitments.</w:t>
      </w:r>
    </w:p>
    <w:p>
      <w:pPr>
        <w:pStyle w:val="Heading2"/>
      </w:pPr>
      <w:r>
        <w:t>Product, technology, and marketplace growth</w:t>
      </w:r>
    </w:p>
    <w:p>
      <w:pPr/>
      <w:r>
        <w:t>Product and technology responsibilities would cover the platform, usability, access controls, integrations, and continuous improvement. Marketplace growth would need to balance homeowner demand with suitable contractor availability in each service area. A large number of registrations would have limited value if customers could not obtain relevant bids or contractors rarely found suitable work.</w:t>
      </w:r>
    </w:p>
    <w:p>
      <w:pPr>
        <w:pStyle w:val="Heading2"/>
      </w:pPr>
      <w:r>
        <w:t>Partnership opportunities</w:t>
      </w:r>
    </w:p>
    <w:p>
      <w:pPr/>
      <w:r>
        <w:t>The proposed partner network has several distinct roles. Real estate developers and property professionals could introduce homeowners at relevant points in the purchase journey. Interior designers could help translate design intent into a contractor brief. Suppliers could provide material access or negotiated benefits for platform projects.</w:t>
      </w:r>
    </w:p>
    <w:p>
      <w:pPr/>
      <w:r>
        <w:t>Banks and financing institutions are identified as possible partners for future renovation financing. Payment providers would be relevant to the transaction and proposed escrow model. These relationships would need separate commercial and operating arrangements; none are confirmed in the supplied files.</w:t>
      </w:r>
    </w:p>
    <w:p>
      <w:pPr/>
      <w:r>
        <w:t>Tarmem should define where its own service ends and where a contractor's or partner's responsibility begins. Clear ownership of construction, materials, advice, payment custody, and support would help customers understand the offer and help the business price its services realistically.</w:t>
      </w:r>
    </w:p>
    <w:p>
      <w:pPr>
        <w:pStyle w:val="Basis"/>
      </w:pPr>
      <w:r>
        <w:t>Source basis: overview.docx; Business Report.docx; Website Structure - Tarmem.docx. Functional responsibilities and continuing review practices are proposed operating design.</w:t>
      </w:r>
    </w:p>
    <w:p>
      <w:bookmarkStart w:id="9" w:name="section_9"/>
      <w:pPr>
        <w:pStyle w:val="Heading1"/>
        <w:pageBreakBefore w:val="0"/>
      </w:pPr>
      <w:r>
        <w:t>Marketing and customer acquisition</w:t>
      </w:r>
      <w:bookmarkEnd w:id="9"/>
    </w:p>
    <w:p>
      <w:pPr/>
      <w:r>
        <w:t>Tarmem's proposed marketing approach combines visual renovation content, useful advice, digital advertising, referrals, and industry relationships. The aim is to attract homeowners with a real project need while building a contractor network capable of responding to that demand.</w:t>
      </w:r>
    </w:p>
    <w:p>
      <w:pPr>
        <w:pStyle w:val="Heading2"/>
      </w:pPr>
      <w:r>
        <w:t>Brand message and content</w:t>
      </w:r>
    </w:p>
    <w:p>
      <w:pPr/>
      <w:r>
        <w:t>The strongest message is a clear explanation of how the service helps: find a suitable contractor, agree the work, follow progress, and manage milestone payments. Demonstrating the process would make the trust proposition more concrete than broad claims about being the safest or best platform.</w:t>
      </w:r>
    </w:p>
    <w:p>
      <w:pPr/>
      <w:r>
        <w:t>Arabic content is a priority in the targeting file. Suggested topics include renovation planning, comparing quotes, preparing a project brief, understanding milestones, and common questions about costs and execution. Customer stories and before and after examples should use genuine, approved project material when available. The placeholder testimonials in overview.docx are not evidence of customer experience and should not be published as real endorsements.</w:t>
      </w:r>
    </w:p>
    <w:p>
      <w:pPr>
        <w:pStyle w:val="Heading2"/>
      </w:pPr>
      <w:r>
        <w:t>Channel roles</w:t>
      </w:r>
    </w:p>
    <w:tbl>
      <w:tblPr>
        <w:jc w:val="left"/>
        <w:tblLayout w:type="fixed"/>
        <w:tblLook w:firstColumn="1" w:firstRow="1" w:lastColumn="0" w:lastRow="0" w:noHBand="0" w:noVBand="1" w:val="04A0"/>
        <w:tblW w:w="9360" w:type="dxa"/>
        <w:tblInd w:w="120" w:type="dxa"/>
        <w:tblBorders>
          <w:top w:val="single" w:sz="4" w:color="D8DDE2"/>
          <w:left w:val="single" w:sz="4" w:color="D8DDE2"/>
          <w:bottom w:val="single" w:sz="4" w:color="D8DDE2"/>
          <w:right w:val="single" w:sz="4" w:color="D8DDE2"/>
          <w:insideH w:val="single" w:sz="4" w:color="D8DDE2"/>
          <w:insideV w:val="single" w:sz="4" w:color="D8DDE2"/>
        </w:tblBorders>
        <w:tblCellMar>
          <w:top w:w="80" w:type="dxa"/>
          <w:bottom w:w="80" w:type="dxa"/>
          <w:start w:w="120" w:type="dxa"/>
          <w:end w:w="120" w:type="dxa"/>
        </w:tblCellMar>
      </w:tblPr>
      <w:tblGrid>
        <w:gridCol w:w="1610"/>
        <w:gridCol w:w="4140"/>
        <w:gridCol w:w="3610"/>
      </w:tblGrid>
      <w:tr>
        <w:trPr>
          <w:cantSplit/>
          <w:tblHeader/>
        </w:trPr>
        <w:tc>
          <w:tcPr>
            <w:tcW w:type="dxa" w:w="1610"/>
            <w:vAlign w:val="center"/>
            <w:shd w:val="clear" w:fill="F2F4F7"/>
          </w:tcPr>
          <w:p>
            <w:pPr>
              <w:pStyle w:val="TableHeader"/>
              <w:keepNext/>
            </w:pPr>
            <w:r>
              <w:t>Channel</w:t>
            </w:r>
          </w:p>
        </w:tc>
        <w:tc>
          <w:tcPr>
            <w:tcW w:type="dxa" w:w="4140"/>
            <w:vAlign w:val="center"/>
            <w:shd w:val="clear" w:fill="F2F4F7"/>
          </w:tcPr>
          <w:p>
            <w:pPr>
              <w:pStyle w:val="TableHeader"/>
              <w:keepNext/>
            </w:pPr>
            <w:r>
              <w:t>Proposed content or activity</w:t>
            </w:r>
          </w:p>
        </w:tc>
        <w:tc>
          <w:tcPr>
            <w:tcW w:type="dxa" w:w="3610"/>
            <w:vAlign w:val="center"/>
            <w:shd w:val="clear" w:fill="F2F4F7"/>
          </w:tcPr>
          <w:p>
            <w:pPr>
              <w:pStyle w:val="TableHeader"/>
              <w:keepNext/>
            </w:pPr>
            <w:r>
              <w:t>Role in acquisition</w:t>
            </w:r>
          </w:p>
        </w:tc>
      </w:tr>
      <w:tr>
        <w:trPr>
          <w:cantSplit/>
        </w:trPr>
        <w:tc>
          <w:tcPr>
            <w:tcW w:type="dxa" w:w="1610"/>
            <w:vAlign w:val="center"/>
          </w:tcPr>
          <w:p>
            <w:pPr>
              <w:pStyle w:val="TableText"/>
              <w:keepNext/>
            </w:pPr>
            <w:r>
              <w:t>Instagram</w:t>
            </w:r>
          </w:p>
        </w:tc>
        <w:tc>
          <w:tcPr>
            <w:tcW w:type="dxa" w:w="4140"/>
            <w:vAlign w:val="center"/>
          </w:tcPr>
          <w:p>
            <w:pPr>
              <w:pStyle w:val="TableText"/>
              <w:keepNext/>
            </w:pPr>
            <w:r>
              <w:t>Project imagery, short videos, creator partnerships</w:t>
            </w:r>
          </w:p>
        </w:tc>
        <w:tc>
          <w:tcPr>
            <w:tcW w:type="dxa" w:w="3610"/>
            <w:vAlign w:val="center"/>
          </w:tcPr>
          <w:p>
            <w:pPr>
              <w:pStyle w:val="TableText"/>
              <w:keepNext/>
            </w:pPr>
            <w:r>
              <w:t>Make the service and outcomes tangible</w:t>
            </w:r>
          </w:p>
        </w:tc>
      </w:tr>
      <w:tr>
        <w:trPr>
          <w:cantSplit/>
        </w:trPr>
        <w:tc>
          <w:tcPr>
            <w:tcW w:type="dxa" w:w="1610"/>
            <w:vAlign w:val="center"/>
          </w:tcPr>
          <w:p>
            <w:pPr>
              <w:pStyle w:val="TableText"/>
              <w:keepNext/>
            </w:pPr>
            <w:r>
              <w:t>TikTok</w:t>
            </w:r>
          </w:p>
        </w:tc>
        <w:tc>
          <w:tcPr>
            <w:tcW w:type="dxa" w:w="4140"/>
            <w:vAlign w:val="center"/>
          </w:tcPr>
          <w:p>
            <w:pPr>
              <w:pStyle w:val="TableText"/>
              <w:keepNext/>
            </w:pPr>
            <w:r>
              <w:t>Renovation tips and project walkthroughs</w:t>
            </w:r>
          </w:p>
        </w:tc>
        <w:tc>
          <w:tcPr>
            <w:tcW w:type="dxa" w:w="3610"/>
            <w:vAlign w:val="center"/>
          </w:tcPr>
          <w:p>
            <w:pPr>
              <w:pStyle w:val="TableText"/>
              <w:keepNext/>
            </w:pPr>
            <w:r>
              <w:t>Reach people exploring home improvement</w:t>
            </w:r>
          </w:p>
        </w:tc>
      </w:tr>
      <w:tr>
        <w:trPr>
          <w:cantSplit/>
        </w:trPr>
        <w:tc>
          <w:tcPr>
            <w:tcW w:type="dxa" w:w="1610"/>
            <w:vAlign w:val="center"/>
          </w:tcPr>
          <w:p>
            <w:pPr>
              <w:pStyle w:val="TableText"/>
              <w:keepNext/>
            </w:pPr>
            <w:r>
              <w:t>X, called Twitter in the source</w:t>
            </w:r>
          </w:p>
        </w:tc>
        <w:tc>
          <w:tcPr>
            <w:tcW w:type="dxa" w:w="4140"/>
            <w:vAlign w:val="center"/>
          </w:tcPr>
          <w:p>
            <w:pPr>
              <w:pStyle w:val="TableText"/>
              <w:keepNext/>
            </w:pPr>
            <w:r>
              <w:t>Advice, discussions, informative threads</w:t>
            </w:r>
          </w:p>
        </w:tc>
        <w:tc>
          <w:tcPr>
            <w:tcW w:type="dxa" w:w="3610"/>
            <w:vAlign w:val="center"/>
          </w:tcPr>
          <w:p>
            <w:pPr>
              <w:pStyle w:val="TableText"/>
              <w:keepNext/>
            </w:pPr>
            <w:r>
              <w:t>Explain the category and answer questions</w:t>
            </w:r>
          </w:p>
        </w:tc>
      </w:tr>
      <w:tr>
        <w:trPr>
          <w:cantSplit/>
        </w:trPr>
        <w:tc>
          <w:tcPr>
            <w:tcW w:type="dxa" w:w="1610"/>
            <w:vAlign w:val="center"/>
          </w:tcPr>
          <w:p>
            <w:pPr>
              <w:pStyle w:val="TableText"/>
              <w:keepNext/>
            </w:pPr>
            <w:r>
              <w:t>Search and digital advertising</w:t>
            </w:r>
          </w:p>
        </w:tc>
        <w:tc>
          <w:tcPr>
            <w:tcW w:type="dxa" w:w="4140"/>
            <w:vAlign w:val="center"/>
          </w:tcPr>
          <w:p>
            <w:pPr>
              <w:pStyle w:val="TableText"/>
              <w:keepNext/>
            </w:pPr>
            <w:r>
              <w:t>Relevant project and service campaigns</w:t>
            </w:r>
          </w:p>
        </w:tc>
        <w:tc>
          <w:tcPr>
            <w:tcW w:type="dxa" w:w="3610"/>
            <w:vAlign w:val="center"/>
          </w:tcPr>
          <w:p>
            <w:pPr>
              <w:pStyle w:val="TableText"/>
              <w:keepNext/>
            </w:pPr>
            <w:r>
              <w:t>Reach users expressing renovation intent</w:t>
            </w:r>
          </w:p>
        </w:tc>
      </w:tr>
      <w:tr>
        <w:trPr>
          <w:cantSplit/>
        </w:trPr>
        <w:tc>
          <w:tcPr>
            <w:tcW w:type="dxa" w:w="1610"/>
            <w:vAlign w:val="center"/>
          </w:tcPr>
          <w:p>
            <w:pPr>
              <w:pStyle w:val="TableText"/>
              <w:keepNext w:val="0"/>
            </w:pPr>
            <w:r>
              <w:t>Referrals and industry partners</w:t>
            </w:r>
          </w:p>
        </w:tc>
        <w:tc>
          <w:tcPr>
            <w:tcW w:type="dxa" w:w="4140"/>
            <w:vAlign w:val="center"/>
          </w:tcPr>
          <w:p>
            <w:pPr>
              <w:pStyle w:val="TableText"/>
              <w:keepNext w:val="0"/>
            </w:pPr>
            <w:r>
              <w:t>Introductions and proposed promotions</w:t>
            </w:r>
          </w:p>
        </w:tc>
        <w:tc>
          <w:tcPr>
            <w:tcW w:type="dxa" w:w="3610"/>
            <w:vAlign w:val="center"/>
          </w:tcPr>
          <w:p>
            <w:pPr>
              <w:pStyle w:val="TableText"/>
              <w:keepNext w:val="0"/>
            </w:pPr>
            <w:r>
              <w:t>Reach customers through relevant relationships</w:t>
            </w:r>
          </w:p>
        </w:tc>
      </w:tr>
    </w:tbl>
    <w:p>
      <w:pPr>
        <w:pStyle w:val="TableSpacer"/>
      </w:pPr>
    </w:p>
    <w:p>
      <w:pPr>
        <w:pStyle w:val="Basis"/>
      </w:pPr>
      <w:r>
        <w:t>Channel concepts from targeting.docx, overview.docx, and Business Report.docx. Acquisition roles are a proposed interpretation.</w:t>
      </w:r>
    </w:p>
    <w:p>
      <w:pPr>
        <w:pStyle w:val="Heading2"/>
      </w:pPr>
      <w:r>
        <w:t>Homeowner and contractor acquisition</w:t>
      </w:r>
    </w:p>
    <w:p>
      <w:pPr/>
      <w:r>
        <w:t>Homeowner campaigns would lead to a simple explanation of the process and a clear route to posting a project. The first project service fee waiver provides a defined acquisition incentive, but communication should also explain the later 5% fee and any other applicable charges once established.</w:t>
      </w:r>
    </w:p>
    <w:p>
      <w:pPr/>
      <w:r>
        <w:t>Contractor acquisition should emphasize relevant project access, an opportunity to demonstrate experience, and an organized delivery and payment process. Contractors should understand the 15% commission before investing time in onboarding or bidding. Marketing should describe access to opportunities without promising guaranteed leads or earnings.</w:t>
      </w:r>
    </w:p>
    <w:p>
      <w:pPr>
        <w:pStyle w:val="Heading2"/>
      </w:pPr>
      <w:r>
        <w:t>Measurement and improvement</w:t>
      </w:r>
    </w:p>
    <w:p>
      <w:pPr/>
      <w:r>
        <w:t>Channel performance should be assessed beyond views, followers, or registrations. Useful measures include completed project briefs, qualified bids, awarded work, completed projects, acquisition cost, and repeat usage. Platform analytics can then help refine location, interests, creative content, and campaign spend.</w:t>
      </w:r>
    </w:p>
    <w:p>
      <w:pPr/>
      <w:r>
        <w:t>A focused service area with responsive contractors would give early campaigns a more credible customer experience. This is a recommended launch approach; the files do not specify an initial city, campaign budget, or confirmed launch date.</w:t>
      </w:r>
    </w:p>
    <w:p>
      <w:bookmarkStart w:id="10" w:name="section_10"/>
      <w:pPr>
        <w:pStyle w:val="Heading1"/>
        <w:pageBreakBefore w:val="0"/>
      </w:pPr>
      <w:r>
        <w:t>Competition and long term growth</w:t>
      </w:r>
      <w:bookmarkEnd w:id="10"/>
    </w:p>
    <w:p>
      <w:pPr/>
      <w:r>
        <w:t>Tarmem's intended competitive position rests on a coordinated renovation experience: contractor information, bidding, project records, staged payment coordination, and support within one platform. The strategic question is whether that experience becomes useful and trusted enough for customers and contractors to keep using it.</w:t>
      </w:r>
    </w:p>
    <w:p>
      <w:pPr>
        <w:pStyle w:val="Heading2"/>
      </w:pPr>
      <w:r>
        <w:t>What the supplied strategy supports</w:t>
      </w:r>
    </w:p>
    <w:p>
      <w:pPr/>
      <w:r>
        <w:t>The Business Report and overview position verification, escrow, and transparency as distinguishing features. The separate VRIN assessment is more cautious. VRIN considers whether a resource is valuable, rare, difficult to imitate, and difficult to substitute. Its conclusion is that the proposed features have customer value but do not yet establish a durable competitive advantage.</w:t>
      </w:r>
    </w:p>
    <w:p>
      <w:pPr/>
      <w:r>
        <w:t>Payment features can be replicated, verification processes can be copied, and customers may still use personal referrals or direct contractor relationships. The interface alone is also unlikely to prevent competition. The source documents do not provide a verified competitor comparison, so this profile does not claim that Tarmem is first, unique, or already superior to named alternatives.</w:t>
      </w:r>
    </w:p>
    <w:p>
      <w:pPr>
        <w:pStyle w:val="Heading2"/>
      </w:pPr>
      <w:r>
        <w:t>How a stronger position could develop</w:t>
      </w:r>
    </w:p>
    <w:p>
      <w:pPr/>
      <w:r>
        <w:t>The more credible long term opportunity is to accumulate capabilities that improve through delivery. A well managed contractor network, consistent support, credible reviews, and a reliable history of project outcomes could make the service increasingly valuable to future users.</w:t>
      </w:r>
    </w:p>
    <w:p>
      <w:pPr/>
      <w:r>
        <w:t>The VRIN document identifies proprietary project and contractor performance data as a potential asset. With appropriate data practices, records of completion, delivery reliability, customer feedback, and recurring issues could eventually improve matching and risk assessment. No such dataset or predictive system is established in the current files.</w:t>
      </w:r>
    </w:p>
    <w:p>
      <w:pPr/>
      <w:r>
        <w:t>Deeper relationships with suppliers, payment providers, and financing partners could also support the proposition if they produce meaningful customer benefits and are difficult to recreate. The VRIN document's suggestion of exclusive regulatory permissions is an unvalidated strategic idea; no exclusive licence or permission is evidenced here.</w:t>
      </w:r>
    </w:p>
    <w:p>
      <w:pPr>
        <w:pStyle w:val="Heading2"/>
      </w:pPr>
      <w:r>
        <w:t>Geographic and commercial growth</w:t>
      </w:r>
    </w:p>
    <w:p>
      <w:pPr/>
      <w:r>
        <w:t>Saudi Arabia is the intended first market, with the UAE and Kuwait named as subsequent expansion priorities. The sources also describe mobile access, premium services, developer partnerships, supplier benefits, and possible financing options as growth directions.</w:t>
      </w:r>
    </w:p>
    <w:p>
      <w:pPr/>
      <w:r>
        <w:t>Expansion should follow evidence that the model works within a defined initial market. Entering another country would require suitable contractors, payment arrangements, support capacity, and locally appropriate terms and processes. A shared technology platform could support growth, but it would not remove those local operating requirements.</w:t>
      </w:r>
    </w:p>
    <w:p>
      <w:pPr/>
      <w:r>
        <w:t>The broader ambition is to become a leading regional renovation platform. That is a strategic objective, not an achieved market position. The strongest route toward it is repeatable delivery and customer trust supported by measured performance.</w:t>
      </w:r>
    </w:p>
    <w:p>
      <w:pPr>
        <w:pStyle w:val="Basis"/>
      </w:pPr>
      <w:r>
        <w:t>Source basis: VRIN methodology.docx; overview.docx; Business Report.docx. Suggested sequencing and capability development are strategic elaborations.</w:t>
      </w:r>
    </w:p>
    <w:p>
      <w:bookmarkStart w:id="11" w:name="section_11"/>
      <w:pPr>
        <w:pStyle w:val="Heading1"/>
        <w:pageBreakBefore w:val="0"/>
      </w:pPr>
      <w:r>
        <w:t>Development priorities and performance</w:t>
      </w:r>
      <w:bookmarkEnd w:id="11"/>
    </w:p>
    <w:p>
      <w:pPr/>
      <w:r>
        <w:t>The supplied files outline a multiyear ambition but do not provide a dated implementation plan. The following sequence is a proposed way to turn the concept into a testable business while keeping product development, contractor supply, and customer service aligned.</w:t>
      </w:r>
    </w:p>
    <w:p>
      <w:pPr>
        <w:pStyle w:val="Heading2"/>
      </w:pPr>
      <w:r>
        <w:t>Establish the operating foundation</w:t>
      </w:r>
    </w:p>
    <w:p>
      <w:pPr/>
      <w:r>
        <w:t>The first priority is to define the launch area, eligible project categories, contractor criteria, scope agreement, payment arrangement, and support process. The business also needs clear pricing mechanics and a workable distinction between Tarmem's responsibilities and those of contractors and partners.</w:t>
      </w:r>
    </w:p>
    <w:p>
      <w:pPr/>
      <w:r>
        <w:t>The initial product should support the central journey: registration, verification, posting, bidding, project records, communication, milestone review, and payment status. The appropriate launch scope should be decided against the team's ability to operate those services reliably.</w:t>
      </w:r>
    </w:p>
    <w:p>
      <w:pPr>
        <w:pStyle w:val="Heading2"/>
      </w:pPr>
      <w:r>
        <w:t>Validate completed transactions</w:t>
      </w:r>
    </w:p>
    <w:p>
      <w:pPr/>
      <w:r>
        <w:t>Early activity should establish whether homeowners submit usable briefs, suitable contractors respond, proposals convert into funded work, and projects can reach completion with manageable support effort. This gives a more useful basis for growth than registration volume alone.</w:t>
      </w:r>
    </w:p>
    <w:p>
      <w:pPr>
        <w:pStyle w:val="Heading2"/>
      </w:pPr>
      <w:r>
        <w:t>Expand proven capabilities</w:t>
      </w:r>
    </w:p>
    <w:p>
      <w:pPr/>
      <w:r>
        <w:t>Once the core process is working, Tarmem could broaden contractor coverage, strengthen referrals, improve mobile access, and test partner offers. Premium memberships, paid listings, advanced matching, and new country launches should each have a defined customer benefit and commercial case.</w:t>
      </w:r>
    </w:p>
    <w:p>
      <w:pPr>
        <w:pStyle w:val="Heading2"/>
      </w:pPr>
      <w:r>
        <w:t>Suggested management measures</w:t>
      </w:r>
    </w:p>
    <w:tbl>
      <w:tblPr>
        <w:jc w:val="left"/>
        <w:tblLayout w:type="fixed"/>
        <w:tblLook w:firstColumn="1" w:firstRow="1" w:lastColumn="0" w:lastRow="0" w:noHBand="0" w:noVBand="1" w:val="04A0"/>
        <w:tblW w:w="9360" w:type="dxa"/>
        <w:tblInd w:w="120" w:type="dxa"/>
        <w:tblBorders>
          <w:top w:val="single" w:sz="4" w:color="D8DDE2"/>
          <w:left w:val="single" w:sz="4" w:color="D8DDE2"/>
          <w:bottom w:val="single" w:sz="4" w:color="D8DDE2"/>
          <w:right w:val="single" w:sz="4" w:color="D8DDE2"/>
          <w:insideH w:val="single" w:sz="4" w:color="D8DDE2"/>
          <w:insideV w:val="single" w:sz="4" w:color="D8DDE2"/>
        </w:tblBorders>
        <w:tblCellMar>
          <w:top w:w="80" w:type="dxa"/>
          <w:bottom w:w="80" w:type="dxa"/>
          <w:start w:w="120" w:type="dxa"/>
          <w:end w:w="120" w:type="dxa"/>
        </w:tblCellMar>
      </w:tblPr>
      <w:tblGrid>
        <w:gridCol w:w="3900"/>
        <w:gridCol w:w="5460"/>
      </w:tblGrid>
      <w:tr>
        <w:trPr>
          <w:cantSplit/>
          <w:tblHeader/>
        </w:trPr>
        <w:tc>
          <w:tcPr>
            <w:tcW w:type="dxa" w:w="3900"/>
            <w:vAlign w:val="center"/>
            <w:shd w:val="clear" w:fill="F2F4F7"/>
          </w:tcPr>
          <w:p>
            <w:pPr>
              <w:pStyle w:val="TableHeader"/>
              <w:keepNext/>
            </w:pPr>
            <w:r>
              <w:t>Measure</w:t>
            </w:r>
          </w:p>
        </w:tc>
        <w:tc>
          <w:tcPr>
            <w:tcW w:type="dxa" w:w="5460"/>
            <w:vAlign w:val="center"/>
            <w:shd w:val="clear" w:fill="F2F4F7"/>
          </w:tcPr>
          <w:p>
            <w:pPr>
              <w:pStyle w:val="TableHeader"/>
              <w:keepNext/>
            </w:pPr>
            <w:r>
              <w:t>What it helps management understand</w:t>
            </w:r>
          </w:p>
        </w:tc>
      </w:tr>
      <w:tr>
        <w:trPr>
          <w:cantSplit/>
        </w:trPr>
        <w:tc>
          <w:tcPr>
            <w:tcW w:type="dxa" w:w="3900"/>
            <w:vAlign w:val="center"/>
          </w:tcPr>
          <w:p>
            <w:pPr>
              <w:pStyle w:val="TableText"/>
              <w:keepNext/>
            </w:pPr>
            <w:r>
              <w:t>Eligible contractors and response time</w:t>
            </w:r>
          </w:p>
        </w:tc>
        <w:tc>
          <w:tcPr>
            <w:tcW w:type="dxa" w:w="5460"/>
            <w:vAlign w:val="center"/>
          </w:tcPr>
          <w:p>
            <w:pPr>
              <w:pStyle w:val="TableText"/>
              <w:keepNext/>
            </w:pPr>
            <w:r>
              <w:t>Whether the local supply can serve demand</w:t>
            </w:r>
          </w:p>
        </w:tc>
      </w:tr>
      <w:tr>
        <w:trPr>
          <w:cantSplit/>
        </w:trPr>
        <w:tc>
          <w:tcPr>
            <w:tcW w:type="dxa" w:w="3900"/>
            <w:vAlign w:val="center"/>
          </w:tcPr>
          <w:p>
            <w:pPr>
              <w:pStyle w:val="TableText"/>
              <w:keepNext/>
            </w:pPr>
            <w:r>
              <w:t>Qualified bids per project</w:t>
            </w:r>
          </w:p>
        </w:tc>
        <w:tc>
          <w:tcPr>
            <w:tcW w:type="dxa" w:w="5460"/>
            <w:vAlign w:val="center"/>
          </w:tcPr>
          <w:p>
            <w:pPr>
              <w:pStyle w:val="TableText"/>
              <w:keepNext/>
            </w:pPr>
            <w:r>
              <w:t>Whether homeowners receive meaningful choice</w:t>
            </w:r>
          </w:p>
        </w:tc>
      </w:tr>
      <w:tr>
        <w:trPr>
          <w:cantSplit/>
        </w:trPr>
        <w:tc>
          <w:tcPr>
            <w:tcW w:type="dxa" w:w="3900"/>
            <w:vAlign w:val="center"/>
          </w:tcPr>
          <w:p>
            <w:pPr>
              <w:pStyle w:val="TableText"/>
              <w:keepNext/>
            </w:pPr>
            <w:r>
              <w:t>Project posting to award conversion</w:t>
            </w:r>
          </w:p>
        </w:tc>
        <w:tc>
          <w:tcPr>
            <w:tcW w:type="dxa" w:w="5460"/>
            <w:vAlign w:val="center"/>
          </w:tcPr>
          <w:p>
            <w:pPr>
              <w:pStyle w:val="TableText"/>
              <w:keepNext/>
            </w:pPr>
            <w:r>
              <w:t>Whether demand becomes contracted work</w:t>
            </w:r>
          </w:p>
        </w:tc>
      </w:tr>
      <w:tr>
        <w:trPr>
          <w:cantSplit/>
        </w:trPr>
        <w:tc>
          <w:tcPr>
            <w:tcW w:type="dxa" w:w="3900"/>
            <w:vAlign w:val="center"/>
          </w:tcPr>
          <w:p>
            <w:pPr>
              <w:pStyle w:val="TableText"/>
              <w:keepNext/>
            </w:pPr>
            <w:r>
              <w:t>Funded and completed project value</w:t>
            </w:r>
          </w:p>
        </w:tc>
        <w:tc>
          <w:tcPr>
            <w:tcW w:type="dxa" w:w="5460"/>
            <w:vAlign w:val="center"/>
          </w:tcPr>
          <w:p>
            <w:pPr>
              <w:pStyle w:val="TableText"/>
              <w:keepNext/>
            </w:pPr>
            <w:r>
              <w:t>The volume moving through the service</w:t>
            </w:r>
          </w:p>
        </w:tc>
      </w:tr>
      <w:tr>
        <w:trPr>
          <w:cantSplit/>
        </w:trPr>
        <w:tc>
          <w:tcPr>
            <w:tcW w:type="dxa" w:w="3900"/>
            <w:vAlign w:val="center"/>
          </w:tcPr>
          <w:p>
            <w:pPr>
              <w:pStyle w:val="TableText"/>
              <w:keepNext/>
            </w:pPr>
            <w:r>
              <w:t>Milestones completed on time</w:t>
            </w:r>
          </w:p>
        </w:tc>
        <w:tc>
          <w:tcPr>
            <w:tcW w:type="dxa" w:w="5460"/>
            <w:vAlign w:val="center"/>
          </w:tcPr>
          <w:p>
            <w:pPr>
              <w:pStyle w:val="TableText"/>
              <w:keepNext/>
            </w:pPr>
            <w:r>
              <w:t>Delivery reliability against agreements</w:t>
            </w:r>
          </w:p>
        </w:tc>
      </w:tr>
      <w:tr>
        <w:trPr>
          <w:cantSplit/>
        </w:trPr>
        <w:tc>
          <w:tcPr>
            <w:tcW w:type="dxa" w:w="3900"/>
            <w:vAlign w:val="center"/>
          </w:tcPr>
          <w:p>
            <w:pPr>
              <w:pStyle w:val="TableText"/>
              <w:keepNext/>
            </w:pPr>
            <w:r>
              <w:t>Dispute rate and resolution time</w:t>
            </w:r>
          </w:p>
        </w:tc>
        <w:tc>
          <w:tcPr>
            <w:tcW w:type="dxa" w:w="5460"/>
            <w:vAlign w:val="center"/>
          </w:tcPr>
          <w:p>
            <w:pPr>
              <w:pStyle w:val="TableText"/>
              <w:keepNext/>
            </w:pPr>
            <w:r>
              <w:t>Support burden and unresolved friction</w:t>
            </w:r>
          </w:p>
        </w:tc>
      </w:tr>
      <w:tr>
        <w:trPr>
          <w:cantSplit/>
        </w:trPr>
        <w:tc>
          <w:tcPr>
            <w:tcW w:type="dxa" w:w="3900"/>
            <w:vAlign w:val="center"/>
          </w:tcPr>
          <w:p>
            <w:pPr>
              <w:pStyle w:val="TableText"/>
              <w:keepNext/>
            </w:pPr>
            <w:r>
              <w:t>Repeat and referral usage</w:t>
            </w:r>
          </w:p>
        </w:tc>
        <w:tc>
          <w:tcPr>
            <w:tcW w:type="dxa" w:w="5460"/>
            <w:vAlign w:val="center"/>
          </w:tcPr>
          <w:p>
            <w:pPr>
              <w:pStyle w:val="TableText"/>
              <w:keepNext/>
            </w:pPr>
            <w:r>
              <w:t>Whether the experience creates continued demand</w:t>
            </w:r>
          </w:p>
        </w:tc>
      </w:tr>
      <w:tr>
        <w:trPr>
          <w:cantSplit/>
        </w:trPr>
        <w:tc>
          <w:tcPr>
            <w:tcW w:type="dxa" w:w="3900"/>
            <w:vAlign w:val="center"/>
          </w:tcPr>
          <w:p>
            <w:pPr>
              <w:pStyle w:val="TableText"/>
              <w:keepNext w:val="0"/>
            </w:pPr>
            <w:r>
              <w:t>Fee income less direct project costs</w:t>
            </w:r>
          </w:p>
        </w:tc>
        <w:tc>
          <w:tcPr>
            <w:tcW w:type="dxa" w:w="5460"/>
            <w:vAlign w:val="center"/>
          </w:tcPr>
          <w:p>
            <w:pPr>
              <w:pStyle w:val="TableText"/>
              <w:keepNext w:val="0"/>
            </w:pPr>
            <w:r>
              <w:t>Contribution before wider overheads</w:t>
            </w:r>
          </w:p>
        </w:tc>
      </w:tr>
    </w:tbl>
    <w:p>
      <w:pPr>
        <w:pStyle w:val="TableSpacer"/>
      </w:pPr>
    </w:p>
    <w:p>
      <w:pPr>
        <w:pStyle w:val="Basis"/>
      </w:pPr>
      <w:r>
        <w:t>These are proposed management measures. No baseline results or approved KPI targets were supplied.</w:t>
      </w:r>
    </w:p>
    <w:p>
      <w:pPr/>
      <w:r>
        <w:t>The existing strategy sets Year 1 ambitions of 10,000 homeowner registrations and 5,000 contractor sign ups. It also refers to revenue growth and later GCC expansion. These remain planning targets. Without conversion assumptions, project values, delivery capacity, acquisition costs, and operating expenses, they do not establish a reliable revenue or profitability forecast.</w:t>
      </w:r>
    </w:p>
    <w:p>
      <w:pPr>
        <w:pStyle w:val="Basis"/>
      </w:pPr>
      <w:r>
        <w:t>Source basis: overview.docx; Business Report.docx; VRIN methodology.docx. The implementation sequence and measurement framework are proposed additions.</w:t>
      </w:r>
    </w:p>
    <w:p>
      <w:bookmarkStart w:id="12" w:name="section_12"/>
      <w:pPr>
        <w:pStyle w:val="Heading1"/>
        <w:pageBreakBefore/>
      </w:pPr>
      <w:r>
        <w:t>Business details to finalize</w:t>
      </w:r>
      <w:bookmarkEnd w:id="12"/>
    </w:p>
    <w:p>
      <w:pPr/>
      <w:r>
        <w:t>The source materials define the concept and fee structure more clearly than the operating specifications. The items below identify the decisions needed to turn this description into a definitive company profile and service offer. They are not assertions that the relevant arrangements do or do not exist outside the supplied files.</w:t>
      </w:r>
    </w:p>
    <w:p>
      <w:pPr/>
      <w:r>
        <w:rPr>
          <w:b/>
        </w:rPr>
        <w:t>Company and launch status.</w:t>
      </w:r>
      <w:r>
        <w:t xml:space="preserve"> Confirm the registered entity name, ownership, leadership, business address, launch stage, initial city or coverage area, and launch timing. The NDA uses placeholders for the business and parties, so it does not confirm incorporation, an executed agreement, or existing business relationships.</w:t>
      </w:r>
    </w:p>
    <w:p>
      <w:pPr/>
      <w:r>
        <w:rPr>
          <w:b/>
        </w:rPr>
        <w:t>Service catalogue and delivery responsibility.</w:t>
      </w:r>
      <w:r>
        <w:t xml:space="preserve"> Define the renovation categories accepted, project size limits, geographic coverage, contractor eligibility, and any excluded work. Clarify who is responsible for design, materials, permits where relevant, inspections, site supervision, completion acceptance, and any warranty or defect correction commitments.</w:t>
      </w:r>
    </w:p>
    <w:p>
      <w:pPr/>
      <w:r>
        <w:rPr>
          <w:b/>
        </w:rPr>
        <w:t>Verification and customer support.</w:t>
      </w:r>
      <w:r>
        <w:t xml:space="preserve"> Specify which identities, credentials, licences, portfolio claims, and reviews will be checked; how often records will be refreshed; and what the trusted badge means. Establish service hours, response standards, escalation authority, evidence requirements, and the limits of Tarmem's intervention in disputes.</w:t>
      </w:r>
    </w:p>
    <w:p>
      <w:pPr/>
      <w:r>
        <w:rPr>
          <w:b/>
        </w:rPr>
        <w:t>Payment and fee mechanics.</w:t>
      </w:r>
      <w:r>
        <w:t xml:space="preserve"> Confirm the payment provider and proposed escrow structure, funding requirements, release conditions, payout timing, cancellations, refunds, and treatment of disputed funds. Clarify whether quoted project values include or exclude fees and taxes, how changes to the scope affect commission, and which charges apply if work is cancelled or only partly completed.</w:t>
      </w:r>
    </w:p>
    <w:p>
      <w:pPr/>
      <w:r>
        <w:t>The first project promotion also needs eligibility rules. The files do not explain how repeat accounts, joint homeowners, failed projects, or transferred projects would be treated. These decisions affect the clarity and cost of the offer.</w:t>
      </w:r>
    </w:p>
    <w:p>
      <w:pPr/>
      <w:r>
        <w:rPr>
          <w:b/>
        </w:rPr>
        <w:t>Product scope and information handling.</w:t>
      </w:r>
      <w:r>
        <w:t xml:space="preserve"> Confirm which website features form the initial release and which belong to a later phase. This includes social sign in, Apple Pay, mobile apps, AI matching, and internal administration. Define access to identity documents, project photographs, messages, and customer records, along with the intended retention and security arrangements.</w:t>
      </w:r>
    </w:p>
    <w:p>
      <w:pPr/>
      <w:r>
        <w:rPr>
          <w:b/>
        </w:rPr>
        <w:t>Commercial evidence.</w:t>
      </w:r>
      <w:r>
        <w:t xml:space="preserve"> Confirm any signed partnerships, actual contractors, customer registrations, completed projects, and permission to use genuine testimonials. Establish an operating budget and test the proposed fees against acquisition costs, support workload, payment costs, and contractor participation.</w:t>
      </w:r>
    </w:p>
    <w:p>
      <w:pPr/>
      <w:r>
        <w:t>These decisions would establish the company's available services, operating commitments, and demonstrated performance.</w:t>
      </w:r>
    </w:p>
    <w:p>
      <w:pPr>
        <w:pStyle w:val="Basis"/>
      </w:pPr>
      <w:r>
        <w:t>Source basis: gaps and placeholders across all six supplied files. These are clarification priorities for completing the business description.</w:t>
      </w:r>
    </w:p>
    <w:p>
      <w:bookmarkStart w:id="13" w:name="section_13"/>
      <w:pPr>
        <w:pStyle w:val="Heading1"/>
        <w:pageBreakBefore/>
      </w:pPr>
      <w:r>
        <w:t>Source basis and planning assumptions</w:t>
      </w:r>
      <w:bookmarkEnd w:id="13"/>
    </w:p>
    <w:p>
      <w:pPr/>
      <w:r>
        <w:t>This description consolidates the six supplied files, with proposed operating detail identified where added. No external market research or independent verification has been added.</w:t>
      </w:r>
    </w:p>
    <w:p>
      <w:pPr>
        <w:pStyle w:val="Heading2"/>
      </w:pPr>
      <w:r>
        <w:t>Source register</w:t>
      </w:r>
    </w:p>
    <w:p>
      <w:pPr/>
      <w:r>
        <w:rPr>
          <w:b/>
        </w:rPr>
        <w:t>overview.docx</w:t>
      </w:r>
      <w:r>
        <w:t xml:space="preserve"> covers the concept, mission, vision, features, fees, marketing, partnerships, and expansion ambitions. Its customer and contractor testimonials are placeholders, not genuine endorsements.</w:t>
      </w:r>
    </w:p>
    <w:p>
      <w:pPr/>
      <w:r>
        <w:rPr>
          <w:b/>
        </w:rPr>
        <w:t>Business Report.docx</w:t>
      </w:r>
      <w:r>
        <w:t xml:space="preserve"> covers the Saudi market focus, trust proposition, costs, fees, expansion, and growth ambitions. Its figures are planning inputs rather than verified results.</w:t>
      </w:r>
    </w:p>
    <w:p>
      <w:pPr/>
      <w:r>
        <w:rPr>
          <w:b/>
        </w:rPr>
        <w:t>targeting.docx</w:t>
      </w:r>
      <w:r>
        <w:t xml:space="preserve"> proposes audience interests, age focus, Arabic content, social channels, advertising, and analytics. Its demographic suggestions are hypotheses rather than established customer research.</w:t>
      </w:r>
    </w:p>
    <w:p>
      <w:pPr/>
      <w:r>
        <w:rPr>
          <w:b/>
        </w:rPr>
        <w:t>Website Structure - Tarmem.docx</w:t>
      </w:r>
      <w:r>
        <w:t xml:space="preserve"> specifies onboarding, ID or Iqama checks, dashboards, bidding, profiles, messaging, file sharing, badges, saved contractors, AI matching, escrow, and Apple Pay.</w:t>
      </w:r>
    </w:p>
    <w:p>
      <w:pPr/>
      <w:r>
        <w:rPr>
          <w:b/>
        </w:rPr>
        <w:t>VRIN methodology.docx</w:t>
      </w:r>
      <w:r>
        <w:t xml:space="preserve"> challenges the durability of the initial differentiators and identifies operations, relationships, trust, and performance data as possible foundations for a stronger position.</w:t>
      </w:r>
    </w:p>
    <w:p>
      <w:pPr/>
      <w:r>
        <w:rPr>
          <w:b/>
        </w:rPr>
        <w:t>Tarmem NDA.docx</w:t>
      </w:r>
      <w:r>
        <w:t xml:space="preserve"> identifies confidential information, including strategy, software, payment architecture, customer data, agreements, and pricing. It contains uncompleted party, duration, and jurisdiction placeholders; no executed obligations are assumed.</w:t>
      </w:r>
    </w:p>
    <w:p>
      <w:pPr>
        <w:pStyle w:val="Heading2"/>
      </w:pPr>
      <w:r>
        <w:t>Numerical assumptions retained from the files</w:t>
      </w:r>
    </w:p>
    <w:p>
      <w:pPr/>
      <w:r>
        <w:t>The proposed homeowner fees are 0% for the first project and 5% thereafter; contractor commission is 15%. Implementation mechanics remain to be confirmed.</w:t>
      </w:r>
    </w:p>
    <w:p>
      <w:pPr/>
      <w:r>
        <w:t>The source market estimates are SAR 45.75 billion for 2024 and SAR 62.25 billion for 2030, with a stated 5.2% CAGR. No research report, category definition, or methodology was supplied. These figures require validation before external use.</w:t>
      </w:r>
    </w:p>
    <w:p>
      <w:pPr/>
      <w:r>
        <w:t>Year 1 targets are 10,000 homeowner registrations and 5,000 contractor sign ups. The Business Report also gives a 60% subsequent revenue growth ambition without a supporting baseline or financial model. These are not achieved traction or substantiated forecasts.</w:t>
      </w:r>
    </w:p>
    <w:p>
      <w:pPr/>
      <w:r>
        <w:t>The SAR 50,000 example is illustrative arithmetic. Added operating processes, launch sequencing, and performance measures explain how the concept could work; they require decisions before becoming commitments.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tabs>
        <w:tab w:pos="9360" w:val="right"/>
      </w:tabs>
    </w:pPr>
    <w:r>
      <w:t>September 2026</w:t>
      <w:tab/>
    </w:r>
    <w:r>
      <w:fldChar w:fldCharType="begin"/>
      <w:instrText xml:space="preserve"> PAGE </w:instrText>
      <w:fldChar w:fldCharType="end"/>
    </w:r>
    <w: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tabs>
        <w:tab w:pos="9360" w:val="right"/>
      </w:tabs>
    </w:pPr>
    <w:r>
      <w:rPr>
        <w:b/>
      </w:rPr>
      <w:t>TARMEM</w:t>
    </w:r>
    <w:r>
      <w:tab/>
      <w:t>Business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suff w:val="tab"/>
      <w:pPr>
        <w:tabs>
          <w:tab w:val="num" w:pos="720"/>
        </w:tabs>
        <w:ind w:left="720" w:hanging="360"/>
        <w:spacing w:before="0"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64" w:lineRule="auto"/>
      <w:jc w:val="left"/>
    </w:pPr>
    <w:rPr>
      <w:rFonts w:ascii="Calibri" w:hAnsi="Calibri" w:eastAsia="Calibri" w:cs="Calibri"/>
      <w:b w:val="0"/>
      <w:color w:val="26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jc w:val="left"/>
      <w:outlineLvl w:val="0"/>
    </w:pPr>
    <w:rPr>
      <w:rFonts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jc w:val="left"/>
      <w:outlineLvl w:val="1"/>
    </w:pPr>
    <w:rPr>
      <w:rFonts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jc w:val="left"/>
      <w:outlineLvl w:val="2"/>
    </w:pPr>
    <w:rPr>
      <w:rFonts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widowControl/>
      <w:spacing w:after="240" w:line="264" w:lineRule="auto" w:before="0"/>
      <w:contextualSpacing/>
      <w:jc w:val="left"/>
    </w:pPr>
    <w:rPr>
      <w:rFonts w:ascii="Calibri" w:hAnsi="Calibri" w:eastAsia="Calibri" w:cs="Calibri"/>
      <w:b/>
      <w:color w:val="0B25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widowControl/>
      <w:numPr>
        <w:ilvl w:val="1"/>
      </w:numPr>
      <w:spacing w:before="0" w:after="240" w:line="264" w:lineRule="auto"/>
      <w:jc w:val="left"/>
    </w:pPr>
    <w:rPr>
      <w:rFonts w:ascii="Calibri" w:hAnsi="Calibri" w:eastAsia="Calibri" w:cs="Calibri"/>
      <w:b w:val="0"/>
      <w:i/>
      <w:iCs/>
      <w:color w:val="606A7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Brand">
    <w:name w:val="Cover Brand"/>
    <w:basedOn w:val="Normal"/>
    <w:pPr>
      <w:keepNext w:val="0"/>
      <w:keepLines w:val="0"/>
      <w:widowControl/>
      <w:spacing w:before="1800" w:after="280" w:line="264" w:lineRule="auto"/>
      <w:jc w:val="center"/>
    </w:pPr>
    <w:rPr>
      <w:rFonts w:ascii="Calibri" w:hAnsi="Calibri" w:eastAsia="Calibri" w:cs="Calibri"/>
      <w:b/>
      <w:color w:val="0B2545"/>
      <w:sz w:val="84"/>
    </w:rPr>
  </w:style>
  <w:style w:type="paragraph" w:customStyle="1" w:styleId="CoverTitle">
    <w:name w:val="Cover Title"/>
    <w:basedOn w:val="Normal"/>
    <w:pPr>
      <w:keepNext w:val="0"/>
      <w:keepLines w:val="0"/>
      <w:widowControl/>
      <w:spacing w:before="0" w:after="360" w:line="264" w:lineRule="auto"/>
      <w:jc w:val="center"/>
    </w:pPr>
    <w:rPr>
      <w:rFonts w:ascii="Calibri" w:hAnsi="Calibri" w:eastAsia="Calibri" w:cs="Calibri"/>
      <w:b w:val="0"/>
      <w:color w:val="0B2545"/>
      <w:sz w:val="52"/>
    </w:rPr>
  </w:style>
  <w:style w:type="paragraph" w:customStyle="1" w:styleId="CoverTagline">
    <w:name w:val="Cover Tagline"/>
    <w:basedOn w:val="Normal"/>
    <w:pPr>
      <w:keepNext w:val="0"/>
      <w:keepLines w:val="0"/>
      <w:widowControl/>
      <w:spacing w:before="0" w:after="520" w:line="264" w:lineRule="auto"/>
      <w:jc w:val="center"/>
    </w:pPr>
    <w:rPr>
      <w:rFonts w:ascii="Calibri" w:hAnsi="Calibri" w:eastAsia="Calibri" w:cs="Calibri"/>
      <w:b w:val="0"/>
      <w:color w:val="2E74B5"/>
      <w:sz w:val="30"/>
    </w:rPr>
  </w:style>
  <w:style w:type="paragraph" w:customStyle="1" w:styleId="CoverLead">
    <w:name w:val="Cover Lead"/>
    <w:basedOn w:val="Normal"/>
    <w:pPr>
      <w:keepNext w:val="0"/>
      <w:keepLines w:val="0"/>
      <w:widowControl/>
      <w:spacing w:before="0" w:after="440" w:line="300" w:lineRule="auto"/>
      <w:jc w:val="center"/>
    </w:pPr>
    <w:rPr>
      <w:rFonts w:ascii="Calibri" w:hAnsi="Calibri" w:eastAsia="Calibri" w:cs="Calibri"/>
      <w:b w:val="0"/>
      <w:color w:val="26313C"/>
      <w:sz w:val="22"/>
    </w:rPr>
  </w:style>
  <w:style w:type="paragraph" w:customStyle="1" w:styleId="CoverDescriptor">
    <w:name w:val="Cover Descriptor"/>
    <w:basedOn w:val="Normal"/>
    <w:pPr>
      <w:keepNext w:val="0"/>
      <w:keepLines w:val="0"/>
      <w:widowControl/>
      <w:spacing w:before="0" w:after="680" w:line="264" w:lineRule="auto"/>
      <w:jc w:val="center"/>
    </w:pPr>
    <w:rPr>
      <w:rFonts w:ascii="Calibri" w:hAnsi="Calibri" w:eastAsia="Calibri" w:cs="Calibri"/>
      <w:b w:val="0"/>
      <w:color w:val="606A77"/>
      <w:sz w:val="20"/>
    </w:rPr>
  </w:style>
  <w:style w:type="paragraph" w:customStyle="1" w:styleId="CoverDate">
    <w:name w:val="Cover Date"/>
    <w:basedOn w:val="Normal"/>
    <w:pPr>
      <w:keepNext w:val="0"/>
      <w:keepLines w:val="0"/>
      <w:widowControl/>
      <w:spacing w:before="0" w:after="520" w:line="264" w:lineRule="auto"/>
      <w:jc w:val="center"/>
    </w:pPr>
    <w:rPr>
      <w:rFonts w:ascii="Calibri" w:hAnsi="Calibri" w:eastAsia="Calibri" w:cs="Calibri"/>
      <w:b w:val="0"/>
      <w:color w:val="0B2545"/>
      <w:sz w:val="22"/>
    </w:rPr>
  </w:style>
  <w:style w:type="paragraph" w:customStyle="1" w:styleId="CoverNote">
    <w:name w:val="Cover Note"/>
    <w:basedOn w:val="Normal"/>
    <w:pPr>
      <w:keepNext w:val="0"/>
      <w:keepLines w:val="0"/>
      <w:widowControl/>
      <w:spacing w:before="0" w:after="0" w:line="276" w:lineRule="auto"/>
      <w:jc w:val="center"/>
    </w:pPr>
    <w:rPr>
      <w:rFonts w:ascii="Calibri" w:hAnsi="Calibri" w:eastAsia="Calibri" w:cs="Calibri"/>
      <w:b w:val="0"/>
      <w:color w:val="606A77"/>
      <w:sz w:val="18"/>
    </w:rPr>
  </w:style>
  <w:style w:type="paragraph" w:customStyle="1" w:styleId="Basis">
    <w:name w:val="Basis"/>
    <w:basedOn w:val="Normal"/>
    <w:pPr>
      <w:keepNext w:val="0"/>
      <w:keepLines w:val="0"/>
      <w:widowControl/>
      <w:spacing w:before="80" w:after="80" w:line="264" w:lineRule="auto"/>
      <w:jc w:val="left"/>
    </w:pPr>
    <w:rPr>
      <w:rFonts w:ascii="Calibri" w:hAnsi="Calibri" w:eastAsia="Calibri" w:cs="Calibri"/>
      <w:b w:val="0"/>
      <w:color w:val="606A77"/>
      <w:sz w:val="17"/>
    </w:rPr>
  </w:style>
  <w:style w:type="paragraph" w:customStyle="1" w:styleId="TableText">
    <w:name w:val="Table Text"/>
    <w:basedOn w:val="Normal"/>
    <w:pPr>
      <w:keepNext w:val="0"/>
      <w:keepLines w:val="0"/>
      <w:widowControl/>
      <w:spacing w:before="0" w:after="0" w:line="264" w:lineRule="auto"/>
      <w:jc w:val="left"/>
    </w:pPr>
    <w:rPr>
      <w:rFonts w:ascii="Calibri" w:hAnsi="Calibri" w:eastAsia="Calibri" w:cs="Calibri"/>
      <w:b w:val="0"/>
      <w:color w:val="26313C"/>
      <w:sz w:val="20"/>
    </w:rPr>
  </w:style>
  <w:style w:type="paragraph" w:customStyle="1" w:styleId="TableHeader">
    <w:name w:val="Table Header"/>
    <w:basedOn w:val="Normal"/>
    <w:pPr>
      <w:keepNext w:val="0"/>
      <w:keepLines w:val="0"/>
      <w:widowControl/>
      <w:spacing w:before="0" w:after="0" w:line="264" w:lineRule="auto"/>
      <w:jc w:val="left"/>
    </w:pPr>
    <w:rPr>
      <w:rFonts w:ascii="Calibri" w:hAnsi="Calibri" w:eastAsia="Calibri" w:cs="Calibri"/>
      <w:b/>
      <w:color w:val="26313C"/>
      <w:sz w:val="20"/>
    </w:rPr>
  </w:style>
  <w:style w:type="paragraph" w:customStyle="1" w:styleId="TableSpacer">
    <w:name w:val="Table Spacer"/>
    <w:basedOn w:val="Normal"/>
    <w:pPr>
      <w:keepNext w:val="0"/>
      <w:keepLines w:val="0"/>
      <w:widowControl/>
      <w:spacing w:before="0" w:after="0" w:line="240" w:lineRule="auto"/>
      <w:jc w:val="left"/>
    </w:pPr>
    <w:rPr>
      <w:rFonts w:ascii="Calibri" w:hAnsi="Calibri" w:eastAsia="Calibri" w:cs="Calibri"/>
      <w:b w:val="0"/>
      <w:color w:val="26313C"/>
      <w:sz w:val="2"/>
    </w:rPr>
  </w:style>
  <w:style w:type="paragraph" w:customStyle="1" w:styleId="Running">
    <w:name w:val="Running"/>
    <w:basedOn w:val="Normal"/>
    <w:pPr>
      <w:keepNext w:val="0"/>
      <w:keepLines w:val="0"/>
      <w:widowControl/>
      <w:spacing w:before="0" w:after="0" w:line="240" w:lineRule="auto"/>
      <w:jc w:val="left"/>
    </w:pPr>
    <w:rPr>
      <w:rFonts w:ascii="Calibri" w:hAnsi="Calibri" w:eastAsia="Calibri" w:cs="Calibri"/>
      <w:b w:val="0"/>
      <w:color w:val="606A77"/>
      <w:sz w:val="18"/>
    </w:rPr>
  </w:style>
  <w:style w:type="paragraph" w:customStyle="1" w:styleId="Step">
    <w:name w:val="Step"/>
    <w:basedOn w:val="Normal"/>
    <w:pPr>
      <w:keepNext w:val="0"/>
      <w:keepLines w:val="0"/>
      <w:widowControl/>
      <w:tabs>
        <w:tab w:pos="720" w:val="left"/>
      </w:tabs>
      <w:spacing w:before="0" w:after="160" w:line="280" w:lineRule="auto"/>
      <w:ind w:left="720" w:hanging="360"/>
      <w:jc w:val="left"/>
    </w:pPr>
    <w:rPr>
      <w:rFonts w:ascii="Calibri" w:hAnsi="Calibri" w:eastAsia="Calibri" w:cs="Calibri"/>
      <w:b w:val="0"/>
      <w:color w:val="26313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Tarmem | Business Description</dc:title>
  <dc:subject>Business concept, proposed operating model, customer experience, and growth strategy</dc:subject>
  <dc:creator>Tarmem</dc:creator>
  <cp:keywords>Tarmem, renovation, marketplace, business description, Saudi Arabia</cp:keywords>
  <dc:description/>
  <cp:lastModifiedBy/>
  <cp:revision>1</cp:revision>
  <dcterms:created xsi:type="dcterms:W3CDTF">2026-09-07T00:00:00Z</dcterms:created>
  <dcterms:modified xsi:type="dcterms:W3CDTF">2026-09-07T00:00:00Z</dcterms:modified>
  <cp:category/>
</cp:coreProperties>
</file>