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9D070E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Style w:val="7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Embedding từ GloVe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: bạn đã dùng GloVe để biểu diễn từ ngữ, rất tốt vì giúp tăng hiệu quả so với one-hot.</w:t>
      </w:r>
    </w:p>
    <w:p w14:paraId="4302A8C5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</w:p>
    <w:p w14:paraId="7FDF78DC">
      <w:pP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</w:pP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*Mạng RNN đơn tầng:</w:t>
      </w:r>
    </w:p>
    <w:p w14:paraId="0B22B03F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Nhận embedding làm đầu vào</w:t>
      </w:r>
    </w:p>
    <w:p w14:paraId="6D156748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Trả về hidden state cuối (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h_n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)</w:t>
      </w:r>
    </w:p>
    <w:p w14:paraId="4E874A63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Dự đoán nhị phân qua 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Linear + Sigmoid</w:t>
      </w:r>
    </w:p>
    <w:p w14:paraId="4DD3CF94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</w:p>
    <w:p w14:paraId="42EF2F47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</w:pP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Evaluate trên tập test:</w:t>
      </w:r>
    </w:p>
    <w:p w14:paraId="627BFA01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</w:pP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drawing>
          <wp:inline distT="0" distB="0" distL="114300" distR="114300">
            <wp:extent cx="2143125" cy="723900"/>
            <wp:effectExtent l="0" t="0" r="9525" b="0"/>
            <wp:docPr id="2" name="Picture 2" descr="{36ED658D-6115-4C6C-8419-531843134E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36ED658D-6115-4C6C-8419-531843134ED0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32B1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0"/>
          <w:szCs w:val="20"/>
          <w:lang w:val="vi-VN"/>
        </w:rPr>
      </w:pPr>
      <w:r>
        <w:rPr>
          <w:rStyle w:val="7"/>
          <w:rFonts w:hint="default" w:ascii="Times New Roman" w:hAnsi="Times New Roman" w:cs="Times New Roman"/>
          <w:b/>
          <w:bCs/>
          <w:sz w:val="20"/>
          <w:szCs w:val="20"/>
          <w:lang w:val="vi-VN"/>
        </w:rPr>
        <w:t>*</w:t>
      </w:r>
      <w:r>
        <w:rPr>
          <w:rStyle w:val="7"/>
          <w:rFonts w:hint="default" w:ascii="Times New Roman" w:hAnsi="Times New Roman" w:cs="Times New Roman"/>
          <w:b/>
          <w:bCs/>
          <w:sz w:val="20"/>
          <w:szCs w:val="20"/>
        </w:rPr>
        <w:t>Hạn chế của RNN (đơn tầng)</w:t>
      </w:r>
      <w:r>
        <w:rPr>
          <w:rStyle w:val="7"/>
          <w:rFonts w:hint="default" w:ascii="Times New Roman" w:hAnsi="Times New Roman" w:cs="Times New Roman"/>
          <w:b/>
          <w:bCs/>
          <w:sz w:val="20"/>
          <w:szCs w:val="20"/>
          <w:lang w:val="vi-VN"/>
        </w:rPr>
        <w:t>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11"/>
        <w:gridCol w:w="5585"/>
      </w:tblGrid>
      <w:tr w14:paraId="6B10AD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766" w:type="dxa"/>
            <w:shd w:val="clear"/>
            <w:vAlign w:val="center"/>
          </w:tcPr>
          <w:p w14:paraId="4C68F85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0"/>
                <w:szCs w:val="20"/>
                <w:lang w:val="en-US" w:eastAsia="zh-CN" w:bidi="ar"/>
              </w:rPr>
              <w:t>Hạn chế</w:t>
            </w:r>
          </w:p>
        </w:tc>
        <w:tc>
          <w:tcPr>
            <w:tcW w:w="5540" w:type="dxa"/>
            <w:shd w:val="clear"/>
            <w:vAlign w:val="center"/>
          </w:tcPr>
          <w:p w14:paraId="1963938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0"/>
                <w:szCs w:val="20"/>
                <w:lang w:val="en-US" w:eastAsia="zh-CN" w:bidi="ar"/>
              </w:rPr>
              <w:t>Chi tiết</w:t>
            </w:r>
          </w:p>
        </w:tc>
      </w:tr>
      <w:tr w14:paraId="0D940A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/>
            <w:vAlign w:val="center"/>
          </w:tcPr>
          <w:p w14:paraId="686C9C0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Không nhớ dài hạn tốt</w:t>
            </w:r>
          </w:p>
        </w:tc>
        <w:tc>
          <w:tcPr>
            <w:tcW w:w="5540" w:type="dxa"/>
            <w:shd w:val="clear"/>
            <w:vAlign w:val="center"/>
          </w:tcPr>
          <w:p w14:paraId="34A4FF2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RNN dễ bị mất thông tin khi chuỗi quá dài (vấn đề "vanishing gradient")</w:t>
            </w:r>
          </w:p>
        </w:tc>
      </w:tr>
      <w:tr w14:paraId="526239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/>
            <w:vAlign w:val="center"/>
          </w:tcPr>
          <w:p w14:paraId="65007D4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Chỉ xử lý từ quá khứ → hiện tại</w:t>
            </w:r>
          </w:p>
        </w:tc>
        <w:tc>
          <w:tcPr>
            <w:tcW w:w="5540" w:type="dxa"/>
            <w:shd w:val="clear"/>
            <w:vAlign w:val="center"/>
          </w:tcPr>
          <w:p w14:paraId="562E2A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Không tận dụng được ngữ cảnh tương lai trong chuỗi</w:t>
            </w:r>
          </w:p>
        </w:tc>
      </w:tr>
      <w:tr w14:paraId="3C1224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/>
            <w:vAlign w:val="center"/>
          </w:tcPr>
          <w:p w14:paraId="28B76B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Đơn tầng không đủ trừu tượng</w:t>
            </w:r>
          </w:p>
        </w:tc>
        <w:tc>
          <w:tcPr>
            <w:tcW w:w="5540" w:type="dxa"/>
            <w:shd w:val="clear"/>
            <w:vAlign w:val="center"/>
          </w:tcPr>
          <w:p w14:paraId="4E579CC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Một tầng không đủ để học các đặc trưng ngôn ngữ phức tạp như cú pháp, ngữ nghĩa sâu</w:t>
            </w:r>
          </w:p>
        </w:tc>
      </w:tr>
      <w:tr w14:paraId="7DFE3A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/>
            <w:vAlign w:val="center"/>
          </w:tcPr>
          <w:p w14:paraId="4060470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Dễ overfit</w:t>
            </w:r>
          </w:p>
        </w:tc>
        <w:tc>
          <w:tcPr>
            <w:tcW w:w="5540" w:type="dxa"/>
            <w:shd w:val="clear"/>
            <w:vAlign w:val="center"/>
          </w:tcPr>
          <w:p w14:paraId="1679F30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Mạng nông khó đạt độ chính xác cao trên dữ liệu thực tế</w:t>
            </w:r>
          </w:p>
        </w:tc>
      </w:tr>
    </w:tbl>
    <w:p w14:paraId="40593BDC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</w:pPr>
    </w:p>
    <w:p w14:paraId="0B89F04D">
      <w:pP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</w:pP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*</w:t>
      </w:r>
      <w:r>
        <w:rPr>
          <w:rFonts w:hint="default" w:ascii="Times New Roman" w:hAnsi="Times New Roman" w:eastAsia="SimSun" w:cs="Times New Roman"/>
          <w:b/>
          <w:bCs/>
          <w:sz w:val="20"/>
          <w:szCs w:val="20"/>
        </w:rPr>
        <w:t>Giải pháp: Deep BiLSTM</w:t>
      </w: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:</w:t>
      </w:r>
    </w:p>
    <w:p w14:paraId="1F3385D6">
      <w:pP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</w:pP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Evaluate trên tập test:</w:t>
      </w:r>
    </w:p>
    <w:p w14:paraId="0AF7C1AD">
      <w:pP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</w:pP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drawing>
          <wp:inline distT="0" distB="0" distL="114300" distR="114300">
            <wp:extent cx="2295525" cy="819150"/>
            <wp:effectExtent l="0" t="0" r="9525" b="0"/>
            <wp:docPr id="3" name="Picture 3" descr="{C180A269-0C8A-468C-AA37-267F698F09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C180A269-0C8A-468C-AA37-267F698F0990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811"/>
        <w:gridCol w:w="5585"/>
      </w:tblGrid>
      <w:tr w14:paraId="3CDC24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766" w:type="dxa"/>
            <w:shd w:val="clear" w:color="auto" w:fill="auto"/>
            <w:vAlign w:val="center"/>
          </w:tcPr>
          <w:p w14:paraId="25DE013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0"/>
                <w:szCs w:val="20"/>
                <w:lang w:val="en-US" w:eastAsia="zh-CN" w:bidi="ar"/>
              </w:rPr>
              <w:t>Cải tiến</w:t>
            </w:r>
          </w:p>
        </w:tc>
        <w:tc>
          <w:tcPr>
            <w:tcW w:w="5540" w:type="dxa"/>
            <w:shd w:val="clear" w:color="auto" w:fill="auto"/>
            <w:vAlign w:val="center"/>
          </w:tcPr>
          <w:p w14:paraId="236302D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0"/>
                <w:szCs w:val="20"/>
                <w:lang w:val="en-US" w:eastAsia="zh-CN" w:bidi="ar"/>
              </w:rPr>
              <w:t>Lợi ích</w:t>
            </w:r>
          </w:p>
        </w:tc>
      </w:tr>
      <w:tr w14:paraId="1908E8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 w:color="auto" w:fill="auto"/>
            <w:vAlign w:val="center"/>
          </w:tcPr>
          <w:p w14:paraId="67974E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Bi-directional</w:t>
            </w:r>
          </w:p>
        </w:tc>
        <w:tc>
          <w:tcPr>
            <w:tcW w:w="5540" w:type="dxa"/>
            <w:shd w:val="clear" w:color="auto" w:fill="auto"/>
            <w:vAlign w:val="center"/>
          </w:tcPr>
          <w:p w14:paraId="608C689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Xem được cả thông tin trước và sau từ hiện tại</w:t>
            </w:r>
          </w:p>
        </w:tc>
      </w:tr>
      <w:tr w14:paraId="1BC3DB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 w:color="auto" w:fill="auto"/>
            <w:vAlign w:val="center"/>
          </w:tcPr>
          <w:p w14:paraId="6B0BF59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LSTM &gt; RNN</w:t>
            </w:r>
          </w:p>
        </w:tc>
        <w:tc>
          <w:tcPr>
            <w:tcW w:w="5540" w:type="dxa"/>
            <w:shd w:val="clear" w:color="auto" w:fill="auto"/>
            <w:vAlign w:val="center"/>
          </w:tcPr>
          <w:p w14:paraId="2CD195B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 xml:space="preserve">LSTM dùng cơ chế cổng (gates) để 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ghi nhớ dài hạn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 xml:space="preserve"> tốt hơn</w:t>
            </w:r>
          </w:p>
        </w:tc>
      </w:tr>
      <w:tr w14:paraId="676E10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 w:color="auto" w:fill="auto"/>
            <w:vAlign w:val="center"/>
          </w:tcPr>
          <w:p w14:paraId="5DAD9E5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Deep (2 tầng)</w:t>
            </w:r>
          </w:p>
        </w:tc>
        <w:tc>
          <w:tcPr>
            <w:tcW w:w="5540" w:type="dxa"/>
            <w:shd w:val="clear" w:color="auto" w:fill="auto"/>
            <w:vAlign w:val="center"/>
          </w:tcPr>
          <w:p w14:paraId="17F503E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 xml:space="preserve">Nhiều tầng giúp học </w:t>
            </w: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đặc trưng trừu tượng</w:t>
            </w: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 xml:space="preserve"> hơn: tầng 1 học đặc trưng ngữ nghĩa cơ bản, tầng 2 học mối liên hệ ngữ pháp phức tạp hơn</w:t>
            </w:r>
          </w:p>
        </w:tc>
      </w:tr>
      <w:tr w14:paraId="113E7A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766" w:type="dxa"/>
            <w:shd w:val="clear" w:color="auto" w:fill="auto"/>
            <w:vAlign w:val="center"/>
          </w:tcPr>
          <w:p w14:paraId="4F3741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Style w:val="7"/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Ổn định gradient</w:t>
            </w:r>
          </w:p>
        </w:tc>
        <w:tc>
          <w:tcPr>
            <w:tcW w:w="5540" w:type="dxa"/>
            <w:shd w:val="clear" w:color="auto" w:fill="auto"/>
            <w:vAlign w:val="center"/>
          </w:tcPr>
          <w:p w14:paraId="310AD35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</w:rPr>
            </w:pPr>
            <w:r>
              <w:rPr>
                <w:rFonts w:hint="default" w:ascii="Times New Roman" w:hAnsi="Times New Roman" w:eastAsia="SimSun" w:cs="Times New Roman"/>
                <w:b w:val="0"/>
                <w:bCs w:val="0"/>
                <w:kern w:val="0"/>
                <w:sz w:val="20"/>
                <w:szCs w:val="20"/>
                <w:lang w:val="en-US" w:eastAsia="zh-CN" w:bidi="ar"/>
              </w:rPr>
              <w:t>LSTM và nhiều tầng có cơ chế giúp tránh gradient vanishing tốt hơn RNN truyền thống</w:t>
            </w:r>
          </w:p>
        </w:tc>
      </w:tr>
    </w:tbl>
    <w:p w14:paraId="6C6D539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72285" cy="2659380"/>
            <wp:effectExtent l="0" t="0" r="18415" b="762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99A82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Input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Dữ liệu đầu vào là văn bản</w:t>
      </w:r>
    </w:p>
    <w:p w14:paraId="5287F696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Glove</w:t>
      </w:r>
      <w:r>
        <w:rPr>
          <w:rStyle w:val="7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(Word Embeddings)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 xml:space="preserve">: 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GloVe giúp biến từ thành vector có ý nghĩa ngữ nghĩa (semantic), giúp mô hình hiểu được các mối quan hệ giữa từ</w:t>
      </w:r>
    </w:p>
    <w:p w14:paraId="13F1B697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Style w:val="7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Embedding Layer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: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Dùng trọng số GloVe đã huấn luyện để ánh xạ văn bản thành dãy vector – cho đầu vào nhất quán cho mô hình học sâu.</w:t>
      </w:r>
    </w:p>
    <w:p w14:paraId="39F281F2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Style w:val="7"/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  <w:t>-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Deep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 xml:space="preserve"> 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BiLSTM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:</w:t>
      </w:r>
    </w:p>
    <w:p w14:paraId="3AD9F14F">
      <w:pPr>
        <w:rPr>
          <w:rFonts w:hint="default" w:ascii="Times New Roman" w:hAnsi="Times New Roma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t>Mô hình sâu học được đặc trưng ngữ cảnh phức tạp hơn.</w:t>
      </w:r>
    </w:p>
    <w:p w14:paraId="25E1BB15">
      <w:pPr>
        <w:rPr>
          <w:rFonts w:hint="default" w:ascii="Times New Roman" w:hAnsi="Times New Roma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t>BiLSTM khai thác thông tin cả chiều xuôi và ngược, hiểu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vi-VN"/>
        </w:rPr>
        <w:t xml:space="preserve"> tốt các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t xml:space="preserve"> nội dung câu dài, mập mờ – thường gặp trong tin giả.</w:t>
      </w:r>
    </w:p>
    <w:p w14:paraId="7B29ADC0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-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Linear + Si</w:t>
      </w:r>
      <w:bookmarkStart w:id="0" w:name="_GoBack"/>
      <w:bookmarkEnd w:id="0"/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gmoid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:</w:t>
      </w:r>
    </w:p>
    <w:p w14:paraId="6E9C54EB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Linear biến đổi về 1 giá trị logit.</w:t>
      </w:r>
    </w:p>
    <w:p w14:paraId="6622D222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Sigmoid để xuất xác suất (giả hay thật).</w:t>
      </w:r>
    </w:p>
    <w:p w14:paraId="6DBE00BC">
      <w:pPr>
        <w:rPr>
          <w:rFonts w:hint="default" w:ascii="Times New Roman" w:hAnsi="Times New Roman" w:eastAsia="SimSun" w:cs="Times New Roman"/>
          <w:b/>
          <w:bCs/>
          <w:sz w:val="20"/>
          <w:szCs w:val="20"/>
        </w:rPr>
      </w:pP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  <w:lang w:val="vi-VN"/>
        </w:rPr>
        <w:t>-</w:t>
      </w:r>
      <w:r>
        <w:rPr>
          <w:rStyle w:val="7"/>
          <w:rFonts w:hint="default" w:ascii="Times New Roman" w:hAnsi="Times New Roman" w:eastAsia="SimSun" w:cs="Times New Roman"/>
          <w:b/>
          <w:bCs/>
          <w:sz w:val="20"/>
          <w:szCs w:val="20"/>
        </w:rPr>
        <w:t>Output</w:t>
      </w:r>
      <w:r>
        <w:rPr>
          <w:rFonts w:hint="default" w:ascii="Times New Roman" w:hAnsi="Times New Roman" w:eastAsia="SimSun" w:cs="Times New Roman"/>
          <w:b/>
          <w:bCs/>
          <w:sz w:val="20"/>
          <w:szCs w:val="20"/>
        </w:rPr>
        <w:t>:</w:t>
      </w:r>
    </w:p>
    <w:p w14:paraId="6668CEA2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  <w:lang w:val="vi-VN"/>
        </w:rPr>
      </w:pP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Phân loại nhị phân: 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1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 (giả), </w:t>
      </w:r>
      <w:r>
        <w:rPr>
          <w:rStyle w:val="5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0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 (thật).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.VnTimeH">
    <w:panose1 w:val="020B72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C11E4"/>
    <w:rsid w:val="351C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2025-06-14T08:35:00Z</dcterms:created>
  <dc:creator>NGUYEN HO TUYEN</dc:creator>
  <cp:lastModifiedBy>Nguyễn Tuyên</cp:lastModifiedBy>
  <dcterms:modified xsi:type="dcterms:W3CDTF">2025-06-14T09:06:13Z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9A474D4FB1AC4487B905BC7F2B817CF4_11</vt:lpwstr>
  </property>
</Properties>
</file>