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7"/>
        <w:ind w:left="5104" w:right="0" w:firstLine="0"/>
        <w:jc w:val="left"/>
        <w:rPr>
          <w:rFonts w:ascii="Arial" w:hAnsi="Arial"/>
          <w:b/>
          <w:sz w:val="15"/>
        </w:rPr>
      </w:pPr>
      <w:r>
        <w:rPr>
          <w:rFonts w:ascii="Arial" w:hAnsi="Arial"/>
          <w:b/>
          <w:spacing w:val="-2"/>
          <w:sz w:val="15"/>
        </w:rPr>
        <w:t>Administration</w:t>
      </w:r>
      <w:r>
        <w:rPr>
          <w:rFonts w:ascii="Arial" w:hAnsi="Arial"/>
          <w:b/>
          <w:spacing w:val="10"/>
          <w:sz w:val="15"/>
        </w:rPr>
        <w:t> </w:t>
      </w:r>
      <w:r>
        <w:rPr>
          <w:rFonts w:ascii="Arial" w:hAnsi="Arial"/>
          <w:b/>
          <w:spacing w:val="-2"/>
          <w:sz w:val="15"/>
        </w:rPr>
        <w:t>fédérale</w:t>
      </w:r>
      <w:r>
        <w:rPr>
          <w:rFonts w:ascii="Arial" w:hAnsi="Arial"/>
          <w:b/>
          <w:spacing w:val="8"/>
          <w:sz w:val="15"/>
        </w:rPr>
        <w:t> </w:t>
      </w:r>
      <w:r>
        <w:rPr>
          <w:rFonts w:ascii="Arial" w:hAnsi="Arial"/>
          <w:b/>
          <w:spacing w:val="-2"/>
          <w:sz w:val="15"/>
        </w:rPr>
        <w:t>des</w:t>
      </w:r>
      <w:r>
        <w:rPr>
          <w:rFonts w:ascii="Arial" w:hAnsi="Arial"/>
          <w:b/>
          <w:spacing w:val="9"/>
          <w:sz w:val="15"/>
        </w:rPr>
        <w:t> </w:t>
      </w:r>
      <w:r>
        <w:rPr>
          <w:rFonts w:ascii="Arial" w:hAnsi="Arial"/>
          <w:b/>
          <w:spacing w:val="-2"/>
          <w:sz w:val="15"/>
        </w:rPr>
        <w:t>contributions</w:t>
      </w:r>
      <w:r>
        <w:rPr>
          <w:rFonts w:ascii="Arial" w:hAnsi="Arial"/>
          <w:b/>
          <w:spacing w:val="6"/>
          <w:sz w:val="15"/>
        </w:rPr>
        <w:t> </w:t>
      </w:r>
      <w:r>
        <w:rPr>
          <w:rFonts w:ascii="Arial" w:hAnsi="Arial"/>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rPr>
          <w:sz w:val="60"/>
        </w:rPr>
      </w:pPr>
    </w:p>
    <w:p>
      <w:pPr>
        <w:pStyle w:val="BodyText"/>
        <w:spacing w:before="421"/>
        <w:rPr>
          <w:sz w:val="60"/>
        </w:rPr>
      </w:pPr>
    </w:p>
    <w:p>
      <w:pPr>
        <w:pStyle w:val="Title"/>
      </w:pPr>
      <w:r>
        <w:rPr/>
        <w:drawing>
          <wp:anchor distT="0" distB="0" distL="0" distR="0" allowOverlap="1" layoutInCell="1" locked="0" behindDoc="0" simplePos="0" relativeHeight="15729152">
            <wp:simplePos x="0" y="0"/>
            <wp:positionH relativeFrom="page">
              <wp:posOffset>2844804</wp:posOffset>
            </wp:positionH>
            <wp:positionV relativeFrom="paragraph">
              <wp:posOffset>-36046</wp:posOffset>
            </wp:positionV>
            <wp:extent cx="492755" cy="590513"/>
            <wp:effectExtent l="0" t="0" r="0" b="0"/>
            <wp:wrapNone/>
            <wp:docPr id="2" name="Image 2" descr=""/>
            <wp:cNvGraphicFramePr>
              <a:graphicFrameLocks/>
            </wp:cNvGraphicFramePr>
            <a:graphic>
              <a:graphicData uri="http://schemas.openxmlformats.org/drawingml/2006/picture">
                <pic:pic>
                  <pic:nvPicPr>
                    <pic:cNvPr id="2" name="Image 2" descr=""/>
                    <pic:cNvPicPr/>
                  </pic:nvPicPr>
                  <pic:blipFill>
                    <a:blip r:embed="rId6" cstate="print"/>
                    <a:stretch>
                      <a:fillRect/>
                    </a:stretch>
                  </pic:blipFill>
                  <pic:spPr>
                    <a:xfrm>
                      <a:off x="0" y="0"/>
                      <a:ext cx="492755" cy="590513"/>
                    </a:xfrm>
                    <a:prstGeom prst="rect">
                      <a:avLst/>
                    </a:prstGeom>
                  </pic:spPr>
                </pic:pic>
              </a:graphicData>
            </a:graphic>
          </wp:anchor>
        </w:drawing>
      </w:r>
      <w:r>
        <w:rPr/>
        <mc:AlternateContent>
          <mc:Choice Requires="wps">
            <w:drawing>
              <wp:anchor distT="0" distB="0" distL="0" distR="0" allowOverlap="1" layoutInCell="1" locked="0" behindDoc="0" simplePos="0" relativeHeight="15729664">
                <wp:simplePos x="0" y="0"/>
                <wp:positionH relativeFrom="page">
                  <wp:posOffset>2656843</wp:posOffset>
                </wp:positionH>
                <wp:positionV relativeFrom="paragraph">
                  <wp:posOffset>-106532</wp:posOffset>
                </wp:positionV>
                <wp:extent cx="2540" cy="50615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540" cy="5061585"/>
                        </a:xfrm>
                        <a:custGeom>
                          <a:avLst/>
                          <a:gdLst/>
                          <a:ahLst/>
                          <a:cxnLst/>
                          <a:rect l="l" t="t" r="r" b="b"/>
                          <a:pathLst>
                            <a:path w="2540" h="5061585">
                              <a:moveTo>
                                <a:pt x="0" y="0"/>
                              </a:moveTo>
                              <a:lnTo>
                                <a:pt x="2539" y="5061590"/>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9.200256pt,-8.388416pt" to="209.400256pt,390.162043pt" stroked="true" strokeweight=".5pt" strokecolor="#333e4f">
                <v:stroke dashstyle="solid"/>
                <w10:wrap type="none"/>
              </v:line>
            </w:pict>
          </mc:Fallback>
        </mc:AlternateContent>
      </w:r>
      <w:r>
        <w:rPr/>
        <mc:AlternateContent>
          <mc:Choice Requires="wps">
            <w:drawing>
              <wp:anchor distT="0" distB="0" distL="0" distR="0" allowOverlap="1" layoutInCell="1" locked="0" behindDoc="0" simplePos="0" relativeHeight="15730176">
                <wp:simplePos x="0" y="0"/>
                <wp:positionH relativeFrom="page">
                  <wp:posOffset>1964058</wp:posOffset>
                </wp:positionH>
                <wp:positionV relativeFrom="paragraph">
                  <wp:posOffset>-55478</wp:posOffset>
                </wp:positionV>
                <wp:extent cx="542925" cy="4966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4966970"/>
                        </a:xfrm>
                        <a:custGeom>
                          <a:avLst/>
                          <a:gdLst/>
                          <a:ahLst/>
                          <a:cxnLst/>
                          <a:rect l="l" t="t" r="r" b="b"/>
                          <a:pathLst>
                            <a:path w="542925" h="4966970">
                              <a:moveTo>
                                <a:pt x="533597" y="577379"/>
                              </a:moveTo>
                              <a:lnTo>
                                <a:pt x="8946" y="711676"/>
                              </a:lnTo>
                              <a:lnTo>
                                <a:pt x="8946" y="783285"/>
                              </a:lnTo>
                              <a:lnTo>
                                <a:pt x="533597" y="913922"/>
                              </a:lnTo>
                              <a:lnTo>
                                <a:pt x="533597" y="842083"/>
                              </a:lnTo>
                              <a:lnTo>
                                <a:pt x="414424" y="814401"/>
                              </a:lnTo>
                              <a:lnTo>
                                <a:pt x="414424" y="793581"/>
                              </a:lnTo>
                              <a:lnTo>
                                <a:pt x="326027" y="793581"/>
                              </a:lnTo>
                              <a:lnTo>
                                <a:pt x="131341" y="748281"/>
                              </a:lnTo>
                              <a:lnTo>
                                <a:pt x="326027" y="702067"/>
                              </a:lnTo>
                              <a:lnTo>
                                <a:pt x="414424" y="702067"/>
                              </a:lnTo>
                              <a:lnTo>
                                <a:pt x="414424" y="680332"/>
                              </a:lnTo>
                              <a:lnTo>
                                <a:pt x="533597" y="651047"/>
                              </a:lnTo>
                              <a:lnTo>
                                <a:pt x="533597" y="577379"/>
                              </a:lnTo>
                              <a:close/>
                            </a:path>
                            <a:path w="542925" h="4966970">
                              <a:moveTo>
                                <a:pt x="414424" y="702067"/>
                              </a:moveTo>
                              <a:lnTo>
                                <a:pt x="326027" y="702067"/>
                              </a:lnTo>
                              <a:lnTo>
                                <a:pt x="326027" y="793581"/>
                              </a:lnTo>
                              <a:lnTo>
                                <a:pt x="414424" y="793581"/>
                              </a:lnTo>
                              <a:lnTo>
                                <a:pt x="414424" y="702067"/>
                              </a:lnTo>
                              <a:close/>
                            </a:path>
                            <a:path w="542925" h="4966970">
                              <a:moveTo>
                                <a:pt x="533597" y="2243866"/>
                              </a:moveTo>
                              <a:lnTo>
                                <a:pt x="8946" y="2378163"/>
                              </a:lnTo>
                              <a:lnTo>
                                <a:pt x="8946" y="2449773"/>
                              </a:lnTo>
                              <a:lnTo>
                                <a:pt x="533597" y="2580410"/>
                              </a:lnTo>
                              <a:lnTo>
                                <a:pt x="533597" y="2508571"/>
                              </a:lnTo>
                              <a:lnTo>
                                <a:pt x="414424" y="2480888"/>
                              </a:lnTo>
                              <a:lnTo>
                                <a:pt x="414424" y="2460069"/>
                              </a:lnTo>
                              <a:lnTo>
                                <a:pt x="326027" y="2460069"/>
                              </a:lnTo>
                              <a:lnTo>
                                <a:pt x="131341" y="2414769"/>
                              </a:lnTo>
                              <a:lnTo>
                                <a:pt x="326027" y="2368554"/>
                              </a:lnTo>
                              <a:lnTo>
                                <a:pt x="414424" y="2368554"/>
                              </a:lnTo>
                              <a:lnTo>
                                <a:pt x="414424" y="2346820"/>
                              </a:lnTo>
                              <a:lnTo>
                                <a:pt x="533597" y="2317535"/>
                              </a:lnTo>
                              <a:lnTo>
                                <a:pt x="533597" y="2243866"/>
                              </a:lnTo>
                              <a:close/>
                            </a:path>
                            <a:path w="542925" h="4966970">
                              <a:moveTo>
                                <a:pt x="414424" y="2368554"/>
                              </a:moveTo>
                              <a:lnTo>
                                <a:pt x="326027" y="2368554"/>
                              </a:lnTo>
                              <a:lnTo>
                                <a:pt x="326027" y="2460069"/>
                              </a:lnTo>
                              <a:lnTo>
                                <a:pt x="414424" y="2460069"/>
                              </a:lnTo>
                              <a:lnTo>
                                <a:pt x="414424" y="2368554"/>
                              </a:lnTo>
                              <a:close/>
                            </a:path>
                            <a:path w="542925" h="4966970">
                              <a:moveTo>
                                <a:pt x="271988" y="1269495"/>
                              </a:moveTo>
                              <a:lnTo>
                                <a:pt x="211439" y="1272276"/>
                              </a:lnTo>
                              <a:lnTo>
                                <a:pt x="157914" y="1280620"/>
                              </a:lnTo>
                              <a:lnTo>
                                <a:pt x="111412" y="1294526"/>
                              </a:lnTo>
                              <a:lnTo>
                                <a:pt x="71933" y="1313994"/>
                              </a:lnTo>
                              <a:lnTo>
                                <a:pt x="40462" y="1338095"/>
                              </a:lnTo>
                              <a:lnTo>
                                <a:pt x="4495" y="1397408"/>
                              </a:lnTo>
                              <a:lnTo>
                                <a:pt x="116" y="1431704"/>
                              </a:lnTo>
                              <a:lnTo>
                                <a:pt x="0" y="1432619"/>
                              </a:lnTo>
                              <a:lnTo>
                                <a:pt x="5189" y="1471170"/>
                              </a:lnTo>
                              <a:lnTo>
                                <a:pt x="29480" y="1516462"/>
                              </a:lnTo>
                              <a:lnTo>
                                <a:pt x="67997" y="1548270"/>
                              </a:lnTo>
                              <a:lnTo>
                                <a:pt x="101906" y="1565973"/>
                              </a:lnTo>
                              <a:lnTo>
                                <a:pt x="139930" y="1579500"/>
                              </a:lnTo>
                              <a:lnTo>
                                <a:pt x="200770" y="1590996"/>
                              </a:lnTo>
                              <a:lnTo>
                                <a:pt x="274493" y="1594828"/>
                              </a:lnTo>
                              <a:lnTo>
                                <a:pt x="333755" y="1592069"/>
                              </a:lnTo>
                              <a:lnTo>
                                <a:pt x="386285" y="1583789"/>
                              </a:lnTo>
                              <a:lnTo>
                                <a:pt x="432083" y="1569991"/>
                              </a:lnTo>
                              <a:lnTo>
                                <a:pt x="471147" y="1550672"/>
                              </a:lnTo>
                              <a:lnTo>
                                <a:pt x="502384" y="1526679"/>
                              </a:lnTo>
                              <a:lnTo>
                                <a:pt x="503691" y="1525049"/>
                              </a:lnTo>
                              <a:lnTo>
                                <a:pt x="270914" y="1525049"/>
                              </a:lnTo>
                              <a:lnTo>
                                <a:pt x="228494" y="1523447"/>
                              </a:lnTo>
                              <a:lnTo>
                                <a:pt x="160766" y="1510635"/>
                              </a:lnTo>
                              <a:lnTo>
                                <a:pt x="115807" y="1485597"/>
                              </a:lnTo>
                              <a:lnTo>
                                <a:pt x="93350" y="1451851"/>
                              </a:lnTo>
                              <a:lnTo>
                                <a:pt x="90575" y="1431704"/>
                              </a:lnTo>
                              <a:lnTo>
                                <a:pt x="93239" y="1412593"/>
                              </a:lnTo>
                              <a:lnTo>
                                <a:pt x="93317" y="1412036"/>
                              </a:lnTo>
                              <a:lnTo>
                                <a:pt x="115505" y="1378461"/>
                              </a:lnTo>
                              <a:lnTo>
                                <a:pt x="159972" y="1353724"/>
                              </a:lnTo>
                              <a:lnTo>
                                <a:pt x="226922" y="1341126"/>
                              </a:lnTo>
                              <a:lnTo>
                                <a:pt x="226106" y="1341126"/>
                              </a:lnTo>
                              <a:lnTo>
                                <a:pt x="269483" y="1339503"/>
                              </a:lnTo>
                              <a:lnTo>
                                <a:pt x="503736" y="1339503"/>
                              </a:lnTo>
                              <a:lnTo>
                                <a:pt x="502182" y="1337587"/>
                              </a:lnTo>
                              <a:lnTo>
                                <a:pt x="470790" y="1313651"/>
                              </a:lnTo>
                              <a:lnTo>
                                <a:pt x="431456" y="1294333"/>
                              </a:lnTo>
                              <a:lnTo>
                                <a:pt x="385499" y="1280620"/>
                              </a:lnTo>
                              <a:lnTo>
                                <a:pt x="385763" y="1280620"/>
                              </a:lnTo>
                              <a:lnTo>
                                <a:pt x="332193" y="1272276"/>
                              </a:lnTo>
                              <a:lnTo>
                                <a:pt x="332523" y="1272276"/>
                              </a:lnTo>
                              <a:lnTo>
                                <a:pt x="271988" y="1269495"/>
                              </a:lnTo>
                              <a:close/>
                            </a:path>
                            <a:path w="542925" h="4966970">
                              <a:moveTo>
                                <a:pt x="503736" y="1339503"/>
                              </a:moveTo>
                              <a:lnTo>
                                <a:pt x="269483" y="1339503"/>
                              </a:lnTo>
                              <a:lnTo>
                                <a:pt x="312260" y="1341126"/>
                              </a:lnTo>
                              <a:lnTo>
                                <a:pt x="349334" y="1345995"/>
                              </a:lnTo>
                              <a:lnTo>
                                <a:pt x="406371" y="1365471"/>
                              </a:lnTo>
                              <a:lnTo>
                                <a:pt x="440594" y="1395070"/>
                              </a:lnTo>
                              <a:lnTo>
                                <a:pt x="451967" y="1431704"/>
                              </a:lnTo>
                              <a:lnTo>
                                <a:pt x="451899" y="1432619"/>
                              </a:lnTo>
                              <a:lnTo>
                                <a:pt x="426133" y="1484697"/>
                              </a:lnTo>
                              <a:lnTo>
                                <a:pt x="380324" y="1510249"/>
                              </a:lnTo>
                              <a:lnTo>
                                <a:pt x="312458" y="1523447"/>
                              </a:lnTo>
                              <a:lnTo>
                                <a:pt x="311684" y="1523447"/>
                              </a:lnTo>
                              <a:lnTo>
                                <a:pt x="270914" y="1525049"/>
                              </a:lnTo>
                              <a:lnTo>
                                <a:pt x="503691" y="1525049"/>
                              </a:lnTo>
                              <a:lnTo>
                                <a:pt x="524695" y="1498853"/>
                              </a:lnTo>
                              <a:lnTo>
                                <a:pt x="538082" y="1467194"/>
                              </a:lnTo>
                              <a:lnTo>
                                <a:pt x="542429" y="1432619"/>
                              </a:lnTo>
                              <a:lnTo>
                                <a:pt x="542544" y="1431704"/>
                              </a:lnTo>
                              <a:lnTo>
                                <a:pt x="538161" y="1397408"/>
                              </a:lnTo>
                              <a:lnTo>
                                <a:pt x="538060" y="1396614"/>
                              </a:lnTo>
                              <a:lnTo>
                                <a:pt x="524704" y="1365471"/>
                              </a:lnTo>
                              <a:lnTo>
                                <a:pt x="524606" y="1365242"/>
                              </a:lnTo>
                              <a:lnTo>
                                <a:pt x="503736" y="1339503"/>
                              </a:lnTo>
                              <a:close/>
                            </a:path>
                            <a:path w="542925" h="4966970">
                              <a:moveTo>
                                <a:pt x="533597" y="302976"/>
                              </a:moveTo>
                              <a:lnTo>
                                <a:pt x="445201" y="302976"/>
                              </a:lnTo>
                              <a:lnTo>
                                <a:pt x="445201" y="471362"/>
                              </a:lnTo>
                              <a:lnTo>
                                <a:pt x="13241" y="471362"/>
                              </a:lnTo>
                              <a:lnTo>
                                <a:pt x="13241" y="539083"/>
                              </a:lnTo>
                              <a:lnTo>
                                <a:pt x="533597" y="539083"/>
                              </a:lnTo>
                              <a:lnTo>
                                <a:pt x="533597" y="302976"/>
                              </a:lnTo>
                              <a:close/>
                            </a:path>
                            <a:path w="542925" h="4966970">
                              <a:moveTo>
                                <a:pt x="533597" y="3375123"/>
                              </a:moveTo>
                              <a:lnTo>
                                <a:pt x="445201" y="3375123"/>
                              </a:lnTo>
                              <a:lnTo>
                                <a:pt x="445201" y="3543509"/>
                              </a:lnTo>
                              <a:lnTo>
                                <a:pt x="13241" y="3543509"/>
                              </a:lnTo>
                              <a:lnTo>
                                <a:pt x="13241" y="3611230"/>
                              </a:lnTo>
                              <a:lnTo>
                                <a:pt x="533597" y="3611230"/>
                              </a:lnTo>
                              <a:lnTo>
                                <a:pt x="533597" y="3375123"/>
                              </a:lnTo>
                              <a:close/>
                            </a:path>
                            <a:path w="542925" h="4966970">
                              <a:moveTo>
                                <a:pt x="533597" y="3662502"/>
                              </a:moveTo>
                              <a:lnTo>
                                <a:pt x="445201" y="3662502"/>
                              </a:lnTo>
                              <a:lnTo>
                                <a:pt x="445201" y="3830888"/>
                              </a:lnTo>
                              <a:lnTo>
                                <a:pt x="13241" y="3830888"/>
                              </a:lnTo>
                              <a:lnTo>
                                <a:pt x="13241" y="3898609"/>
                              </a:lnTo>
                              <a:lnTo>
                                <a:pt x="533597" y="3898609"/>
                              </a:lnTo>
                              <a:lnTo>
                                <a:pt x="533597" y="3662502"/>
                              </a:lnTo>
                              <a:close/>
                            </a:path>
                            <a:path w="542925" h="4966970">
                              <a:moveTo>
                                <a:pt x="97701" y="6405"/>
                              </a:moveTo>
                              <a:lnTo>
                                <a:pt x="8946" y="6405"/>
                              </a:lnTo>
                              <a:lnTo>
                                <a:pt x="8946" y="255096"/>
                              </a:lnTo>
                              <a:lnTo>
                                <a:pt x="533597" y="255096"/>
                              </a:lnTo>
                              <a:lnTo>
                                <a:pt x="533597" y="187375"/>
                              </a:lnTo>
                              <a:lnTo>
                                <a:pt x="97701" y="187375"/>
                              </a:lnTo>
                              <a:lnTo>
                                <a:pt x="97701" y="6405"/>
                              </a:lnTo>
                              <a:close/>
                            </a:path>
                            <a:path w="542925" h="4966970">
                              <a:moveTo>
                                <a:pt x="302407" y="18989"/>
                              </a:moveTo>
                              <a:lnTo>
                                <a:pt x="214011" y="18989"/>
                              </a:lnTo>
                              <a:lnTo>
                                <a:pt x="214011" y="187375"/>
                              </a:lnTo>
                              <a:lnTo>
                                <a:pt x="302407" y="187375"/>
                              </a:lnTo>
                              <a:lnTo>
                                <a:pt x="302407" y="18989"/>
                              </a:lnTo>
                              <a:close/>
                            </a:path>
                            <a:path w="542925" h="4966970">
                              <a:moveTo>
                                <a:pt x="533597" y="0"/>
                              </a:moveTo>
                              <a:lnTo>
                                <a:pt x="445201" y="0"/>
                              </a:lnTo>
                              <a:lnTo>
                                <a:pt x="445201" y="187375"/>
                              </a:lnTo>
                              <a:lnTo>
                                <a:pt x="533597" y="187375"/>
                              </a:lnTo>
                              <a:lnTo>
                                <a:pt x="533597" y="0"/>
                              </a:lnTo>
                              <a:close/>
                            </a:path>
                            <a:path w="542925" h="4966970">
                              <a:moveTo>
                                <a:pt x="533597" y="950427"/>
                              </a:moveTo>
                              <a:lnTo>
                                <a:pt x="8946" y="950427"/>
                              </a:lnTo>
                              <a:lnTo>
                                <a:pt x="8946" y="1013343"/>
                              </a:lnTo>
                              <a:lnTo>
                                <a:pt x="359310" y="1013343"/>
                              </a:lnTo>
                              <a:lnTo>
                                <a:pt x="8946" y="1150615"/>
                              </a:lnTo>
                              <a:lnTo>
                                <a:pt x="8946" y="1216505"/>
                              </a:lnTo>
                              <a:lnTo>
                                <a:pt x="533597" y="1216505"/>
                              </a:lnTo>
                              <a:lnTo>
                                <a:pt x="533597" y="1153589"/>
                              </a:lnTo>
                              <a:lnTo>
                                <a:pt x="191465" y="1153589"/>
                              </a:lnTo>
                              <a:lnTo>
                                <a:pt x="533597" y="1018376"/>
                              </a:lnTo>
                              <a:lnTo>
                                <a:pt x="533597" y="950427"/>
                              </a:lnTo>
                              <a:close/>
                            </a:path>
                            <a:path w="542925" h="4966970">
                              <a:moveTo>
                                <a:pt x="97701" y="1625968"/>
                              </a:moveTo>
                              <a:lnTo>
                                <a:pt x="8946" y="1625968"/>
                              </a:lnTo>
                              <a:lnTo>
                                <a:pt x="8946" y="1892503"/>
                              </a:lnTo>
                              <a:lnTo>
                                <a:pt x="97701" y="1892503"/>
                              </a:lnTo>
                              <a:lnTo>
                                <a:pt x="97701" y="1792981"/>
                              </a:lnTo>
                              <a:lnTo>
                                <a:pt x="533597" y="1792981"/>
                              </a:lnTo>
                              <a:lnTo>
                                <a:pt x="533597" y="1725260"/>
                              </a:lnTo>
                              <a:lnTo>
                                <a:pt x="97701" y="1725260"/>
                              </a:lnTo>
                              <a:lnTo>
                                <a:pt x="97701" y="1625968"/>
                              </a:lnTo>
                              <a:close/>
                            </a:path>
                            <a:path w="542925" h="4966970">
                              <a:moveTo>
                                <a:pt x="533597" y="1940636"/>
                              </a:moveTo>
                              <a:lnTo>
                                <a:pt x="8946" y="1940636"/>
                              </a:lnTo>
                              <a:lnTo>
                                <a:pt x="8946" y="2003553"/>
                              </a:lnTo>
                              <a:lnTo>
                                <a:pt x="359310" y="2003553"/>
                              </a:lnTo>
                              <a:lnTo>
                                <a:pt x="8946" y="2140824"/>
                              </a:lnTo>
                              <a:lnTo>
                                <a:pt x="8946" y="2206714"/>
                              </a:lnTo>
                              <a:lnTo>
                                <a:pt x="533597" y="2206714"/>
                              </a:lnTo>
                              <a:lnTo>
                                <a:pt x="533597" y="2143798"/>
                              </a:lnTo>
                              <a:lnTo>
                                <a:pt x="191465" y="2143798"/>
                              </a:lnTo>
                              <a:lnTo>
                                <a:pt x="533597" y="2008586"/>
                              </a:lnTo>
                              <a:lnTo>
                                <a:pt x="533597" y="1940636"/>
                              </a:lnTo>
                              <a:close/>
                            </a:path>
                            <a:path w="542925" h="4966970">
                              <a:moveTo>
                                <a:pt x="97701" y="3078553"/>
                              </a:moveTo>
                              <a:lnTo>
                                <a:pt x="8946" y="3078553"/>
                              </a:lnTo>
                              <a:lnTo>
                                <a:pt x="8946" y="3327242"/>
                              </a:lnTo>
                              <a:lnTo>
                                <a:pt x="533597" y="3327242"/>
                              </a:lnTo>
                              <a:lnTo>
                                <a:pt x="533597" y="3259522"/>
                              </a:lnTo>
                              <a:lnTo>
                                <a:pt x="97701" y="3259522"/>
                              </a:lnTo>
                              <a:lnTo>
                                <a:pt x="97701" y="3078553"/>
                              </a:lnTo>
                              <a:close/>
                            </a:path>
                            <a:path w="542925" h="4966970">
                              <a:moveTo>
                                <a:pt x="302407" y="3091136"/>
                              </a:moveTo>
                              <a:lnTo>
                                <a:pt x="214011" y="3091136"/>
                              </a:lnTo>
                              <a:lnTo>
                                <a:pt x="214011" y="3259522"/>
                              </a:lnTo>
                              <a:lnTo>
                                <a:pt x="302407" y="3259522"/>
                              </a:lnTo>
                              <a:lnTo>
                                <a:pt x="302407" y="3091136"/>
                              </a:lnTo>
                              <a:close/>
                            </a:path>
                            <a:path w="542925" h="4966970">
                              <a:moveTo>
                                <a:pt x="533597" y="3072147"/>
                              </a:moveTo>
                              <a:lnTo>
                                <a:pt x="445201" y="3072147"/>
                              </a:lnTo>
                              <a:lnTo>
                                <a:pt x="445201" y="3259522"/>
                              </a:lnTo>
                              <a:lnTo>
                                <a:pt x="533597" y="3259522"/>
                              </a:lnTo>
                              <a:lnTo>
                                <a:pt x="533597" y="3072147"/>
                              </a:lnTo>
                              <a:close/>
                            </a:path>
                            <a:path w="542925" h="4966970">
                              <a:moveTo>
                                <a:pt x="533597" y="3964411"/>
                              </a:moveTo>
                              <a:lnTo>
                                <a:pt x="8946" y="3964411"/>
                              </a:lnTo>
                              <a:lnTo>
                                <a:pt x="8946" y="4032131"/>
                              </a:lnTo>
                              <a:lnTo>
                                <a:pt x="533597" y="4032131"/>
                              </a:lnTo>
                              <a:lnTo>
                                <a:pt x="533597" y="3964411"/>
                              </a:lnTo>
                              <a:close/>
                            </a:path>
                            <a:path w="542925" h="4966970">
                              <a:moveTo>
                                <a:pt x="284513" y="4102000"/>
                              </a:moveTo>
                              <a:lnTo>
                                <a:pt x="8946" y="4102000"/>
                              </a:lnTo>
                              <a:lnTo>
                                <a:pt x="8946" y="4169720"/>
                              </a:lnTo>
                              <a:lnTo>
                                <a:pt x="328108" y="4169906"/>
                              </a:lnTo>
                              <a:lnTo>
                                <a:pt x="352600" y="4170464"/>
                              </a:lnTo>
                              <a:lnTo>
                                <a:pt x="401193" y="4174911"/>
                              </a:lnTo>
                              <a:lnTo>
                                <a:pt x="441634" y="4198518"/>
                              </a:lnTo>
                              <a:lnTo>
                                <a:pt x="452001" y="4233780"/>
                              </a:lnTo>
                              <a:lnTo>
                                <a:pt x="450782" y="4247214"/>
                              </a:lnTo>
                              <a:lnTo>
                                <a:pt x="421950" y="4285936"/>
                              </a:lnTo>
                              <a:lnTo>
                                <a:pt x="380783" y="4299213"/>
                              </a:lnTo>
                              <a:lnTo>
                                <a:pt x="323947" y="4301572"/>
                              </a:lnTo>
                              <a:lnTo>
                                <a:pt x="293103" y="4301730"/>
                              </a:lnTo>
                              <a:lnTo>
                                <a:pt x="8946" y="4301730"/>
                              </a:lnTo>
                              <a:lnTo>
                                <a:pt x="8946" y="4369450"/>
                              </a:lnTo>
                              <a:lnTo>
                                <a:pt x="288808" y="4369450"/>
                              </a:lnTo>
                              <a:lnTo>
                                <a:pt x="330143" y="4369035"/>
                              </a:lnTo>
                              <a:lnTo>
                                <a:pt x="396709" y="4365718"/>
                              </a:lnTo>
                              <a:lnTo>
                                <a:pt x="436981" y="4359913"/>
                              </a:lnTo>
                              <a:lnTo>
                                <a:pt x="480094" y="4343826"/>
                              </a:lnTo>
                              <a:lnTo>
                                <a:pt x="515860" y="4316350"/>
                              </a:lnTo>
                              <a:lnTo>
                                <a:pt x="538205" y="4273961"/>
                              </a:lnTo>
                              <a:lnTo>
                                <a:pt x="542445" y="4233780"/>
                              </a:lnTo>
                              <a:lnTo>
                                <a:pt x="542544" y="4231721"/>
                              </a:lnTo>
                              <a:lnTo>
                                <a:pt x="533586" y="4180502"/>
                              </a:lnTo>
                              <a:lnTo>
                                <a:pt x="507964" y="4144983"/>
                              </a:lnTo>
                              <a:lnTo>
                                <a:pt x="469671" y="4120939"/>
                              </a:lnTo>
                              <a:lnTo>
                                <a:pt x="418002" y="4107490"/>
                              </a:lnTo>
                              <a:lnTo>
                                <a:pt x="365126" y="4103372"/>
                              </a:lnTo>
                              <a:lnTo>
                                <a:pt x="328287" y="4102343"/>
                              </a:lnTo>
                              <a:lnTo>
                                <a:pt x="284513" y="4102000"/>
                              </a:lnTo>
                              <a:close/>
                            </a:path>
                            <a:path w="542925" h="4966970">
                              <a:moveTo>
                                <a:pt x="97701" y="4432671"/>
                              </a:moveTo>
                              <a:lnTo>
                                <a:pt x="8946" y="4432671"/>
                              </a:lnTo>
                              <a:lnTo>
                                <a:pt x="8946" y="4681361"/>
                              </a:lnTo>
                              <a:lnTo>
                                <a:pt x="533597" y="4681361"/>
                              </a:lnTo>
                              <a:lnTo>
                                <a:pt x="533597" y="4613641"/>
                              </a:lnTo>
                              <a:lnTo>
                                <a:pt x="97701" y="4613641"/>
                              </a:lnTo>
                              <a:lnTo>
                                <a:pt x="97701" y="4432671"/>
                              </a:lnTo>
                              <a:close/>
                            </a:path>
                            <a:path w="542925" h="4966970">
                              <a:moveTo>
                                <a:pt x="302407" y="4445254"/>
                              </a:moveTo>
                              <a:lnTo>
                                <a:pt x="214011" y="4445254"/>
                              </a:lnTo>
                              <a:lnTo>
                                <a:pt x="214011" y="4613641"/>
                              </a:lnTo>
                              <a:lnTo>
                                <a:pt x="302407" y="4613641"/>
                              </a:lnTo>
                              <a:lnTo>
                                <a:pt x="302407" y="4445254"/>
                              </a:lnTo>
                              <a:close/>
                            </a:path>
                            <a:path w="542925" h="4966970">
                              <a:moveTo>
                                <a:pt x="533597" y="4426265"/>
                              </a:moveTo>
                              <a:lnTo>
                                <a:pt x="445201" y="4426265"/>
                              </a:lnTo>
                              <a:lnTo>
                                <a:pt x="445201" y="4613641"/>
                              </a:lnTo>
                              <a:lnTo>
                                <a:pt x="533597" y="4613641"/>
                              </a:lnTo>
                              <a:lnTo>
                                <a:pt x="533597" y="4426265"/>
                              </a:lnTo>
                              <a:close/>
                            </a:path>
                            <a:path w="542925" h="4966970">
                              <a:moveTo>
                                <a:pt x="97701" y="4736792"/>
                              </a:moveTo>
                              <a:lnTo>
                                <a:pt x="8946" y="4736792"/>
                              </a:lnTo>
                              <a:lnTo>
                                <a:pt x="8946" y="4966721"/>
                              </a:lnTo>
                              <a:lnTo>
                                <a:pt x="533597" y="4966721"/>
                              </a:lnTo>
                              <a:lnTo>
                                <a:pt x="533597" y="4899001"/>
                              </a:lnTo>
                              <a:lnTo>
                                <a:pt x="97701" y="4899001"/>
                              </a:lnTo>
                              <a:lnTo>
                                <a:pt x="97701" y="4736792"/>
                              </a:lnTo>
                              <a:close/>
                            </a:path>
                            <a:path w="542925" h="4966970">
                              <a:moveTo>
                                <a:pt x="310639" y="4758984"/>
                              </a:moveTo>
                              <a:lnTo>
                                <a:pt x="221885" y="4758984"/>
                              </a:lnTo>
                              <a:lnTo>
                                <a:pt x="221885" y="4899001"/>
                              </a:lnTo>
                              <a:lnTo>
                                <a:pt x="310639" y="4899001"/>
                              </a:lnTo>
                              <a:lnTo>
                                <a:pt x="310639" y="4758984"/>
                              </a:lnTo>
                              <a:close/>
                            </a:path>
                            <a:path w="542925" h="4966970">
                              <a:moveTo>
                                <a:pt x="153530" y="2605893"/>
                              </a:moveTo>
                              <a:lnTo>
                                <a:pt x="97879" y="2620192"/>
                              </a:lnTo>
                              <a:lnTo>
                                <a:pt x="56902" y="2640211"/>
                              </a:lnTo>
                              <a:lnTo>
                                <a:pt x="14225" y="2684424"/>
                              </a:lnTo>
                              <a:lnTo>
                                <a:pt x="0" y="2740191"/>
                              </a:lnTo>
                              <a:lnTo>
                                <a:pt x="4529" y="2773722"/>
                              </a:lnTo>
                              <a:lnTo>
                                <a:pt x="40764" y="2830575"/>
                              </a:lnTo>
                              <a:lnTo>
                                <a:pt x="72470" y="2853897"/>
                              </a:lnTo>
                              <a:lnTo>
                                <a:pt x="112362" y="2872815"/>
                              </a:lnTo>
                              <a:lnTo>
                                <a:pt x="159768" y="2886385"/>
                              </a:lnTo>
                              <a:lnTo>
                                <a:pt x="159953" y="2886385"/>
                              </a:lnTo>
                              <a:lnTo>
                                <a:pt x="214186" y="2894449"/>
                              </a:lnTo>
                              <a:lnTo>
                                <a:pt x="275924" y="2897138"/>
                              </a:lnTo>
                              <a:lnTo>
                                <a:pt x="334561" y="2894449"/>
                              </a:lnTo>
                              <a:lnTo>
                                <a:pt x="386643" y="2886385"/>
                              </a:lnTo>
                              <a:lnTo>
                                <a:pt x="432172" y="2872944"/>
                              </a:lnTo>
                              <a:lnTo>
                                <a:pt x="471147" y="2854126"/>
                              </a:lnTo>
                              <a:lnTo>
                                <a:pt x="502384" y="2831133"/>
                              </a:lnTo>
                              <a:lnTo>
                                <a:pt x="505627" y="2827358"/>
                              </a:lnTo>
                              <a:lnTo>
                                <a:pt x="268051" y="2827358"/>
                              </a:lnTo>
                              <a:lnTo>
                                <a:pt x="225057" y="2825928"/>
                              </a:lnTo>
                              <a:lnTo>
                                <a:pt x="224595" y="2825928"/>
                              </a:lnTo>
                              <a:lnTo>
                                <a:pt x="187992" y="2821638"/>
                              </a:lnTo>
                              <a:lnTo>
                                <a:pt x="187622" y="2821638"/>
                              </a:lnTo>
                              <a:lnTo>
                                <a:pt x="132415" y="2804136"/>
                              </a:lnTo>
                              <a:lnTo>
                                <a:pt x="101011" y="2777397"/>
                              </a:lnTo>
                              <a:lnTo>
                                <a:pt x="90745" y="2744995"/>
                              </a:lnTo>
                              <a:lnTo>
                                <a:pt x="90644" y="2744309"/>
                              </a:lnTo>
                              <a:lnTo>
                                <a:pt x="103829" y="2707696"/>
                              </a:lnTo>
                              <a:lnTo>
                                <a:pt x="142078" y="2682108"/>
                              </a:lnTo>
                              <a:lnTo>
                                <a:pt x="178581" y="2672928"/>
                              </a:lnTo>
                              <a:lnTo>
                                <a:pt x="153530" y="2605893"/>
                              </a:lnTo>
                              <a:close/>
                            </a:path>
                            <a:path w="542925" h="4966970">
                              <a:moveTo>
                                <a:pt x="373268" y="2604978"/>
                              </a:moveTo>
                              <a:lnTo>
                                <a:pt x="340701" y="2670640"/>
                              </a:lnTo>
                              <a:lnTo>
                                <a:pt x="367586" y="2675559"/>
                              </a:lnTo>
                              <a:lnTo>
                                <a:pt x="390625" y="2681850"/>
                              </a:lnTo>
                              <a:lnTo>
                                <a:pt x="425160" y="2698552"/>
                              </a:lnTo>
                              <a:lnTo>
                                <a:pt x="450323" y="2731969"/>
                              </a:lnTo>
                              <a:lnTo>
                                <a:pt x="451824" y="2743623"/>
                              </a:lnTo>
                              <a:lnTo>
                                <a:pt x="451913" y="2744309"/>
                              </a:lnTo>
                              <a:lnTo>
                                <a:pt x="428247" y="2792182"/>
                              </a:lnTo>
                              <a:lnTo>
                                <a:pt x="385078" y="2814489"/>
                              </a:lnTo>
                              <a:lnTo>
                                <a:pt x="314217" y="2825928"/>
                              </a:lnTo>
                              <a:lnTo>
                                <a:pt x="268051" y="2827358"/>
                              </a:lnTo>
                              <a:lnTo>
                                <a:pt x="505627" y="2827358"/>
                              </a:lnTo>
                              <a:lnTo>
                                <a:pt x="524695" y="2805166"/>
                              </a:lnTo>
                              <a:lnTo>
                                <a:pt x="538082" y="2776224"/>
                              </a:lnTo>
                              <a:lnTo>
                                <a:pt x="542448" y="2744995"/>
                              </a:lnTo>
                              <a:lnTo>
                                <a:pt x="542475" y="2743623"/>
                              </a:lnTo>
                              <a:lnTo>
                                <a:pt x="540079" y="2719886"/>
                              </a:lnTo>
                              <a:lnTo>
                                <a:pt x="539955" y="2718656"/>
                              </a:lnTo>
                              <a:lnTo>
                                <a:pt x="539939" y="2718492"/>
                              </a:lnTo>
                              <a:lnTo>
                                <a:pt x="519092" y="2673936"/>
                              </a:lnTo>
                              <a:lnTo>
                                <a:pt x="477243" y="2638889"/>
                              </a:lnTo>
                              <a:lnTo>
                                <a:pt x="413451" y="2613779"/>
                              </a:lnTo>
                              <a:lnTo>
                                <a:pt x="373268" y="260497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4.650253pt;margin-top:-4.368396pt;width:42.75pt;height:391.1pt;mso-position-horizontal-relative:page;mso-position-vertical-relative:paragraph;z-index:15730176" id="docshape1" coordorigin="3093,-87" coordsize="855,7822" path="m3933,822l3107,1033,3107,1146,3933,1352,3933,1239,3746,1195,3746,1162,3606,1162,3300,1091,3606,1018,3746,1018,3746,984,3933,938,3933,822xm3746,1018l3606,1018,3606,1162,3746,1162,3746,1018xm3933,3446l3107,3658,3107,3771,3933,3976,3933,3863,3746,3820,3746,3787,3606,3787,3300,3715,3606,3643,3746,3643,3746,3608,3933,3562,3933,3446xm3746,3643l3606,3643,3606,3787,3746,3787,3746,3643xm3521,1912l3426,1916,3342,1929,3268,1951,3206,1982,3157,2020,3121,2064,3100,2113,3093,2167,3093,2169,3095,2198,3095,2200,3101,2229,3111,2257,3126,2283,3139,2301,3156,2318,3177,2335,3200,2351,3226,2366,3253,2379,3283,2390,3313,2400,3359,2411,3409,2418,3465,2423,3525,2424,3619,2420,3701,2407,3773,2385,3835,2355,3884,2317,3886,2314,3520,2314,3453,2312,3395,2304,3346,2292,3306,2274,3275,2252,3253,2227,3240,2199,3236,2169,3236,2167,3240,2137,3240,2136,3253,2108,3275,2083,3305,2062,3345,2044,3393,2032,3450,2025,3449,2025,3517,2022,3886,2022,3884,2019,3834,1981,3772,1951,3700,1929,3701,1929,3616,1916,3617,1916,3521,1912xm3886,2022l3517,2022,3585,2025,3643,2032,3693,2045,3733,2063,3764,2085,3787,2110,3800,2137,3805,2167,3805,2169,3800,2198,3787,2226,3764,2251,3732,2273,3692,2291,3643,2304,3585,2312,3584,2312,3520,2314,3886,2314,3919,2273,3940,2223,3947,2169,3947,2167,3941,2113,3940,2112,3919,2063,3919,2063,3886,2022xm3933,390l3794,390,3794,655,3114,655,3114,762,3933,762,3933,390xm3933,5228l3794,5228,3794,5493,3114,5493,3114,5600,3933,5600,3933,5228xm3933,5680l3794,5680,3794,5946,3114,5946,3114,6052,3933,6052,3933,5680xm3247,-77l3107,-77,3107,314,3933,314,3933,208,3247,208,3247,-77xm3569,-57l3430,-57,3430,208,3569,208,3569,-57xm3933,-87l3794,-87,3794,208,3933,208,3933,-87xm3933,1409l3107,1409,3107,1508,3659,1508,3107,1725,3107,1828,3933,1828,3933,1729,3395,1729,3933,1516,3933,1409xm3247,2473l3107,2473,3107,2893,3247,2893,3247,2736,3933,2736,3933,2630,3247,2630,3247,2473xm3933,2969l3107,2969,3107,3068,3659,3068,3107,3284,3107,3388,3933,3388,3933,3289,3395,3289,3933,3076,3933,2969xm3247,4761l3107,4761,3107,5152,3933,5152,3933,5046,3247,5046,3247,4761xm3569,4781l3430,4781,3430,5046,3569,5046,3569,4781xm3933,4751l3794,4751,3794,5046,3933,5046,3933,4751xm3933,6156l3107,6156,3107,6262,3933,6262,3933,6156xm3541,6372l3107,6372,3107,6479,3610,6479,3648,6480,3680,6482,3704,6484,3725,6487,3743,6493,3760,6501,3776,6512,3788,6524,3798,6540,3803,6559,3805,6580,3803,6601,3797,6620,3788,6636,3774,6650,3757,6662,3738,6671,3717,6678,3693,6683,3672,6685,3642,6686,3603,6687,3555,6687,3107,6687,3107,6794,3548,6794,3613,6793,3670,6791,3718,6788,3757,6783,3781,6779,3804,6772,3827,6764,3849,6753,3870,6741,3889,6727,3905,6710,3920,6692,3932,6670,3941,6643,3946,6612,3947,6580,3947,6577,3946,6547,3941,6520,3933,6496,3922,6475,3909,6457,3893,6440,3875,6426,3855,6413,3833,6402,3808,6393,3781,6386,3751,6381,3715,6377,3668,6375,3610,6373,3541,6372xm3247,6893l3107,6893,3107,7285,3933,7285,3933,7178,3247,7178,3247,6893xm3569,6913l3430,6913,3430,7178,3569,7178,3569,6913xm3933,6883l3794,6883,3794,7178,3933,7178,3933,6883xm3247,7372l3107,7372,3107,7734,3933,7734,3933,7628,3247,7628,3247,7372xm3582,7407l3442,7407,3442,7628,3582,7628,3582,7407xm3335,4016l3288,4027,3247,4039,3212,4054,3183,4070,3143,4103,3115,4140,3099,4182,3093,4228,3100,4281,3122,4328,3157,4370,3207,4407,3270,4437,3345,4458,3345,4458,3430,4471,3528,4475,3620,4471,3702,4458,3774,4437,3835,4407,3884,4371,3889,4365,3515,4365,3447,4363,3447,4363,3389,4356,3388,4356,3340,4345,3302,4329,3273,4309,3252,4286,3240,4261,3236,4235,3236,4234,3236,4233,3238,4213,3245,4194,3257,4177,3273,4161,3293,4147,3317,4136,3344,4128,3374,4122,3335,4016xm3681,4015l3630,4118,3672,4126,3708,4136,3738,4148,3763,4162,3781,4178,3794,4196,3802,4215,3805,4233,3805,4234,3805,4235,3801,4263,3788,4288,3767,4310,3738,4329,3699,4345,3649,4356,3588,4363,3515,4365,3889,4365,3919,4330,3940,4285,3947,4235,3947,4233,3944,4196,3943,4194,3943,4194,3931,4157,3910,4124,3882,4094,3845,4068,3799,4047,3744,4029,3681,4015xe" filled="true" fillcolor="#303c4e" stroked="false">
                <v:path arrowok="t"/>
                <v:fill type="solid"/>
                <w10:wrap type="none"/>
              </v:shape>
            </w:pict>
          </mc:Fallback>
        </mc:AlternateContent>
      </w:r>
      <w:r>
        <w:rPr>
          <w:spacing w:val="-56"/>
        </w:rPr>
        <w:t>NEUCHÂTEL</w:t>
      </w:r>
    </w:p>
    <w:p>
      <w:pPr>
        <w:pStyle w:val="BodyText"/>
        <w:rPr>
          <w:rFonts w:ascii="Arial"/>
          <w:b/>
          <w:sz w:val="20"/>
        </w:rPr>
      </w:pPr>
    </w:p>
    <w:p>
      <w:pPr>
        <w:pStyle w:val="BodyText"/>
        <w:spacing w:before="166"/>
        <w:rPr>
          <w:rFonts w:ascii="Arial"/>
          <w:b/>
          <w:sz w:val="20"/>
        </w:rPr>
      </w:pPr>
    </w:p>
    <w:p>
      <w:pPr>
        <w:pStyle w:val="Heading6"/>
        <w:ind w:left="0" w:right="1720"/>
        <w:jc w:val="center"/>
      </w:pPr>
      <w:r>
        <w:rPr>
          <w:color w:val="313D4E"/>
          <w:spacing w:val="-2"/>
        </w:rPr>
        <w:t>PREFACE</w:t>
      </w:r>
    </w:p>
    <w:p>
      <w:pPr>
        <w:pStyle w:val="BodyText"/>
        <w:rPr>
          <w:rFonts w:ascii="Arial"/>
          <w:b/>
          <w:sz w:val="20"/>
        </w:rPr>
      </w:pPr>
    </w:p>
    <w:p>
      <w:pPr>
        <w:pStyle w:val="BodyText"/>
        <w:spacing w:before="20"/>
        <w:rPr>
          <w:rFonts w:ascii="Arial"/>
          <w:b/>
          <w:sz w:val="20"/>
        </w:rPr>
      </w:pPr>
    </w:p>
    <w:p>
      <w:pPr>
        <w:pStyle w:val="Heading7"/>
        <w:spacing w:line="360" w:lineRule="auto"/>
        <w:ind w:left="3693" w:right="1584"/>
        <w:jc w:val="both"/>
        <w:rPr>
          <w:rFonts w:ascii="Arial" w:hAnsi="Arial"/>
          <w:i/>
        </w:rPr>
      </w:pPr>
      <w:r>
        <w:rPr>
          <w:color w:val="313D4E"/>
        </w:rPr>
        <w:t>La </w:t>
      </w:r>
      <w:r>
        <w:rPr>
          <w:rFonts w:ascii="Arial" w:hAnsi="Arial"/>
          <w:i/>
          <w:color w:val="313D4E"/>
        </w:rPr>
        <w:t>Feuille cantonale </w:t>
      </w:r>
      <w:r>
        <w:rPr>
          <w:color w:val="313D4E"/>
        </w:rPr>
        <w:t>sert de complément aux thèmes traités dans le </w:t>
      </w:r>
      <w:r>
        <w:rPr>
          <w:rFonts w:ascii="Arial" w:hAnsi="Arial"/>
          <w:i/>
          <w:color w:val="313D4E"/>
        </w:rPr>
        <w:t>recueil Informations fiscales </w:t>
      </w:r>
      <w:r>
        <w:rPr>
          <w:color w:val="313D4E"/>
        </w:rPr>
        <w:t>et renvoie aux</w:t>
      </w:r>
      <w:r>
        <w:rPr>
          <w:color w:val="313D4E"/>
          <w:spacing w:val="-1"/>
        </w:rPr>
        <w:t> </w:t>
      </w:r>
      <w:r>
        <w:rPr>
          <w:rFonts w:ascii="Arial" w:hAnsi="Arial"/>
          <w:i/>
          <w:color w:val="313D4E"/>
        </w:rPr>
        <w:t>Brochures</w:t>
      </w:r>
      <w:r>
        <w:rPr>
          <w:rFonts w:ascii="Arial" w:hAnsi="Arial"/>
          <w:i/>
          <w:color w:val="313D4E"/>
          <w:spacing w:val="-1"/>
        </w:rPr>
        <w:t> </w:t>
      </w:r>
      <w:r>
        <w:rPr>
          <w:rFonts w:ascii="Arial" w:hAnsi="Arial"/>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l’im-position des personnes physiques et des personnes morales.</w:t>
      </w:r>
      <w:r>
        <w:rPr>
          <w:color w:val="313D4E"/>
          <w:spacing w:val="-11"/>
        </w:rPr>
        <w:t> </w:t>
      </w:r>
      <w:r>
        <w:rPr>
          <w:color w:val="313D4E"/>
        </w:rPr>
        <w:t>L’accent</w:t>
      </w:r>
      <w:r>
        <w:rPr>
          <w:color w:val="313D4E"/>
          <w:spacing w:val="-9"/>
        </w:rPr>
        <w:t> </w:t>
      </w:r>
      <w:r>
        <w:rPr>
          <w:color w:val="313D4E"/>
        </w:rPr>
        <w:t>est</w:t>
      </w:r>
      <w:r>
        <w:rPr>
          <w:color w:val="313D4E"/>
          <w:spacing w:val="-9"/>
        </w:rPr>
        <w:t> </w:t>
      </w:r>
      <w:r>
        <w:rPr>
          <w:color w:val="313D4E"/>
        </w:rPr>
        <w:t>mis</w:t>
      </w:r>
      <w:r>
        <w:rPr>
          <w:color w:val="313D4E"/>
          <w:spacing w:val="-9"/>
        </w:rPr>
        <w:t> </w:t>
      </w:r>
      <w:r>
        <w:rPr>
          <w:color w:val="313D4E"/>
        </w:rPr>
        <w:t>sur</w:t>
      </w:r>
      <w:r>
        <w:rPr>
          <w:color w:val="313D4E"/>
          <w:spacing w:val="-10"/>
        </w:rPr>
        <w:t> </w:t>
      </w:r>
      <w:r>
        <w:rPr>
          <w:color w:val="313D4E"/>
        </w:rPr>
        <w:t>les</w:t>
      </w:r>
      <w:r>
        <w:rPr>
          <w:color w:val="313D4E"/>
          <w:spacing w:val="-8"/>
        </w:rPr>
        <w:t> </w:t>
      </w:r>
      <w:r>
        <w:rPr>
          <w:color w:val="313D4E"/>
        </w:rPr>
        <w:t>particularités</w:t>
      </w:r>
      <w:r>
        <w:rPr>
          <w:color w:val="313D4E"/>
          <w:spacing w:val="-9"/>
        </w:rPr>
        <w:t> </w:t>
      </w:r>
      <w:r>
        <w:rPr>
          <w:color w:val="313D4E"/>
        </w:rPr>
        <w:t>fiscales de</w:t>
      </w:r>
      <w:r>
        <w:rPr>
          <w:color w:val="313D4E"/>
          <w:spacing w:val="-14"/>
        </w:rPr>
        <w:t> </w:t>
      </w:r>
      <w:r>
        <w:rPr>
          <w:color w:val="313D4E"/>
        </w:rPr>
        <w:t>la</w:t>
      </w:r>
      <w:r>
        <w:rPr>
          <w:color w:val="313D4E"/>
          <w:spacing w:val="-14"/>
        </w:rPr>
        <w:t> </w:t>
      </w:r>
      <w:r>
        <w:rPr>
          <w:color w:val="313D4E"/>
        </w:rPr>
        <w:t>compétence</w:t>
      </w:r>
      <w:r>
        <w:rPr>
          <w:color w:val="313D4E"/>
          <w:spacing w:val="-14"/>
        </w:rPr>
        <w:t> </w:t>
      </w:r>
      <w:r>
        <w:rPr>
          <w:color w:val="313D4E"/>
        </w:rPr>
        <w:t>du</w:t>
      </w:r>
      <w:r>
        <w:rPr>
          <w:color w:val="313D4E"/>
          <w:spacing w:val="-13"/>
        </w:rPr>
        <w:t> </w:t>
      </w:r>
      <w:r>
        <w:rPr>
          <w:color w:val="313D4E"/>
        </w:rPr>
        <w:t>canton</w:t>
      </w:r>
      <w:r>
        <w:rPr>
          <w:color w:val="313D4E"/>
          <w:spacing w:val="-14"/>
        </w:rPr>
        <w:t> </w:t>
      </w:r>
      <w:r>
        <w:rPr>
          <w:color w:val="313D4E"/>
        </w:rPr>
        <w:t>en</w:t>
      </w:r>
      <w:r>
        <w:rPr>
          <w:color w:val="313D4E"/>
          <w:spacing w:val="-14"/>
        </w:rPr>
        <w:t> </w:t>
      </w:r>
      <w:r>
        <w:rPr>
          <w:color w:val="313D4E"/>
        </w:rPr>
        <w:t>vertu</w:t>
      </w:r>
      <w:r>
        <w:rPr>
          <w:color w:val="313D4E"/>
          <w:spacing w:val="-12"/>
        </w:rPr>
        <w:t> </w:t>
      </w:r>
      <w:r>
        <w:rPr>
          <w:color w:val="313D4E"/>
        </w:rPr>
        <w:t>de</w:t>
      </w:r>
      <w:r>
        <w:rPr>
          <w:color w:val="313D4E"/>
          <w:spacing w:val="-12"/>
        </w:rPr>
        <w:t> </w:t>
      </w:r>
      <w:r>
        <w:rPr>
          <w:color w:val="313D4E"/>
        </w:rPr>
        <w:t>la</w:t>
      </w:r>
      <w:r>
        <w:rPr>
          <w:color w:val="313D4E"/>
          <w:spacing w:val="-13"/>
        </w:rPr>
        <w:t> </w:t>
      </w:r>
      <w:r>
        <w:rPr>
          <w:color w:val="313D4E"/>
        </w:rPr>
        <w:t>Loi</w:t>
      </w:r>
      <w:r>
        <w:rPr>
          <w:color w:val="313D4E"/>
          <w:spacing w:val="-13"/>
        </w:rPr>
        <w:t> </w:t>
      </w:r>
      <w:r>
        <w:rPr>
          <w:color w:val="313D4E"/>
        </w:rPr>
        <w:t>fédérale sur l'harmonisation des impôts directs des cantons et des communes (LHID) en faisant référence aux ex-traits de lois </w:t>
      </w:r>
      <w:r>
        <w:rPr>
          <w:rFonts w:ascii="Arial" w:hAnsi="Arial"/>
          <w:i/>
          <w:color w:val="313D4E"/>
        </w:rPr>
        <w:t>ad hoc.</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50"/>
        <w:rPr>
          <w:rFonts w:ascii="Arial"/>
          <w:i/>
          <w:sz w:val="20"/>
        </w:rPr>
      </w:pPr>
    </w:p>
    <w:p>
      <w:pPr>
        <w:spacing w:before="1"/>
        <w:ind w:left="3693" w:right="0" w:firstLine="0"/>
        <w:jc w:val="both"/>
        <w:rPr>
          <w:sz w:val="16"/>
        </w:rPr>
      </w:pPr>
      <w:r>
        <w:rPr>
          <w:color w:val="313D4E"/>
          <w:sz w:val="16"/>
        </w:rPr>
        <w:t>Etat</w:t>
      </w:r>
      <w:r>
        <w:rPr>
          <w:color w:val="313D4E"/>
          <w:spacing w:val="-5"/>
          <w:sz w:val="16"/>
        </w:rPr>
        <w:t> </w:t>
      </w:r>
      <w:r>
        <w:rPr>
          <w:color w:val="313D4E"/>
          <w:sz w:val="16"/>
        </w:rPr>
        <w:t>en</w:t>
      </w:r>
      <w:r>
        <w:rPr>
          <w:color w:val="313D4E"/>
          <w:spacing w:val="-3"/>
          <w:sz w:val="16"/>
        </w:rPr>
        <w:t> </w:t>
      </w:r>
      <w:r>
        <w:rPr>
          <w:color w:val="313D4E"/>
          <w:sz w:val="16"/>
        </w:rPr>
        <w:t>février</w:t>
      </w:r>
      <w:r>
        <w:rPr>
          <w:color w:val="313D4E"/>
          <w:spacing w:val="-1"/>
          <w:sz w:val="16"/>
        </w:rPr>
        <w:t> </w:t>
      </w:r>
      <w:r>
        <w:rPr>
          <w:color w:val="313D4E"/>
          <w:spacing w:val="-4"/>
          <w:sz w:val="16"/>
        </w:rPr>
        <w:t>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line="312" w:lineRule="auto" w:before="0"/>
        <w:ind w:left="1043" w:right="7162" w:firstLine="0"/>
        <w:jc w:val="left"/>
        <w:rPr>
          <w:sz w:val="16"/>
        </w:rPr>
      </w:pPr>
      <w:r>
        <w:rPr>
          <w:rFonts w:ascii="Arial" w:hAnsi="Arial"/>
          <w:b/>
          <w:sz w:val="16"/>
        </w:rPr>
        <w:t>Editeur / Auteur </w:t>
      </w:r>
      <w:r>
        <w:rPr>
          <w:sz w:val="16"/>
        </w:rPr>
        <w:t>Administration</w:t>
      </w:r>
      <w:r>
        <w:rPr>
          <w:spacing w:val="-12"/>
          <w:sz w:val="16"/>
        </w:rPr>
        <w:t> </w:t>
      </w:r>
      <w:r>
        <w:rPr>
          <w:sz w:val="16"/>
        </w:rPr>
        <w:t>fédérale des contributions AFC Documentation</w:t>
      </w:r>
      <w:r>
        <w:rPr>
          <w:spacing w:val="-12"/>
          <w:sz w:val="16"/>
        </w:rPr>
        <w:t> </w:t>
      </w:r>
      <w:r>
        <w:rPr>
          <w:sz w:val="16"/>
        </w:rPr>
        <w:t>Fiscale Eigerstrasse 65</w:t>
      </w:r>
    </w:p>
    <w:p>
      <w:pPr>
        <w:spacing w:line="312" w:lineRule="auto" w:before="4"/>
        <w:ind w:left="1043" w:right="7162" w:firstLine="0"/>
        <w:jc w:val="left"/>
        <w:rPr>
          <w:sz w:val="16"/>
        </w:rPr>
      </w:pPr>
      <w:r>
        <w:rPr>
          <w:sz w:val="16"/>
        </w:rPr>
        <w:t>3003 Berne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rPr>
          <w:sz w:val="40"/>
        </w:rPr>
      </w:pPr>
    </w:p>
    <w:p>
      <w:pPr>
        <w:spacing w:before="0"/>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rPr>
          <w:sz w:val="20"/>
        </w:rPr>
      </w:pPr>
    </w:p>
    <w:p>
      <w:pPr>
        <w:pStyle w:val="BodyText"/>
        <w:rPr>
          <w:sz w:val="20"/>
        </w:rPr>
      </w:pPr>
    </w:p>
    <w:p>
      <w:pPr>
        <w:pStyle w:val="BodyText"/>
        <w:rPr>
          <w:sz w:val="20"/>
        </w:rPr>
      </w:pPr>
    </w:p>
    <w:p>
      <w:pPr>
        <w:pStyle w:val="BodyText"/>
        <w:spacing w:before="147"/>
        <w:rPr>
          <w:sz w:val="20"/>
        </w:rPr>
      </w:pPr>
    </w:p>
    <w:p>
      <w:pPr>
        <w:pStyle w:val="Heading7"/>
        <w:spacing w:line="249" w:lineRule="auto"/>
        <w:ind w:left="1917" w:right="2665"/>
        <w:jc w:val="both"/>
      </w:pPr>
      <w:r>
        <w:rPr/>
        <w:drawing>
          <wp:anchor distT="0" distB="0" distL="0" distR="0" allowOverlap="1" layoutInCell="1" locked="0" behindDoc="0" simplePos="0" relativeHeight="15730688">
            <wp:simplePos x="0" y="0"/>
            <wp:positionH relativeFrom="page">
              <wp:posOffset>1080137</wp:posOffset>
            </wp:positionH>
            <wp:positionV relativeFrom="paragraph">
              <wp:posOffset>205296</wp:posOffset>
            </wp:positionV>
            <wp:extent cx="251143" cy="143458"/>
            <wp:effectExtent l="0" t="0" r="0" b="0"/>
            <wp:wrapNone/>
            <wp:docPr id="9" name="Image 9" descr="Symbole oeil "/>
            <wp:cNvGraphicFramePr>
              <a:graphicFrameLocks/>
            </wp:cNvGraphicFramePr>
            <a:graphic>
              <a:graphicData uri="http://schemas.openxmlformats.org/drawingml/2006/picture">
                <pic:pic>
                  <pic:nvPicPr>
                    <pic:cNvPr id="9" name="Image 9" descr="Symbole oeil "/>
                    <pic:cNvPicPr/>
                  </pic:nvPicPr>
                  <pic:blipFill>
                    <a:blip r:embed="rId11" cstate="print"/>
                    <a:stretch>
                      <a:fillRect/>
                    </a:stretch>
                  </pic:blipFill>
                  <pic:spPr>
                    <a:xfrm>
                      <a:off x="0" y="0"/>
                      <a:ext cx="251143" cy="143458"/>
                    </a:xfrm>
                    <a:prstGeom prst="rect">
                      <a:avLst/>
                    </a:prstGeom>
                  </pic:spPr>
                </pic:pic>
              </a:graphicData>
            </a:graphic>
          </wp:anchor>
        </w:drawing>
      </w:r>
      <w:r>
        <w:rPr/>
        <w:t>En</w:t>
      </w:r>
      <w:r>
        <w:rPr>
          <w:spacing w:val="-14"/>
        </w:rPr>
        <w:t> </w:t>
      </w:r>
      <w:r>
        <w:rPr/>
        <w:t>cliquant</w:t>
      </w:r>
      <w:r>
        <w:rPr>
          <w:spacing w:val="-14"/>
        </w:rPr>
        <w:t> </w:t>
      </w:r>
      <w:r>
        <w:rPr/>
        <w:t>sur</w:t>
      </w:r>
      <w:r>
        <w:rPr>
          <w:spacing w:val="-14"/>
        </w:rPr>
        <w:t> </w:t>
      </w:r>
      <w:r>
        <w:rPr/>
        <w:t>ce</w:t>
      </w:r>
      <w:r>
        <w:rPr>
          <w:spacing w:val="-14"/>
        </w:rPr>
        <w:t> </w:t>
      </w:r>
      <w:r>
        <w:rPr/>
        <w:t>symbole,</w:t>
      </w:r>
      <w:r>
        <w:rPr>
          <w:spacing w:val="-14"/>
        </w:rPr>
        <w:t> </w:t>
      </w:r>
      <w:r>
        <w:rPr/>
        <w:t>vous</w:t>
      </w:r>
      <w:r>
        <w:rPr>
          <w:spacing w:val="-14"/>
        </w:rPr>
        <w:t> </w:t>
      </w:r>
      <w:r>
        <w:rPr/>
        <w:t>accédez</w:t>
      </w:r>
      <w:r>
        <w:rPr>
          <w:spacing w:val="-14"/>
        </w:rPr>
        <w:t> </w:t>
      </w:r>
      <w:r>
        <w:rPr/>
        <w:t>directement</w:t>
      </w:r>
      <w:r>
        <w:rPr>
          <w:spacing w:val="-14"/>
        </w:rPr>
        <w:t> </w:t>
      </w:r>
      <w:r>
        <w:rPr/>
        <w:t>à</w:t>
      </w:r>
      <w:r>
        <w:rPr>
          <w:spacing w:val="-14"/>
        </w:rPr>
        <w:t> </w:t>
      </w:r>
      <w:r>
        <w:rPr/>
        <w:t>la</w:t>
      </w:r>
      <w:r>
        <w:rPr>
          <w:spacing w:val="-13"/>
        </w:rPr>
        <w:t> </w:t>
      </w:r>
      <w:r>
        <w:rPr>
          <w:rFonts w:ascii="Arial" w:hAnsi="Arial"/>
          <w:i/>
        </w:rPr>
        <w:t>bro-chure fiscale </w:t>
      </w:r>
      <w:r>
        <w:rPr/>
        <w:t>en question (tabelle qui synthétise les données de la Confédération et des cantons) valable pour la </w:t>
      </w:r>
      <w:r>
        <w:rPr>
          <w:rFonts w:ascii="Arial" w:hAnsi="Arial"/>
          <w:b/>
        </w:rPr>
        <w:t>période fiscale 2025</w:t>
      </w:r>
      <w:r>
        <w:rPr/>
        <w:t>.</w:t>
      </w:r>
    </w:p>
    <w:p>
      <w:pPr>
        <w:pStyle w:val="BodyText"/>
        <w:rPr>
          <w:sz w:val="20"/>
        </w:rPr>
      </w:pPr>
    </w:p>
    <w:p>
      <w:pPr>
        <w:pStyle w:val="BodyText"/>
        <w:rPr>
          <w:sz w:val="20"/>
        </w:rPr>
      </w:pPr>
    </w:p>
    <w:p>
      <w:pPr>
        <w:pStyle w:val="BodyText"/>
        <w:rPr>
          <w:sz w:val="20"/>
        </w:rPr>
      </w:pPr>
    </w:p>
    <w:p>
      <w:pPr>
        <w:pStyle w:val="BodyText"/>
        <w:spacing w:before="96"/>
        <w:rPr>
          <w:sz w:val="20"/>
        </w:rPr>
      </w:pPr>
    </w:p>
    <w:p>
      <w:pPr>
        <w:pStyle w:val="Heading7"/>
        <w:spacing w:line="249" w:lineRule="auto"/>
        <w:ind w:left="1953" w:right="2609"/>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-18754</wp:posOffset>
            </wp:positionV>
            <wp:extent cx="259077" cy="313052"/>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9077" cy="313052"/>
                    </a:xfrm>
                    <a:prstGeom prst="rect">
                      <a:avLst/>
                    </a:prstGeom>
                  </pic:spPr>
                </pic:pic>
              </a:graphicData>
            </a:graphic>
          </wp:anchor>
        </w:drawing>
      </w:r>
      <w:r>
        <w:rPr/>
        <w:t>Le simulateur fiscal vous permet de calculer approximative-ment vos impôts.</w:t>
      </w:r>
    </w:p>
    <w:p>
      <w:pPr>
        <w:pStyle w:val="BodyText"/>
        <w:rPr>
          <w:sz w:val="20"/>
        </w:rPr>
      </w:pPr>
    </w:p>
    <w:p>
      <w:pPr>
        <w:pStyle w:val="BodyText"/>
        <w:rPr>
          <w:sz w:val="20"/>
        </w:rPr>
      </w:pPr>
    </w:p>
    <w:p>
      <w:pPr>
        <w:pStyle w:val="BodyText"/>
        <w:spacing w:before="224"/>
        <w:rPr>
          <w:sz w:val="20"/>
        </w:rPr>
      </w:pPr>
    </w:p>
    <w:p>
      <w:pPr>
        <w:pStyle w:val="Heading7"/>
        <w:spacing w:line="249" w:lineRule="auto"/>
        <w:ind w:left="851"/>
      </w:pPr>
      <w:r>
        <w:rPr/>
        <w:t>Recueil Informations fiscales &gt; Le lien mène à l’article correspondant du recueil Informations fiscales publié sur le site Internet de l’AFC.</w:t>
      </w:r>
    </w:p>
    <w:p>
      <w:pPr>
        <w:pStyle w:val="BodyText"/>
        <w:rPr>
          <w:sz w:val="20"/>
        </w:rPr>
      </w:pPr>
    </w:p>
    <w:p>
      <w:pPr>
        <w:pStyle w:val="BodyText"/>
        <w:rPr>
          <w:sz w:val="20"/>
        </w:rPr>
      </w:pPr>
    </w:p>
    <w:p>
      <w:pPr>
        <w:pStyle w:val="BodyText"/>
        <w:spacing w:before="32"/>
        <w:rPr>
          <w:sz w:val="20"/>
        </w:rPr>
      </w:pPr>
    </w:p>
    <w:p>
      <w:pPr>
        <w:pStyle w:val="Heading7"/>
        <w:spacing w:line="249" w:lineRule="auto"/>
        <w:ind w:left="851"/>
      </w:pPr>
      <w:r>
        <w:rPr/>
        <w:t>Pour</w:t>
      </w:r>
      <w:r>
        <w:rPr>
          <w:spacing w:val="-14"/>
        </w:rPr>
        <w:t> </w:t>
      </w:r>
      <w:r>
        <w:rPr/>
        <w:t>un</w:t>
      </w:r>
      <w:r>
        <w:rPr>
          <w:spacing w:val="-14"/>
        </w:rPr>
        <w:t> </w:t>
      </w:r>
      <w:r>
        <w:rPr/>
        <w:t>aperçu</w:t>
      </w:r>
      <w:r>
        <w:rPr>
          <w:spacing w:val="-14"/>
        </w:rPr>
        <w:t> </w:t>
      </w:r>
      <w:r>
        <w:rPr/>
        <w:t>des</w:t>
      </w:r>
      <w:r>
        <w:rPr>
          <w:spacing w:val="-14"/>
        </w:rPr>
        <w:t> </w:t>
      </w:r>
      <w:r>
        <w:rPr/>
        <w:t>impôts</w:t>
      </w:r>
      <w:r>
        <w:rPr>
          <w:spacing w:val="-14"/>
        </w:rPr>
        <w:t> </w:t>
      </w:r>
      <w:r>
        <w:rPr/>
        <w:t>en</w:t>
      </w:r>
      <w:r>
        <w:rPr>
          <w:spacing w:val="-14"/>
        </w:rPr>
        <w:t> </w:t>
      </w:r>
      <w:r>
        <w:rPr/>
        <w:t>vigueur</w:t>
      </w:r>
      <w:r>
        <w:rPr>
          <w:spacing w:val="-14"/>
        </w:rPr>
        <w:t> </w:t>
      </w:r>
      <w:r>
        <w:rPr/>
        <w:t>à</w:t>
      </w:r>
      <w:r>
        <w:rPr>
          <w:spacing w:val="-14"/>
        </w:rPr>
        <w:t> </w:t>
      </w:r>
      <w:r>
        <w:rPr/>
        <w:t>la</w:t>
      </w:r>
      <w:r>
        <w:rPr>
          <w:spacing w:val="-14"/>
        </w:rPr>
        <w:t> </w:t>
      </w:r>
      <w:r>
        <w:rPr/>
        <w:t>Confédération</w:t>
      </w:r>
      <w:r>
        <w:rPr>
          <w:spacing w:val="-13"/>
        </w:rPr>
        <w:t> </w:t>
      </w:r>
      <w:r>
        <w:rPr/>
        <w:t>et</w:t>
      </w:r>
      <w:r>
        <w:rPr>
          <w:spacing w:val="-14"/>
        </w:rPr>
        <w:t> </w:t>
      </w:r>
      <w:r>
        <w:rPr/>
        <w:t>dans</w:t>
      </w:r>
      <w:r>
        <w:rPr>
          <w:spacing w:val="-14"/>
        </w:rPr>
        <w:t> </w:t>
      </w:r>
      <w:r>
        <w:rPr/>
        <w:t>les</w:t>
      </w:r>
      <w:r>
        <w:rPr>
          <w:spacing w:val="-14"/>
        </w:rPr>
        <w:t> </w:t>
      </w:r>
      <w:r>
        <w:rPr/>
        <w:t>cantons,</w:t>
      </w:r>
      <w:r>
        <w:rPr>
          <w:spacing w:val="-14"/>
        </w:rPr>
        <w:t> </w:t>
      </w:r>
      <w:r>
        <w:rPr/>
        <w:t>voir</w:t>
      </w:r>
      <w:r>
        <w:rPr>
          <w:spacing w:val="-14"/>
        </w:rPr>
        <w:t> </w:t>
      </w:r>
      <w:r>
        <w:rPr/>
        <w:t>le</w:t>
      </w:r>
      <w:r>
        <w:rPr>
          <w:spacing w:val="-14"/>
        </w:rPr>
        <w:t> </w:t>
      </w:r>
      <w:r>
        <w:rPr/>
        <w:t>recueil</w:t>
      </w:r>
      <w:r>
        <w:rPr>
          <w:spacing w:val="-14"/>
        </w:rPr>
        <w:t> </w:t>
      </w:r>
      <w:r>
        <w:rPr/>
        <w:t>Informations fiscales, C. Système fiscal, </w:t>
      </w:r>
      <w:hyperlink r:id="rId13">
        <w:r>
          <w:rPr>
            <w:color w:val="0462C0"/>
            <w:u w:val="single" w:color="0462C0"/>
          </w:rPr>
          <w:t>Impôts en vigueur</w:t>
        </w:r>
        <w:r>
          <w:rPr/>
          <w:t>.</w:t>
        </w:r>
      </w:hyperlink>
    </w:p>
    <w:p>
      <w:pPr>
        <w:pStyle w:val="Heading7"/>
        <w:spacing w:after="0" w:line="249" w:lineRule="auto"/>
        <w:sectPr>
          <w:headerReference w:type="default" r:id="rId9"/>
          <w:footerReference w:type="default" r:id="rId10"/>
          <w:pgSz w:w="11910" w:h="16840"/>
          <w:pgMar w:header="724" w:footer="836" w:top="960" w:bottom="1020" w:left="850" w:right="992"/>
        </w:sectPr>
      </w:pPr>
    </w:p>
    <w:p>
      <w:pPr>
        <w:pStyle w:val="BodyText"/>
        <w:spacing w:before="261"/>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813" w:val="left" w:leader="dot"/>
            </w:tabs>
            <w:spacing w:before="272"/>
          </w:pPr>
          <w:hyperlink w:history="true" w:anchor="_bookmark0">
            <w:r>
              <w:rPr/>
              <w:t>BASES</w:t>
            </w:r>
            <w:r>
              <w:rPr>
                <w:spacing w:val="-4"/>
              </w:rPr>
              <w:t> </w:t>
            </w:r>
            <w:r>
              <w:rPr>
                <w:spacing w:val="-2"/>
              </w:rPr>
              <w:t>LÉGALES</w:t>
            </w:r>
            <w:r>
              <w:rPr/>
              <w:tab/>
            </w:r>
            <w:r>
              <w:rPr>
                <w:spacing w:val="-12"/>
              </w:rPr>
              <w:t>4</w:t>
            </w:r>
          </w:hyperlink>
        </w:p>
        <w:p>
          <w:pPr>
            <w:pStyle w:val="TOC1"/>
            <w:tabs>
              <w:tab w:pos="9813" w:val="left" w:leader="dot"/>
            </w:tabs>
          </w:pPr>
          <w:hyperlink w:history="true" w:anchor="_bookmark1">
            <w:r>
              <w:rPr/>
              <w:t>IMPOSITION</w:t>
            </w:r>
            <w:r>
              <w:rPr>
                <w:spacing w:val="-2"/>
              </w:rPr>
              <w:t> </w:t>
            </w:r>
            <w:r>
              <w:rPr/>
              <w:t>DES</w:t>
            </w:r>
            <w:r>
              <w:rPr>
                <w:spacing w:val="-2"/>
              </w:rPr>
              <w:t> </w:t>
            </w:r>
            <w:r>
              <w:rPr/>
              <w:t>PERSONNES</w:t>
            </w:r>
            <w:r>
              <w:rPr>
                <w:spacing w:val="-1"/>
              </w:rPr>
              <w:t> </w:t>
            </w:r>
            <w:r>
              <w:rPr>
                <w:spacing w:val="-2"/>
              </w:rPr>
              <w:t>PHYSIQUES</w:t>
            </w:r>
            <w:r>
              <w:rPr/>
              <w:tab/>
            </w:r>
            <w:r>
              <w:rPr>
                <w:spacing w:val="-10"/>
              </w:rPr>
              <w:t>5</w:t>
            </w:r>
          </w:hyperlink>
        </w:p>
        <w:p>
          <w:pPr>
            <w:pStyle w:val="TOC2"/>
            <w:tabs>
              <w:tab w:pos="9803" w:val="left" w:leader="dot"/>
            </w:tabs>
            <w:spacing w:before="170"/>
          </w:pPr>
          <w:hyperlink w:history="true" w:anchor="_bookmark2">
            <w:r>
              <w:rPr/>
              <w:t>Impôt</w:t>
            </w:r>
            <w:r>
              <w:rPr>
                <w:spacing w:val="-5"/>
              </w:rPr>
              <w:t> </w:t>
            </w:r>
            <w:r>
              <w:rPr/>
              <w:t>sur</w:t>
            </w:r>
            <w:r>
              <w:rPr>
                <w:spacing w:val="-5"/>
              </w:rPr>
              <w:t> </w:t>
            </w:r>
            <w:r>
              <w:rPr/>
              <w:t>le</w:t>
            </w:r>
            <w:r>
              <w:rPr>
                <w:spacing w:val="-4"/>
              </w:rPr>
              <w:t> </w:t>
            </w:r>
            <w:r>
              <w:rPr>
                <w:spacing w:val="-2"/>
              </w:rPr>
              <w:t>revenu</w:t>
            </w:r>
            <w:r>
              <w:rPr/>
              <w:tab/>
            </w:r>
            <w:r>
              <w:rPr>
                <w:spacing w:val="-10"/>
              </w:rPr>
              <w:t>5</w:t>
            </w:r>
          </w:hyperlink>
        </w:p>
        <w:p>
          <w:pPr>
            <w:pStyle w:val="TOC3"/>
            <w:tabs>
              <w:tab w:pos="9801" w:val="left" w:leader="dot"/>
            </w:tabs>
            <w:spacing w:before="130"/>
          </w:pPr>
          <w:hyperlink w:history="true" w:anchor="_bookmark3">
            <w:r>
              <w:rPr>
                <w:spacing w:val="-2"/>
              </w:rPr>
              <w:t>Revenus</w:t>
            </w:r>
            <w:r>
              <w:rPr/>
              <w:tab/>
            </w:r>
            <w:r>
              <w:rPr>
                <w:spacing w:val="-10"/>
              </w:rPr>
              <w:t>5</w:t>
            </w:r>
          </w:hyperlink>
        </w:p>
        <w:p>
          <w:pPr>
            <w:pStyle w:val="TOC3"/>
            <w:tabs>
              <w:tab w:pos="9801" w:val="left" w:leader="dot"/>
            </w:tabs>
          </w:pPr>
          <w:hyperlink w:history="true" w:anchor="_bookmark4">
            <w:r>
              <w:rPr/>
              <w:t>Revenus</w:t>
            </w:r>
            <w:r>
              <w:rPr>
                <w:spacing w:val="-11"/>
              </w:rPr>
              <w:t> </w:t>
            </w:r>
            <w:r>
              <w:rPr>
                <w:spacing w:val="-2"/>
              </w:rPr>
              <w:t>exonérés</w:t>
            </w:r>
            <w:r>
              <w:rPr/>
              <w:tab/>
            </w:r>
            <w:r>
              <w:rPr>
                <w:spacing w:val="-10"/>
              </w:rPr>
              <w:t>7</w:t>
            </w:r>
          </w:hyperlink>
        </w:p>
        <w:p>
          <w:pPr>
            <w:pStyle w:val="TOC3"/>
            <w:tabs>
              <w:tab w:pos="9801" w:val="left" w:leader="dot"/>
            </w:tabs>
            <w:spacing w:before="108"/>
          </w:pPr>
          <w:hyperlink w:history="true" w:anchor="_bookmark5">
            <w:r>
              <w:rPr/>
              <w:t>Détermination</w:t>
            </w:r>
            <w:r>
              <w:rPr>
                <w:spacing w:val="-9"/>
              </w:rPr>
              <w:t> </w:t>
            </w:r>
            <w:r>
              <w:rPr/>
              <w:t>du</w:t>
            </w:r>
            <w:r>
              <w:rPr>
                <w:spacing w:val="-8"/>
              </w:rPr>
              <w:t> </w:t>
            </w:r>
            <w:r>
              <w:rPr/>
              <w:t>revenu</w:t>
            </w:r>
            <w:r>
              <w:rPr>
                <w:spacing w:val="-8"/>
              </w:rPr>
              <w:t> </w:t>
            </w:r>
            <w:r>
              <w:rPr>
                <w:spacing w:val="-5"/>
              </w:rPr>
              <w:t>net</w:t>
            </w:r>
            <w:r>
              <w:rPr/>
              <w:tab/>
            </w:r>
            <w:r>
              <w:rPr>
                <w:spacing w:val="-10"/>
              </w:rPr>
              <w:t>7</w:t>
            </w:r>
          </w:hyperlink>
        </w:p>
        <w:p>
          <w:pPr>
            <w:pStyle w:val="TOC3"/>
            <w:tabs>
              <w:tab w:pos="9688" w:val="left" w:leader="dot"/>
            </w:tabs>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tab/>
            </w:r>
            <w:r>
              <w:rPr>
                <w:spacing w:val="-5"/>
              </w:rPr>
              <w:t>12</w:t>
            </w:r>
          </w:hyperlink>
        </w:p>
        <w:p>
          <w:pPr>
            <w:pStyle w:val="TOC3"/>
            <w:tabs>
              <w:tab w:pos="9688" w:val="left" w:leader="dot"/>
            </w:tabs>
          </w:pPr>
          <w:hyperlink w:history="true" w:anchor="_bookmark7">
            <w:r>
              <w:rPr/>
              <w:t>Calcul</w:t>
            </w:r>
            <w:r>
              <w:rPr>
                <w:spacing w:val="-7"/>
              </w:rPr>
              <w:t> </w:t>
            </w:r>
            <w:r>
              <w:rPr/>
              <w:t>de</w:t>
            </w:r>
            <w:r>
              <w:rPr>
                <w:spacing w:val="-4"/>
              </w:rPr>
              <w:t> </w:t>
            </w:r>
            <w:r>
              <w:rPr>
                <w:spacing w:val="-2"/>
              </w:rPr>
              <w:t>l’impôt</w:t>
            </w:r>
            <w:r>
              <w:rPr/>
              <w:tab/>
            </w:r>
            <w:r>
              <w:rPr>
                <w:spacing w:val="-5"/>
              </w:rPr>
              <w:t>12</w:t>
            </w:r>
          </w:hyperlink>
        </w:p>
        <w:p>
          <w:pPr>
            <w:pStyle w:val="TOC3"/>
            <w:tabs>
              <w:tab w:pos="9688" w:val="left" w:leader="dot"/>
            </w:tabs>
            <w:spacing w:before="108"/>
          </w:pPr>
          <w:hyperlink w:history="true" w:anchor="_bookmark8">
            <w:r>
              <w:rPr/>
              <w:t>Progression</w:t>
            </w:r>
            <w:r>
              <w:rPr>
                <w:spacing w:val="-8"/>
              </w:rPr>
              <w:t> </w:t>
            </w:r>
            <w:r>
              <w:rPr/>
              <w:t>à</w:t>
            </w:r>
            <w:r>
              <w:rPr>
                <w:spacing w:val="-6"/>
              </w:rPr>
              <w:t> </w:t>
            </w:r>
            <w:r>
              <w:rPr>
                <w:spacing w:val="-4"/>
              </w:rPr>
              <w:t>froid</w:t>
            </w:r>
            <w:r>
              <w:rPr/>
              <w:tab/>
            </w:r>
            <w:r>
              <w:rPr>
                <w:spacing w:val="-5"/>
              </w:rPr>
              <w:t>14</w:t>
            </w:r>
          </w:hyperlink>
        </w:p>
        <w:p>
          <w:pPr>
            <w:pStyle w:val="TOC2"/>
            <w:tabs>
              <w:tab w:pos="9690" w:val="left" w:leader="dot"/>
            </w:tabs>
          </w:pPr>
          <w:hyperlink w:history="true" w:anchor="_bookmark9">
            <w:r>
              <w:rPr/>
              <w:t>Impôt</w:t>
            </w:r>
            <w:r>
              <w:rPr>
                <w:spacing w:val="-5"/>
              </w:rPr>
              <w:t> </w:t>
            </w:r>
            <w:r>
              <w:rPr/>
              <w:t>sur</w:t>
            </w:r>
            <w:r>
              <w:rPr>
                <w:spacing w:val="-5"/>
              </w:rPr>
              <w:t> </w:t>
            </w:r>
            <w:r>
              <w:rPr/>
              <w:t>la</w:t>
            </w:r>
            <w:r>
              <w:rPr>
                <w:spacing w:val="-6"/>
              </w:rPr>
              <w:t> </w:t>
            </w:r>
            <w:r>
              <w:rPr>
                <w:spacing w:val="-2"/>
              </w:rPr>
              <w:t>fortune</w:t>
            </w:r>
            <w:r>
              <w:rPr/>
              <w:tab/>
            </w:r>
            <w:r>
              <w:rPr>
                <w:spacing w:val="-5"/>
              </w:rPr>
              <w:t>15</w:t>
            </w:r>
          </w:hyperlink>
        </w:p>
        <w:p>
          <w:pPr>
            <w:pStyle w:val="TOC3"/>
            <w:tabs>
              <w:tab w:pos="9688" w:val="left" w:leader="dot"/>
            </w:tabs>
            <w:spacing w:before="130"/>
          </w:pPr>
          <w:hyperlink w:history="true" w:anchor="_bookmark10">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tab/>
            </w:r>
            <w:r>
              <w:rPr>
                <w:spacing w:val="-5"/>
              </w:rPr>
              <w:t>15</w:t>
            </w:r>
          </w:hyperlink>
        </w:p>
        <w:p>
          <w:pPr>
            <w:pStyle w:val="TOC3"/>
            <w:tabs>
              <w:tab w:pos="9688" w:val="left" w:leader="dot"/>
            </w:tabs>
          </w:pPr>
          <w:hyperlink w:history="true" w:anchor="_bookmark11">
            <w:r>
              <w:rPr/>
              <w:t>Estimation</w:t>
            </w:r>
            <w:r>
              <w:rPr>
                <w:spacing w:val="-6"/>
              </w:rPr>
              <w:t> </w:t>
            </w:r>
            <w:r>
              <w:rPr/>
              <w:t>de</w:t>
            </w:r>
            <w:r>
              <w:rPr>
                <w:spacing w:val="-5"/>
              </w:rPr>
              <w:t> </w:t>
            </w:r>
            <w:r>
              <w:rPr/>
              <w:t>la</w:t>
            </w:r>
            <w:r>
              <w:rPr>
                <w:spacing w:val="-8"/>
              </w:rPr>
              <w:t> </w:t>
            </w:r>
            <w:r>
              <w:rPr>
                <w:spacing w:val="-2"/>
              </w:rPr>
              <w:t>fortune</w:t>
            </w:r>
            <w:r>
              <w:rPr/>
              <w:tab/>
            </w:r>
            <w:r>
              <w:rPr>
                <w:spacing w:val="-5"/>
              </w:rPr>
              <w:t>15</w:t>
            </w:r>
          </w:hyperlink>
        </w:p>
        <w:p>
          <w:pPr>
            <w:pStyle w:val="TOC3"/>
            <w:tabs>
              <w:tab w:pos="9688" w:val="left" w:leader="dot"/>
            </w:tabs>
            <w:spacing w:before="108"/>
          </w:pPr>
          <w:hyperlink w:history="true" w:anchor="_bookmark12">
            <w:r>
              <w:rPr/>
              <w:t>Détermination</w:t>
            </w:r>
            <w:r>
              <w:rPr>
                <w:spacing w:val="-8"/>
              </w:rPr>
              <w:t> </w:t>
            </w:r>
            <w:r>
              <w:rPr/>
              <w:t>de</w:t>
            </w:r>
            <w:r>
              <w:rPr>
                <w:spacing w:val="-7"/>
              </w:rPr>
              <w:t> </w:t>
            </w:r>
            <w:r>
              <w:rPr/>
              <w:t>la</w:t>
            </w:r>
            <w:r>
              <w:rPr>
                <w:spacing w:val="-7"/>
              </w:rPr>
              <w:t> </w:t>
            </w:r>
            <w:r>
              <w:rPr/>
              <w:t>fortune</w:t>
            </w:r>
            <w:r>
              <w:rPr>
                <w:spacing w:val="-6"/>
              </w:rPr>
              <w:t> </w:t>
            </w:r>
            <w:r>
              <w:rPr>
                <w:spacing w:val="-2"/>
              </w:rPr>
              <w:t>imposable</w:t>
            </w:r>
            <w:r>
              <w:rPr/>
              <w:tab/>
            </w:r>
            <w:r>
              <w:rPr>
                <w:spacing w:val="-5"/>
              </w:rPr>
              <w:t>16</w:t>
            </w:r>
          </w:hyperlink>
        </w:p>
        <w:p>
          <w:pPr>
            <w:pStyle w:val="TOC3"/>
            <w:tabs>
              <w:tab w:pos="9688" w:val="left" w:leader="dot"/>
            </w:tabs>
          </w:pPr>
          <w:hyperlink w:history="true" w:anchor="_bookmark13">
            <w:r>
              <w:rPr/>
              <w:t>Calcul</w:t>
            </w:r>
            <w:r>
              <w:rPr>
                <w:spacing w:val="-7"/>
              </w:rPr>
              <w:t> </w:t>
            </w:r>
            <w:r>
              <w:rPr/>
              <w:t>de</w:t>
            </w:r>
            <w:r>
              <w:rPr>
                <w:spacing w:val="-4"/>
              </w:rPr>
              <w:t> </w:t>
            </w:r>
            <w:r>
              <w:rPr>
                <w:spacing w:val="-2"/>
              </w:rPr>
              <w:t>l’impôt</w:t>
            </w:r>
            <w:r>
              <w:rPr/>
              <w:tab/>
            </w:r>
            <w:r>
              <w:rPr>
                <w:spacing w:val="-5"/>
              </w:rPr>
              <w:t>16</w:t>
            </w:r>
          </w:hyperlink>
        </w:p>
        <w:p>
          <w:pPr>
            <w:pStyle w:val="TOC2"/>
            <w:tabs>
              <w:tab w:pos="9690" w:val="left" w:leader="dot"/>
            </w:tabs>
          </w:pPr>
          <w:hyperlink w:history="true" w:anchor="_bookmark14">
            <w:r>
              <w:rPr/>
              <w:t>Imposition</w:t>
            </w:r>
            <w:r>
              <w:rPr>
                <w:spacing w:val="-8"/>
              </w:rPr>
              <w:t> </w:t>
            </w:r>
            <w:r>
              <w:rPr/>
              <w:t>d'après</w:t>
            </w:r>
            <w:r>
              <w:rPr>
                <w:spacing w:val="-8"/>
              </w:rPr>
              <w:t> </w:t>
            </w:r>
            <w:r>
              <w:rPr/>
              <w:t>la</w:t>
            </w:r>
            <w:r>
              <w:rPr>
                <w:spacing w:val="-8"/>
              </w:rPr>
              <w:t> </w:t>
            </w:r>
            <w:r>
              <w:rPr>
                <w:spacing w:val="-2"/>
              </w:rPr>
              <w:t>dépense</w:t>
            </w:r>
            <w:r>
              <w:rPr/>
              <w:tab/>
            </w:r>
            <w:r>
              <w:rPr>
                <w:spacing w:val="-5"/>
              </w:rPr>
              <w:t>17</w:t>
            </w:r>
          </w:hyperlink>
        </w:p>
        <w:p>
          <w:pPr>
            <w:pStyle w:val="TOC2"/>
            <w:tabs>
              <w:tab w:pos="9690" w:val="left" w:leader="dot"/>
            </w:tabs>
          </w:pPr>
          <w:hyperlink w:history="true" w:anchor="_bookmark15">
            <w:r>
              <w:rPr>
                <w:spacing w:val="-2"/>
              </w:rPr>
              <w:t>Coefficient</w:t>
            </w:r>
            <w:r>
              <w:rPr>
                <w:spacing w:val="6"/>
              </w:rPr>
              <w:t> </w:t>
            </w:r>
            <w:r>
              <w:rPr>
                <w:spacing w:val="-2"/>
              </w:rPr>
              <w:t>annuel</w:t>
            </w:r>
            <w:r>
              <w:rPr/>
              <w:tab/>
            </w:r>
            <w:r>
              <w:rPr>
                <w:spacing w:val="-5"/>
              </w:rPr>
              <w:t>17</w:t>
            </w:r>
          </w:hyperlink>
        </w:p>
        <w:p>
          <w:pPr>
            <w:pStyle w:val="TOC2"/>
            <w:tabs>
              <w:tab w:pos="9690" w:val="left" w:leader="dot"/>
            </w:tabs>
            <w:spacing w:before="168"/>
          </w:pPr>
          <w:hyperlink w:history="true" w:anchor="_bookmark16">
            <w:r>
              <w:rPr/>
              <w:t>Impôt</w:t>
            </w:r>
            <w:r>
              <w:rPr>
                <w:spacing w:val="-5"/>
              </w:rPr>
              <w:t> </w:t>
            </w:r>
            <w:r>
              <w:rPr/>
              <w:t>sur</w:t>
            </w:r>
            <w:r>
              <w:rPr>
                <w:spacing w:val="-6"/>
              </w:rPr>
              <w:t> </w:t>
            </w:r>
            <w:r>
              <w:rPr/>
              <w:t>les</w:t>
            </w:r>
            <w:r>
              <w:rPr>
                <w:spacing w:val="-5"/>
              </w:rPr>
              <w:t> </w:t>
            </w:r>
            <w:r>
              <w:rPr/>
              <w:t>gains</w:t>
            </w:r>
            <w:r>
              <w:rPr>
                <w:spacing w:val="-4"/>
              </w:rPr>
              <w:t> </w:t>
            </w:r>
            <w:r>
              <w:rPr>
                <w:spacing w:val="-2"/>
              </w:rPr>
              <w:t>immobiliers</w:t>
            </w:r>
            <w:r>
              <w:rPr/>
              <w:tab/>
            </w:r>
            <w:r>
              <w:rPr>
                <w:spacing w:val="-5"/>
              </w:rPr>
              <w:t>18</w:t>
            </w:r>
          </w:hyperlink>
        </w:p>
        <w:p>
          <w:pPr>
            <w:pStyle w:val="TOC3"/>
            <w:tabs>
              <w:tab w:pos="9688" w:val="left" w:leader="dot"/>
            </w:tabs>
            <w:spacing w:before="130"/>
          </w:pPr>
          <w:hyperlink w:history="true" w:anchor="_bookmark17">
            <w:r>
              <w:rPr/>
              <w:t>Calcul</w:t>
            </w:r>
            <w:r>
              <w:rPr>
                <w:spacing w:val="-7"/>
              </w:rPr>
              <w:t> </w:t>
            </w:r>
            <w:r>
              <w:rPr/>
              <w:t>de</w:t>
            </w:r>
            <w:r>
              <w:rPr>
                <w:spacing w:val="-4"/>
              </w:rPr>
              <w:t> </w:t>
            </w:r>
            <w:r>
              <w:rPr>
                <w:spacing w:val="-2"/>
              </w:rPr>
              <w:t>l’impôt</w:t>
            </w:r>
            <w:r>
              <w:rPr/>
              <w:tab/>
            </w:r>
            <w:r>
              <w:rPr>
                <w:spacing w:val="-5"/>
              </w:rPr>
              <w:t>18</w:t>
            </w:r>
          </w:hyperlink>
        </w:p>
        <w:p>
          <w:pPr>
            <w:pStyle w:val="TOC1"/>
            <w:tabs>
              <w:tab w:pos="9714" w:val="left" w:leader="dot"/>
            </w:tabs>
          </w:pPr>
          <w:hyperlink w:history="true" w:anchor="_bookmark18">
            <w:r>
              <w:rPr/>
              <w:t>IMPOSITION</w:t>
            </w:r>
            <w:r>
              <w:rPr>
                <w:spacing w:val="-2"/>
              </w:rPr>
              <w:t> </w:t>
            </w:r>
            <w:r>
              <w:rPr/>
              <w:t>DES</w:t>
            </w:r>
            <w:r>
              <w:rPr>
                <w:spacing w:val="-2"/>
              </w:rPr>
              <w:t> </w:t>
            </w:r>
            <w:r>
              <w:rPr/>
              <w:t>PERSONNES</w:t>
            </w:r>
            <w:r>
              <w:rPr>
                <w:spacing w:val="-1"/>
              </w:rPr>
              <w:t> </w:t>
            </w:r>
            <w:r>
              <w:rPr>
                <w:spacing w:val="-2"/>
              </w:rPr>
              <w:t>MORALES</w:t>
            </w:r>
            <w:r>
              <w:rPr/>
              <w:tab/>
            </w:r>
            <w:r>
              <w:rPr>
                <w:spacing w:val="-5"/>
              </w:rPr>
              <w:t>20</w:t>
            </w:r>
          </w:hyperlink>
        </w:p>
        <w:p>
          <w:pPr>
            <w:pStyle w:val="TOC2"/>
            <w:tabs>
              <w:tab w:pos="9690" w:val="left" w:leader="dot"/>
            </w:tabs>
            <w:spacing w:before="170"/>
          </w:pPr>
          <w:hyperlink w:history="true" w:anchor="_bookmark19">
            <w:r>
              <w:rPr/>
              <w:t>Impôt</w:t>
            </w:r>
            <w:r>
              <w:rPr>
                <w:spacing w:val="-5"/>
              </w:rPr>
              <w:t> </w:t>
            </w:r>
            <w:r>
              <w:rPr/>
              <w:t>sur</w:t>
            </w:r>
            <w:r>
              <w:rPr>
                <w:spacing w:val="-5"/>
              </w:rPr>
              <w:t> </w:t>
            </w:r>
            <w:r>
              <w:rPr/>
              <w:t>le</w:t>
            </w:r>
            <w:r>
              <w:rPr>
                <w:spacing w:val="-6"/>
              </w:rPr>
              <w:t> </w:t>
            </w:r>
            <w:r>
              <w:rPr>
                <w:spacing w:val="-2"/>
              </w:rPr>
              <w:t>bénéfice</w:t>
            </w:r>
            <w:r>
              <w:rPr/>
              <w:tab/>
            </w:r>
            <w:r>
              <w:rPr>
                <w:spacing w:val="-5"/>
              </w:rPr>
              <w:t>20</w:t>
            </w:r>
          </w:hyperlink>
        </w:p>
        <w:p>
          <w:pPr>
            <w:pStyle w:val="TOC3"/>
            <w:tabs>
              <w:tab w:pos="9688" w:val="left" w:leader="dot"/>
            </w:tabs>
            <w:spacing w:before="130"/>
          </w:pPr>
          <w:hyperlink w:history="true" w:anchor="_bookmark20">
            <w:r>
              <w:rPr/>
              <w:t>Détermination</w:t>
            </w:r>
            <w:r>
              <w:rPr>
                <w:spacing w:val="-9"/>
              </w:rPr>
              <w:t> </w:t>
            </w:r>
            <w:r>
              <w:rPr/>
              <w:t>du</w:t>
            </w:r>
            <w:r>
              <w:rPr>
                <w:spacing w:val="-8"/>
              </w:rPr>
              <w:t> </w:t>
            </w:r>
            <w:r>
              <w:rPr/>
              <w:t>bénéfice</w:t>
            </w:r>
            <w:r>
              <w:rPr>
                <w:spacing w:val="-6"/>
              </w:rPr>
              <w:t> </w:t>
            </w:r>
            <w:r>
              <w:rPr/>
              <w:t>net</w:t>
            </w:r>
            <w:r>
              <w:rPr>
                <w:spacing w:val="-6"/>
              </w:rPr>
              <w:t> </w:t>
            </w:r>
            <w:r>
              <w:rPr>
                <w:spacing w:val="-2"/>
              </w:rPr>
              <w:t>imposable</w:t>
            </w:r>
            <w:r>
              <w:rPr/>
              <w:tab/>
            </w:r>
            <w:r>
              <w:rPr>
                <w:spacing w:val="-5"/>
              </w:rPr>
              <w:t>20</w:t>
            </w:r>
          </w:hyperlink>
        </w:p>
        <w:p>
          <w:pPr>
            <w:pStyle w:val="TOC3"/>
            <w:tabs>
              <w:tab w:pos="9688" w:val="left" w:leader="dot"/>
            </w:tabs>
          </w:pPr>
          <w:hyperlink w:history="true" w:anchor="_bookmark21">
            <w:r>
              <w:rPr/>
              <w:t>Calcul</w:t>
            </w:r>
            <w:r>
              <w:rPr>
                <w:spacing w:val="-7"/>
              </w:rPr>
              <w:t> </w:t>
            </w:r>
            <w:r>
              <w:rPr/>
              <w:t>de</w:t>
            </w:r>
            <w:r>
              <w:rPr>
                <w:spacing w:val="-4"/>
              </w:rPr>
              <w:t> </w:t>
            </w:r>
            <w:r>
              <w:rPr>
                <w:spacing w:val="-2"/>
              </w:rPr>
              <w:t>l’impôt</w:t>
            </w:r>
            <w:r>
              <w:rPr/>
              <w:tab/>
            </w:r>
            <w:r>
              <w:rPr>
                <w:spacing w:val="-5"/>
              </w:rPr>
              <w:t>21</w:t>
            </w:r>
          </w:hyperlink>
        </w:p>
        <w:p>
          <w:pPr>
            <w:pStyle w:val="TOC2"/>
            <w:tabs>
              <w:tab w:pos="9690" w:val="left" w:leader="dot"/>
            </w:tabs>
            <w:spacing w:before="168"/>
          </w:pPr>
          <w:hyperlink w:history="true" w:anchor="_bookmark22">
            <w:r>
              <w:rPr/>
              <w:t>Impôt</w:t>
            </w:r>
            <w:r>
              <w:rPr>
                <w:spacing w:val="-5"/>
              </w:rPr>
              <w:t> </w:t>
            </w:r>
            <w:r>
              <w:rPr/>
              <w:t>sur</w:t>
            </w:r>
            <w:r>
              <w:rPr>
                <w:spacing w:val="-5"/>
              </w:rPr>
              <w:t> </w:t>
            </w:r>
            <w:r>
              <w:rPr/>
              <w:t>le</w:t>
            </w:r>
            <w:r>
              <w:rPr>
                <w:spacing w:val="-4"/>
              </w:rPr>
              <w:t> </w:t>
            </w:r>
            <w:r>
              <w:rPr>
                <w:spacing w:val="-2"/>
              </w:rPr>
              <w:t>capital</w:t>
            </w:r>
            <w:r>
              <w:rPr/>
              <w:tab/>
            </w:r>
            <w:r>
              <w:rPr>
                <w:spacing w:val="-5"/>
              </w:rPr>
              <w:t>22</w:t>
            </w:r>
          </w:hyperlink>
        </w:p>
        <w:p>
          <w:pPr>
            <w:pStyle w:val="TOC3"/>
            <w:tabs>
              <w:tab w:pos="9688" w:val="left" w:leader="dot"/>
            </w:tabs>
            <w:spacing w:before="130"/>
          </w:pPr>
          <w:hyperlink w:history="true" w:anchor="_bookmark23">
            <w:r>
              <w:rPr/>
              <w:t>Calcul</w:t>
            </w:r>
            <w:r>
              <w:rPr>
                <w:spacing w:val="-7"/>
              </w:rPr>
              <w:t> </w:t>
            </w:r>
            <w:r>
              <w:rPr/>
              <w:t>de</w:t>
            </w:r>
            <w:r>
              <w:rPr>
                <w:spacing w:val="-4"/>
              </w:rPr>
              <w:t> </w:t>
            </w:r>
            <w:r>
              <w:rPr>
                <w:spacing w:val="-2"/>
              </w:rPr>
              <w:t>l’impôt</w:t>
            </w:r>
            <w:r>
              <w:rPr/>
              <w:tab/>
            </w:r>
            <w:r>
              <w:rPr>
                <w:spacing w:val="-5"/>
              </w:rPr>
              <w:t>22</w:t>
            </w:r>
          </w:hyperlink>
        </w:p>
        <w:p>
          <w:pPr>
            <w:pStyle w:val="TOC2"/>
            <w:tabs>
              <w:tab w:pos="9690" w:val="left" w:leader="dot"/>
            </w:tabs>
          </w:pPr>
          <w:hyperlink w:history="true" w:anchor="_bookmark24">
            <w:r>
              <w:rPr/>
              <w:t>Disposition</w:t>
            </w:r>
            <w:r>
              <w:rPr>
                <w:spacing w:val="-7"/>
              </w:rPr>
              <w:t> </w:t>
            </w:r>
            <w:r>
              <w:rPr/>
              <w:t>transitoire</w:t>
            </w:r>
            <w:r>
              <w:rPr>
                <w:spacing w:val="-6"/>
              </w:rPr>
              <w:t> </w:t>
            </w:r>
            <w:r>
              <w:rPr/>
              <w:t>concernant</w:t>
            </w:r>
            <w:r>
              <w:rPr>
                <w:spacing w:val="-7"/>
              </w:rPr>
              <w:t> </w:t>
            </w:r>
            <w:r>
              <w:rPr/>
              <w:t>les</w:t>
            </w:r>
            <w:r>
              <w:rPr>
                <w:spacing w:val="-7"/>
              </w:rPr>
              <w:t> </w:t>
            </w:r>
            <w:r>
              <w:rPr/>
              <w:t>holdings</w:t>
            </w:r>
            <w:r>
              <w:rPr>
                <w:spacing w:val="-6"/>
              </w:rPr>
              <w:t> </w:t>
            </w:r>
            <w:r>
              <w:rPr/>
              <w:t>et</w:t>
            </w:r>
            <w:r>
              <w:rPr>
                <w:spacing w:val="-7"/>
              </w:rPr>
              <w:t> </w:t>
            </w:r>
            <w:r>
              <w:rPr/>
              <w:t>les</w:t>
            </w:r>
            <w:r>
              <w:rPr>
                <w:spacing w:val="-8"/>
              </w:rPr>
              <w:t> </w:t>
            </w:r>
            <w:r>
              <w:rPr/>
              <w:t>socié-tés</w:t>
            </w:r>
            <w:r>
              <w:rPr>
                <w:spacing w:val="-7"/>
              </w:rPr>
              <w:t> </w:t>
            </w:r>
            <w:r>
              <w:rPr/>
              <w:t>de</w:t>
            </w:r>
            <w:r>
              <w:rPr>
                <w:spacing w:val="-8"/>
              </w:rPr>
              <w:t> </w:t>
            </w:r>
            <w:r>
              <w:rPr/>
              <w:t>domicile</w:t>
            </w:r>
            <w:r>
              <w:rPr>
                <w:spacing w:val="-8"/>
              </w:rPr>
              <w:t> </w:t>
            </w:r>
            <w:r>
              <w:rPr/>
              <w:t>(2020</w:t>
            </w:r>
            <w:r>
              <w:rPr>
                <w:spacing w:val="-6"/>
              </w:rPr>
              <w:t> </w:t>
            </w:r>
            <w:r>
              <w:rPr/>
              <w:t>–</w:t>
            </w:r>
            <w:r>
              <w:rPr>
                <w:spacing w:val="-8"/>
              </w:rPr>
              <w:t> </w:t>
            </w:r>
            <w:r>
              <w:rPr>
                <w:spacing w:val="-2"/>
              </w:rPr>
              <w:t>2024)</w:t>
            </w:r>
            <w:r>
              <w:rPr/>
              <w:tab/>
            </w:r>
            <w:r>
              <w:rPr>
                <w:spacing w:val="-5"/>
              </w:rPr>
              <w:t>23</w:t>
            </w:r>
          </w:hyperlink>
        </w:p>
        <w:p>
          <w:pPr>
            <w:pStyle w:val="TOC2"/>
            <w:tabs>
              <w:tab w:pos="9690" w:val="left" w:leader="dot"/>
            </w:tabs>
          </w:pPr>
          <w:hyperlink w:history="true" w:anchor="_bookmark25">
            <w:r>
              <w:rPr>
                <w:spacing w:val="-2"/>
              </w:rPr>
              <w:t>Coefficient</w:t>
            </w:r>
            <w:r>
              <w:rPr>
                <w:spacing w:val="6"/>
              </w:rPr>
              <w:t> </w:t>
            </w:r>
            <w:r>
              <w:rPr>
                <w:spacing w:val="-2"/>
              </w:rPr>
              <w:t>annuel</w:t>
            </w:r>
            <w:r>
              <w:rPr/>
              <w:tab/>
            </w:r>
            <w:r>
              <w:rPr>
                <w:spacing w:val="-5"/>
              </w:rPr>
              <w:t>23</w:t>
            </w:r>
          </w:hyperlink>
        </w:p>
        <w:p>
          <w:pPr>
            <w:pStyle w:val="TOC2"/>
            <w:tabs>
              <w:tab w:pos="9690" w:val="left" w:leader="dot"/>
            </w:tabs>
          </w:pPr>
          <w:hyperlink w:history="true" w:anchor="_bookmark26">
            <w:r>
              <w:rPr>
                <w:spacing w:val="-2"/>
              </w:rPr>
              <w:t>Allégements</w:t>
            </w:r>
            <w:r>
              <w:rPr>
                <w:spacing w:val="5"/>
              </w:rPr>
              <w:t> </w:t>
            </w:r>
            <w:r>
              <w:rPr>
                <w:spacing w:val="-2"/>
              </w:rPr>
              <w:t>fiscaux</w:t>
            </w:r>
            <w:r>
              <w:rPr/>
              <w:tab/>
            </w:r>
            <w:r>
              <w:rPr>
                <w:spacing w:val="-5"/>
              </w:rPr>
              <w:t>23</w:t>
            </w:r>
          </w:hyperlink>
        </w:p>
        <w:p>
          <w:pPr>
            <w:pStyle w:val="TOC1"/>
            <w:tabs>
              <w:tab w:pos="9714" w:val="left" w:leader="dot"/>
            </w:tabs>
            <w:spacing w:before="230"/>
          </w:pPr>
          <w:hyperlink w:history="true" w:anchor="_bookmark27">
            <w:r>
              <w:rPr/>
              <w:t>IMPÔTS</w:t>
            </w:r>
            <w:r>
              <w:rPr>
                <w:spacing w:val="-2"/>
              </w:rPr>
              <w:t> </w:t>
            </w:r>
            <w:r>
              <w:rPr/>
              <w:t>DANS</w:t>
            </w:r>
            <w:r>
              <w:rPr>
                <w:spacing w:val="-1"/>
              </w:rPr>
              <w:t> </w:t>
            </w:r>
            <w:r>
              <w:rPr/>
              <w:t>LES</w:t>
            </w:r>
            <w:r>
              <w:rPr>
                <w:spacing w:val="-1"/>
              </w:rPr>
              <w:t> </w:t>
            </w:r>
            <w:r>
              <w:rPr/>
              <w:t>COMMUNES</w:t>
            </w:r>
            <w:r>
              <w:rPr>
                <w:spacing w:val="-1"/>
              </w:rPr>
              <w:t> </w:t>
            </w:r>
            <w:r>
              <w:rPr/>
              <w:t>ET</w:t>
            </w:r>
            <w:r>
              <w:rPr>
                <w:spacing w:val="-1"/>
              </w:rPr>
              <w:t> </w:t>
            </w:r>
            <w:r>
              <w:rPr/>
              <w:t>LES</w:t>
            </w:r>
            <w:r>
              <w:rPr>
                <w:spacing w:val="-1"/>
              </w:rPr>
              <w:t> </w:t>
            </w:r>
            <w:r>
              <w:rPr>
                <w:spacing w:val="-2"/>
              </w:rPr>
              <w:t>PAROISSES</w:t>
            </w:r>
            <w:r>
              <w:rPr/>
              <w:tab/>
            </w:r>
            <w:r>
              <w:rPr>
                <w:spacing w:val="-5"/>
              </w:rPr>
              <w:t>24</w:t>
            </w:r>
          </w:hyperlink>
        </w:p>
        <w:p>
          <w:pPr>
            <w:pStyle w:val="TOC2"/>
            <w:tabs>
              <w:tab w:pos="9690" w:val="left" w:leader="dot"/>
            </w:tabs>
            <w:spacing w:line="249" w:lineRule="auto"/>
            <w:ind w:right="148"/>
          </w:pPr>
          <w:hyperlink w:history="true" w:anchor="_bookmark28">
            <w:r>
              <w:rPr/>
              <w:t>Impôts sur le revenu et la fortune ainsi qu’impôts sur le bénéfice et le capital dans les</w:t>
            </w:r>
          </w:hyperlink>
          <w:r>
            <w:rPr/>
            <w:t> </w:t>
          </w:r>
          <w:hyperlink w:history="true" w:anchor="_bookmark28">
            <w:r>
              <w:rPr>
                <w:spacing w:val="-2"/>
              </w:rPr>
              <w:t>communes</w:t>
            </w:r>
            <w:r>
              <w:rPr/>
              <w:tab/>
            </w:r>
            <w:r>
              <w:rPr>
                <w:spacing w:val="-5"/>
              </w:rPr>
              <w:t>24</w:t>
            </w:r>
          </w:hyperlink>
        </w:p>
        <w:p>
          <w:pPr>
            <w:pStyle w:val="TOC2"/>
            <w:tabs>
              <w:tab w:pos="9690" w:val="left" w:leader="dot"/>
            </w:tabs>
            <w:spacing w:before="162"/>
          </w:pPr>
          <w:hyperlink w:history="true" w:anchor="_bookmark29">
            <w:r>
              <w:rPr/>
              <w:t>Imposition</w:t>
            </w:r>
            <w:r>
              <w:rPr>
                <w:spacing w:val="-8"/>
              </w:rPr>
              <w:t> </w:t>
            </w:r>
            <w:r>
              <w:rPr/>
              <w:t>d'après</w:t>
            </w:r>
            <w:r>
              <w:rPr>
                <w:spacing w:val="-8"/>
              </w:rPr>
              <w:t> </w:t>
            </w:r>
            <w:r>
              <w:rPr/>
              <w:t>la</w:t>
            </w:r>
            <w:r>
              <w:rPr>
                <w:spacing w:val="-8"/>
              </w:rPr>
              <w:t> </w:t>
            </w:r>
            <w:r>
              <w:rPr>
                <w:spacing w:val="-2"/>
              </w:rPr>
              <w:t>dépense</w:t>
            </w:r>
            <w:r>
              <w:rPr/>
              <w:tab/>
            </w:r>
            <w:r>
              <w:rPr>
                <w:spacing w:val="-5"/>
              </w:rPr>
              <w:t>24</w:t>
            </w:r>
          </w:hyperlink>
        </w:p>
        <w:p>
          <w:pPr>
            <w:pStyle w:val="TOC2"/>
            <w:tabs>
              <w:tab w:pos="9690" w:val="left" w:leader="dot"/>
            </w:tabs>
            <w:spacing w:line="249" w:lineRule="auto"/>
            <w:ind w:right="148"/>
          </w:pPr>
          <w:hyperlink w:history="true" w:anchor="_bookmark30">
            <w:r>
              <w:rPr/>
              <w:t>Impôts sur le revenu et la fortune ainsi qu’impôts sur le capital et le bénéfice dans les</w:t>
            </w:r>
          </w:hyperlink>
          <w:r>
            <w:rPr/>
            <w:t> </w:t>
          </w:r>
          <w:hyperlink w:history="true" w:anchor="_bookmark30">
            <w:r>
              <w:rPr>
                <w:spacing w:val="-2"/>
              </w:rPr>
              <w:t>paroisses</w:t>
            </w:r>
            <w:r>
              <w:rPr/>
              <w:tab/>
            </w:r>
            <w:r>
              <w:rPr>
                <w:spacing w:val="-5"/>
              </w:rPr>
              <w:t>25</w:t>
            </w:r>
          </w:hyperlink>
        </w:p>
        <w:p>
          <w:pPr>
            <w:pStyle w:val="TOC1"/>
            <w:tabs>
              <w:tab w:pos="9714" w:val="left" w:leader="dot"/>
            </w:tabs>
            <w:spacing w:before="224"/>
          </w:pPr>
          <w:hyperlink w:history="true" w:anchor="_bookmark31">
            <w:r>
              <w:rPr/>
              <w:t>CONTACT</w:t>
            </w:r>
            <w:r>
              <w:rPr>
                <w:spacing w:val="-7"/>
              </w:rPr>
              <w:t> </w:t>
            </w:r>
            <w:r>
              <w:rPr/>
              <w:t>ADMINISTRATION</w:t>
            </w:r>
            <w:r>
              <w:rPr>
                <w:spacing w:val="-4"/>
              </w:rPr>
              <w:t> </w:t>
            </w:r>
            <w:r>
              <w:rPr/>
              <w:t>FISCALE</w:t>
            </w:r>
            <w:r>
              <w:rPr>
                <w:spacing w:val="-4"/>
              </w:rPr>
              <w:t> </w:t>
            </w:r>
            <w:r>
              <w:rPr>
                <w:spacing w:val="-2"/>
              </w:rPr>
              <w:t>CANTONALE</w:t>
            </w:r>
            <w:r>
              <w:rPr/>
              <w:tab/>
            </w:r>
            <w:r>
              <w:rPr>
                <w:spacing w:val="-5"/>
              </w:rPr>
              <w:t>26</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rPr>
          <w:rFonts w:ascii="Arial"/>
          <w:b/>
          <w:sz w:val="40"/>
        </w:rPr>
      </w:pPr>
    </w:p>
    <w:p>
      <w:pPr>
        <w:pStyle w:val="BodyText"/>
        <w:spacing w:before="3"/>
        <w:rPr>
          <w:rFonts w:ascii="Arial"/>
          <w:b/>
          <w:sz w:val="40"/>
        </w:rPr>
      </w:pPr>
    </w:p>
    <w:p>
      <w:pPr>
        <w:pStyle w:val="Heading1"/>
      </w:pPr>
      <w:bookmarkStart w:name="Bases légales" w:id="1"/>
      <w:bookmarkEnd w:id="1"/>
      <w:r>
        <w:rPr>
          <w:b w:val="0"/>
        </w:rPr>
      </w:r>
      <w:bookmarkStart w:name="_bookmark0" w:id="2"/>
      <w:bookmarkEnd w:id="2"/>
      <w:r>
        <w:rPr>
          <w:b w:val="0"/>
        </w:rPr>
      </w:r>
      <w:r>
        <w:rPr>
          <w:color w:val="2D73B4"/>
        </w:rPr>
        <w:t>Bases</w:t>
      </w:r>
      <w:r>
        <w:rPr>
          <w:color w:val="2D73B4"/>
          <w:spacing w:val="-4"/>
        </w:rPr>
        <w:t> </w:t>
      </w:r>
      <w:r>
        <w:rPr>
          <w:color w:val="2D73B4"/>
          <w:spacing w:val="-2"/>
        </w:rPr>
        <w:t>légales</w:t>
      </w:r>
    </w:p>
    <w:p>
      <w:pPr>
        <w:pStyle w:val="ListParagraph"/>
        <w:numPr>
          <w:ilvl w:val="0"/>
          <w:numId w:val="1"/>
        </w:numPr>
        <w:tabs>
          <w:tab w:pos="1571" w:val="left" w:leader="none"/>
        </w:tabs>
        <w:spacing w:line="240" w:lineRule="auto" w:before="257" w:after="0"/>
        <w:ind w:left="1571" w:right="0" w:hanging="360"/>
        <w:jc w:val="left"/>
        <w:rPr>
          <w:sz w:val="18"/>
        </w:rPr>
      </w:pPr>
      <w:hyperlink r:id="rId18">
        <w:r>
          <w:rPr>
            <w:color w:val="0462C0"/>
            <w:sz w:val="18"/>
            <w:u w:val="single" w:color="0462C0"/>
          </w:rPr>
          <w:t>631.0</w:t>
        </w:r>
        <w:r>
          <w:rPr>
            <w:color w:val="0462C0"/>
            <w:spacing w:val="-4"/>
            <w:sz w:val="18"/>
            <w:u w:val="single" w:color="0462C0"/>
          </w:rPr>
          <w:t> </w:t>
        </w:r>
        <w:r>
          <w:rPr>
            <w:color w:val="0462C0"/>
            <w:sz w:val="18"/>
            <w:u w:val="single" w:color="0462C0"/>
          </w:rPr>
          <w:t>Loi</w:t>
        </w:r>
        <w:r>
          <w:rPr>
            <w:color w:val="0462C0"/>
            <w:spacing w:val="-3"/>
            <w:sz w:val="18"/>
            <w:u w:val="single" w:color="0462C0"/>
          </w:rPr>
          <w:t> </w:t>
        </w:r>
        <w:r>
          <w:rPr>
            <w:color w:val="0462C0"/>
            <w:sz w:val="18"/>
            <w:u w:val="single" w:color="0462C0"/>
          </w:rPr>
          <w:t>du</w:t>
        </w:r>
        <w:r>
          <w:rPr>
            <w:color w:val="0462C0"/>
            <w:spacing w:val="-3"/>
            <w:sz w:val="18"/>
            <w:u w:val="single" w:color="0462C0"/>
          </w:rPr>
          <w:t> </w:t>
        </w:r>
        <w:r>
          <w:rPr>
            <w:color w:val="0462C0"/>
            <w:sz w:val="18"/>
            <w:u w:val="single" w:color="0462C0"/>
          </w:rPr>
          <w:t>21</w:t>
        </w:r>
        <w:r>
          <w:rPr>
            <w:color w:val="0462C0"/>
            <w:spacing w:val="-4"/>
            <w:sz w:val="18"/>
            <w:u w:val="single" w:color="0462C0"/>
          </w:rPr>
          <w:t> </w:t>
        </w:r>
        <w:r>
          <w:rPr>
            <w:color w:val="0462C0"/>
            <w:sz w:val="18"/>
            <w:u w:val="single" w:color="0462C0"/>
          </w:rPr>
          <w:t>mars</w:t>
        </w:r>
        <w:r>
          <w:rPr>
            <w:color w:val="0462C0"/>
            <w:spacing w:val="-2"/>
            <w:sz w:val="18"/>
            <w:u w:val="single" w:color="0462C0"/>
          </w:rPr>
          <w:t> </w:t>
        </w:r>
        <w:r>
          <w:rPr>
            <w:color w:val="0462C0"/>
            <w:sz w:val="18"/>
            <w:u w:val="single" w:color="0462C0"/>
          </w:rPr>
          <w:t>2000 sur</w:t>
        </w:r>
        <w:r>
          <w:rPr>
            <w:color w:val="0462C0"/>
            <w:spacing w:val="-4"/>
            <w:sz w:val="18"/>
            <w:u w:val="single" w:color="0462C0"/>
          </w:rPr>
          <w:t> </w:t>
        </w:r>
        <w:r>
          <w:rPr>
            <w:color w:val="0462C0"/>
            <w:sz w:val="18"/>
            <w:u w:val="single" w:color="0462C0"/>
          </w:rPr>
          <w:t>les</w:t>
        </w:r>
        <w:r>
          <w:rPr>
            <w:color w:val="0462C0"/>
            <w:spacing w:val="-2"/>
            <w:sz w:val="18"/>
            <w:u w:val="single" w:color="0462C0"/>
          </w:rPr>
          <w:t> </w:t>
        </w:r>
        <w:r>
          <w:rPr>
            <w:color w:val="0462C0"/>
            <w:sz w:val="18"/>
            <w:u w:val="single" w:color="0462C0"/>
          </w:rPr>
          <w:t>contributions</w:t>
        </w:r>
        <w:r>
          <w:rPr>
            <w:color w:val="0462C0"/>
            <w:spacing w:val="-2"/>
            <w:sz w:val="18"/>
            <w:u w:val="single" w:color="0462C0"/>
          </w:rPr>
          <w:t> </w:t>
        </w:r>
        <w:r>
          <w:rPr>
            <w:color w:val="0462C0"/>
            <w:sz w:val="18"/>
            <w:u w:val="single" w:color="0462C0"/>
          </w:rPr>
          <w:t>directes </w:t>
        </w:r>
        <w:r>
          <w:rPr>
            <w:color w:val="0462C0"/>
            <w:spacing w:val="-2"/>
            <w:sz w:val="18"/>
            <w:u w:val="single" w:color="0462C0"/>
          </w:rPr>
          <w:t>(LCdir)</w:t>
        </w:r>
      </w:hyperlink>
    </w:p>
    <w:p>
      <w:pPr>
        <w:pStyle w:val="ListParagraph"/>
        <w:numPr>
          <w:ilvl w:val="0"/>
          <w:numId w:val="1"/>
        </w:numPr>
        <w:tabs>
          <w:tab w:pos="1571" w:val="left" w:leader="none"/>
        </w:tabs>
        <w:spacing w:line="273" w:lineRule="auto" w:before="140" w:after="0"/>
        <w:ind w:left="1571" w:right="134" w:hanging="360"/>
        <w:jc w:val="left"/>
        <w:rPr>
          <w:sz w:val="18"/>
        </w:rPr>
      </w:pPr>
      <w:hyperlink r:id="rId19">
        <w:r>
          <w:rPr>
            <w:color w:val="0462C0"/>
            <w:sz w:val="18"/>
            <w:u w:val="single" w:color="0462C0"/>
          </w:rPr>
          <w:t>631.00 Décret du 2 décembre 2013 fixant les coefficients annuels de l’impôt cantonal direct et de l’impôt</w:t>
        </w:r>
      </w:hyperlink>
      <w:r>
        <w:rPr>
          <w:color w:val="0462C0"/>
          <w:sz w:val="18"/>
        </w:rPr>
        <w:t> </w:t>
      </w:r>
      <w:hyperlink r:id="rId19">
        <w:r>
          <w:rPr>
            <w:color w:val="0462C0"/>
            <w:sz w:val="18"/>
            <w:u w:val="single" w:color="0462C0"/>
          </w:rPr>
          <w:t>communal direct dus par les personnes physiques</w:t>
        </w:r>
      </w:hyperlink>
      <w:r>
        <w:rPr>
          <w:color w:val="0462C0"/>
          <w:sz w:val="18"/>
        </w:rPr>
        <w:t> </w:t>
      </w:r>
      <w:r>
        <w:rPr>
          <w:sz w:val="18"/>
        </w:rPr>
        <w:t>(DCICdirPP)*</w:t>
      </w:r>
    </w:p>
    <w:p>
      <w:pPr>
        <w:pStyle w:val="ListParagraph"/>
        <w:numPr>
          <w:ilvl w:val="0"/>
          <w:numId w:val="1"/>
        </w:numPr>
        <w:tabs>
          <w:tab w:pos="1571" w:val="left" w:leader="none"/>
        </w:tabs>
        <w:spacing w:line="273" w:lineRule="auto" w:before="113" w:after="0"/>
        <w:ind w:left="1571" w:right="136" w:hanging="360"/>
        <w:jc w:val="left"/>
        <w:rPr>
          <w:sz w:val="18"/>
        </w:rPr>
      </w:pPr>
      <w:hyperlink r:id="rId20">
        <w:r>
          <w:rPr>
            <w:color w:val="0462C0"/>
            <w:sz w:val="18"/>
            <w:u w:val="single" w:color="0462C0"/>
          </w:rPr>
          <w:t>631.00.1 Décret du</w:t>
        </w:r>
        <w:r>
          <w:rPr>
            <w:color w:val="0462C0"/>
            <w:spacing w:val="-1"/>
            <w:sz w:val="18"/>
            <w:u w:val="single" w:color="0462C0"/>
          </w:rPr>
          <w:t> </w:t>
        </w:r>
        <w:r>
          <w:rPr>
            <w:color w:val="0462C0"/>
            <w:sz w:val="18"/>
            <w:u w:val="single" w:color="0462C0"/>
          </w:rPr>
          <w:t>2 décembre 2013 fixant les coefficients annuels de</w:t>
        </w:r>
        <w:r>
          <w:rPr>
            <w:color w:val="0462C0"/>
            <w:spacing w:val="-1"/>
            <w:sz w:val="18"/>
            <w:u w:val="single" w:color="0462C0"/>
          </w:rPr>
          <w:t> </w:t>
        </w:r>
        <w:r>
          <w:rPr>
            <w:color w:val="0462C0"/>
            <w:sz w:val="18"/>
            <w:u w:val="single" w:color="0462C0"/>
          </w:rPr>
          <w:t>l’impôt cantonal et</w:t>
        </w:r>
        <w:r>
          <w:rPr>
            <w:color w:val="0462C0"/>
            <w:spacing w:val="-2"/>
            <w:sz w:val="18"/>
            <w:u w:val="single" w:color="0462C0"/>
          </w:rPr>
          <w:t> </w:t>
        </w:r>
        <w:r>
          <w:rPr>
            <w:color w:val="0462C0"/>
            <w:sz w:val="18"/>
            <w:u w:val="single" w:color="0462C0"/>
          </w:rPr>
          <w:t>communal sur</w:t>
        </w:r>
      </w:hyperlink>
      <w:r>
        <w:rPr>
          <w:color w:val="0462C0"/>
          <w:sz w:val="18"/>
        </w:rPr>
        <w:t> </w:t>
      </w:r>
      <w:hyperlink r:id="rId20">
        <w:r>
          <w:rPr>
            <w:color w:val="0462C0"/>
            <w:sz w:val="18"/>
            <w:u w:val="single" w:color="0462C0"/>
          </w:rPr>
          <w:t>le bénéfice et le capital des personnes morales</w:t>
        </w:r>
      </w:hyperlink>
      <w:r>
        <w:rPr>
          <w:color w:val="0462C0"/>
          <w:sz w:val="18"/>
        </w:rPr>
        <w:t> </w:t>
      </w:r>
      <w:r>
        <w:rPr>
          <w:sz w:val="18"/>
        </w:rPr>
        <w:t>(DCICdirPM)*</w:t>
      </w:r>
    </w:p>
    <w:p>
      <w:pPr>
        <w:pStyle w:val="ListParagraph"/>
        <w:numPr>
          <w:ilvl w:val="0"/>
          <w:numId w:val="1"/>
        </w:numPr>
        <w:tabs>
          <w:tab w:pos="1571" w:val="left" w:leader="none"/>
        </w:tabs>
        <w:spacing w:line="273" w:lineRule="auto" w:before="112" w:after="0"/>
        <w:ind w:left="1571" w:right="134" w:hanging="360"/>
        <w:jc w:val="left"/>
        <w:rPr>
          <w:sz w:val="18"/>
        </w:rPr>
      </w:pPr>
      <w:r>
        <w:rPr>
          <w:sz w:val="18"/>
        </w:rPr>
        <mc:AlternateContent>
          <mc:Choice Requires="wps">
            <w:drawing>
              <wp:anchor distT="0" distB="0" distL="0" distR="0" allowOverlap="1" layoutInCell="1" locked="0" behindDoc="1" simplePos="0" relativeHeight="486166528">
                <wp:simplePos x="0" y="0"/>
                <wp:positionH relativeFrom="page">
                  <wp:posOffset>1537718</wp:posOffset>
                </wp:positionH>
                <wp:positionV relativeFrom="paragraph">
                  <wp:posOffset>198566</wp:posOffset>
                </wp:positionV>
                <wp:extent cx="5304155" cy="762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304155" cy="7620"/>
                        </a:xfrm>
                        <a:custGeom>
                          <a:avLst/>
                          <a:gdLst/>
                          <a:ahLst/>
                          <a:cxnLst/>
                          <a:rect l="l" t="t" r="r" b="b"/>
                          <a:pathLst>
                            <a:path w="5304155" h="7620">
                              <a:moveTo>
                                <a:pt x="5303528" y="0"/>
                              </a:moveTo>
                              <a:lnTo>
                                <a:pt x="0" y="0"/>
                              </a:lnTo>
                              <a:lnTo>
                                <a:pt x="0" y="7620"/>
                              </a:lnTo>
                              <a:lnTo>
                                <a:pt x="5303528" y="7620"/>
                              </a:lnTo>
                              <a:lnTo>
                                <a:pt x="5303528" y="0"/>
                              </a:lnTo>
                              <a:close/>
                            </a:path>
                          </a:pathLst>
                        </a:custGeom>
                        <a:solidFill>
                          <a:srgbClr val="0462C0"/>
                        </a:solidFill>
                      </wps:spPr>
                      <wps:bodyPr wrap="square" lIns="0" tIns="0" rIns="0" bIns="0" rtlCol="0">
                        <a:prstTxWarp prst="textNoShape">
                          <a:avLst/>
                        </a:prstTxWarp>
                        <a:noAutofit/>
                      </wps:bodyPr>
                    </wps:wsp>
                  </a:graphicData>
                </a:graphic>
              </wp:anchor>
            </w:drawing>
          </mc:Choice>
          <mc:Fallback>
            <w:pict>
              <v:rect style="position:absolute;margin-left:121.0802pt;margin-top:15.635178pt;width:417.600691pt;height:.6pt;mso-position-horizontal-relative:page;mso-position-vertical-relative:paragraph;z-index:-17149952" id="docshape14" filled="true" fillcolor="#0462c0" stroked="false">
                <v:fill type="solid"/>
                <w10:wrap type="none"/>
              </v:rect>
            </w:pict>
          </mc:Fallback>
        </mc:AlternateContent>
      </w:r>
      <w:hyperlink r:id="rId21">
        <w:r>
          <w:rPr>
            <w:color w:val="0462C0"/>
            <w:sz w:val="18"/>
          </w:rPr>
          <w:t>631.01 Règlement général du 1</w:t>
        </w:r>
        <w:r>
          <w:rPr>
            <w:color w:val="0462C0"/>
            <w:position w:val="6"/>
            <w:sz w:val="12"/>
          </w:rPr>
          <w:t>er</w:t>
        </w:r>
        <w:r>
          <w:rPr>
            <w:color w:val="0462C0"/>
            <w:spacing w:val="22"/>
            <w:position w:val="6"/>
            <w:sz w:val="12"/>
          </w:rPr>
          <w:t> </w:t>
        </w:r>
        <w:r>
          <w:rPr>
            <w:color w:val="0462C0"/>
            <w:sz w:val="18"/>
          </w:rPr>
          <w:t>novembre 2000 d’application de la loi sur les contributions directes di-</w:t>
        </w:r>
      </w:hyperlink>
      <w:hyperlink r:id="rId21">
        <w:r>
          <w:rPr>
            <w:color w:val="0462C0"/>
            <w:sz w:val="18"/>
            <w:u w:val="single" w:color="0462C0"/>
          </w:rPr>
          <w:t>rectes (RELCdir)</w:t>
        </w:r>
      </w:hyperlink>
    </w:p>
    <w:p>
      <w:pPr>
        <w:pStyle w:val="ListParagraph"/>
        <w:numPr>
          <w:ilvl w:val="0"/>
          <w:numId w:val="1"/>
        </w:numPr>
        <w:tabs>
          <w:tab w:pos="1571" w:val="left" w:leader="none"/>
        </w:tabs>
        <w:spacing w:line="240" w:lineRule="auto" w:before="113" w:after="0"/>
        <w:ind w:left="1571" w:right="0" w:hanging="360"/>
        <w:jc w:val="left"/>
        <w:rPr>
          <w:sz w:val="18"/>
        </w:rPr>
      </w:pPr>
      <w:hyperlink r:id="rId22">
        <w:r>
          <w:rPr>
            <w:color w:val="0462C0"/>
            <w:sz w:val="18"/>
            <w:u w:val="single" w:color="0462C0"/>
          </w:rPr>
          <w:t>400.1</w:t>
        </w:r>
        <w:r>
          <w:rPr>
            <w:color w:val="0462C0"/>
            <w:spacing w:val="-4"/>
            <w:sz w:val="18"/>
            <w:u w:val="single" w:color="0462C0"/>
          </w:rPr>
          <w:t> </w:t>
        </w:r>
        <w:r>
          <w:rPr>
            <w:color w:val="0462C0"/>
            <w:sz w:val="18"/>
            <w:u w:val="single" w:color="0462C0"/>
          </w:rPr>
          <w:t>Loi</w:t>
        </w:r>
        <w:r>
          <w:rPr>
            <w:color w:val="0462C0"/>
            <w:spacing w:val="-4"/>
            <w:sz w:val="18"/>
            <w:u w:val="single" w:color="0462C0"/>
          </w:rPr>
          <w:t> </w:t>
        </w:r>
        <w:r>
          <w:rPr>
            <w:color w:val="0462C0"/>
            <w:sz w:val="18"/>
            <w:u w:val="single" w:color="0462C0"/>
          </w:rPr>
          <w:t>du</w:t>
        </w:r>
        <w:r>
          <w:rPr>
            <w:color w:val="0462C0"/>
            <w:spacing w:val="-4"/>
            <w:sz w:val="18"/>
            <w:u w:val="single" w:color="0462C0"/>
          </w:rPr>
          <w:t> </w:t>
        </w:r>
        <w:r>
          <w:rPr>
            <w:color w:val="0462C0"/>
            <w:sz w:val="18"/>
            <w:u w:val="single" w:color="0462C0"/>
          </w:rPr>
          <w:t>28</w:t>
        </w:r>
        <w:r>
          <w:rPr>
            <w:color w:val="0462C0"/>
            <w:spacing w:val="-1"/>
            <w:sz w:val="18"/>
            <w:u w:val="single" w:color="0462C0"/>
          </w:rPr>
          <w:t> </w:t>
        </w:r>
        <w:r>
          <w:rPr>
            <w:color w:val="0462C0"/>
            <w:sz w:val="18"/>
            <w:u w:val="single" w:color="0462C0"/>
          </w:rPr>
          <w:t>septembre 2010</w:t>
        </w:r>
        <w:r>
          <w:rPr>
            <w:color w:val="0462C0"/>
            <w:spacing w:val="-1"/>
            <w:sz w:val="18"/>
            <w:u w:val="single" w:color="0462C0"/>
          </w:rPr>
          <w:t> </w:t>
        </w:r>
        <w:r>
          <w:rPr>
            <w:color w:val="0462C0"/>
            <w:sz w:val="18"/>
            <w:u w:val="single" w:color="0462C0"/>
          </w:rPr>
          <w:t>sur</w:t>
        </w:r>
        <w:r>
          <w:rPr>
            <w:color w:val="0462C0"/>
            <w:spacing w:val="-2"/>
            <w:sz w:val="18"/>
            <w:u w:val="single" w:color="0462C0"/>
          </w:rPr>
          <w:t> </w:t>
        </w:r>
        <w:r>
          <w:rPr>
            <w:color w:val="0462C0"/>
            <w:sz w:val="18"/>
            <w:u w:val="single" w:color="0462C0"/>
          </w:rPr>
          <w:t>l'accueil</w:t>
        </w:r>
        <w:r>
          <w:rPr>
            <w:color w:val="0462C0"/>
            <w:spacing w:val="-4"/>
            <w:sz w:val="18"/>
            <w:u w:val="single" w:color="0462C0"/>
          </w:rPr>
          <w:t> </w:t>
        </w:r>
        <w:r>
          <w:rPr>
            <w:color w:val="0462C0"/>
            <w:sz w:val="18"/>
            <w:u w:val="single" w:color="0462C0"/>
          </w:rPr>
          <w:t>des</w:t>
        </w:r>
        <w:r>
          <w:rPr>
            <w:color w:val="0462C0"/>
            <w:spacing w:val="-3"/>
            <w:sz w:val="18"/>
            <w:u w:val="single" w:color="0462C0"/>
          </w:rPr>
          <w:t> </w:t>
        </w:r>
        <w:r>
          <w:rPr>
            <w:color w:val="0462C0"/>
            <w:sz w:val="18"/>
            <w:u w:val="single" w:color="0462C0"/>
          </w:rPr>
          <w:t>enfants </w:t>
        </w:r>
        <w:r>
          <w:rPr>
            <w:color w:val="0462C0"/>
            <w:spacing w:val="-2"/>
            <w:sz w:val="18"/>
            <w:u w:val="single" w:color="0462C0"/>
          </w:rPr>
          <w:t>(LAE)</w:t>
        </w:r>
      </w:hyperlink>
    </w:p>
    <w:p>
      <w:pPr>
        <w:pStyle w:val="ListParagraph"/>
        <w:numPr>
          <w:ilvl w:val="0"/>
          <w:numId w:val="1"/>
        </w:numPr>
        <w:tabs>
          <w:tab w:pos="1571" w:val="left" w:leader="none"/>
        </w:tabs>
        <w:spacing w:line="240" w:lineRule="auto" w:before="139" w:after="0"/>
        <w:ind w:left="1571" w:right="0" w:hanging="360"/>
        <w:jc w:val="left"/>
        <w:rPr>
          <w:sz w:val="18"/>
        </w:rPr>
      </w:pPr>
      <w:hyperlink r:id="rId23">
        <w:r>
          <w:rPr>
            <w:color w:val="0462C0"/>
            <w:sz w:val="18"/>
            <w:u w:val="single" w:color="0462C0"/>
          </w:rPr>
          <w:t>400.10</w:t>
        </w:r>
        <w:r>
          <w:rPr>
            <w:color w:val="0462C0"/>
            <w:spacing w:val="-2"/>
            <w:sz w:val="18"/>
            <w:u w:val="single" w:color="0462C0"/>
          </w:rPr>
          <w:t> </w:t>
        </w:r>
        <w:r>
          <w:rPr>
            <w:color w:val="0462C0"/>
            <w:sz w:val="18"/>
            <w:u w:val="single" w:color="0462C0"/>
          </w:rPr>
          <w:t>Règlement</w:t>
        </w:r>
        <w:r>
          <w:rPr>
            <w:color w:val="0462C0"/>
            <w:spacing w:val="-2"/>
            <w:sz w:val="18"/>
            <w:u w:val="single" w:color="0462C0"/>
          </w:rPr>
          <w:t> </w:t>
        </w:r>
        <w:r>
          <w:rPr>
            <w:color w:val="0462C0"/>
            <w:sz w:val="18"/>
            <w:u w:val="single" w:color="0462C0"/>
          </w:rPr>
          <w:t>général</w:t>
        </w:r>
        <w:r>
          <w:rPr>
            <w:color w:val="0462C0"/>
            <w:spacing w:val="-1"/>
            <w:sz w:val="18"/>
            <w:u w:val="single" w:color="0462C0"/>
          </w:rPr>
          <w:t> </w:t>
        </w:r>
        <w:r>
          <w:rPr>
            <w:color w:val="0462C0"/>
            <w:sz w:val="18"/>
            <w:u w:val="single" w:color="0462C0"/>
          </w:rPr>
          <w:t>du</w:t>
        </w:r>
        <w:r>
          <w:rPr>
            <w:color w:val="0462C0"/>
            <w:spacing w:val="-5"/>
            <w:sz w:val="18"/>
            <w:u w:val="single" w:color="0462C0"/>
          </w:rPr>
          <w:t> </w:t>
        </w:r>
        <w:r>
          <w:rPr>
            <w:color w:val="0462C0"/>
            <w:sz w:val="18"/>
            <w:u w:val="single" w:color="0462C0"/>
          </w:rPr>
          <w:t>5</w:t>
        </w:r>
        <w:r>
          <w:rPr>
            <w:color w:val="0462C0"/>
            <w:spacing w:val="-1"/>
            <w:sz w:val="18"/>
            <w:u w:val="single" w:color="0462C0"/>
          </w:rPr>
          <w:t> </w:t>
        </w:r>
        <w:r>
          <w:rPr>
            <w:color w:val="0462C0"/>
            <w:sz w:val="18"/>
            <w:u w:val="single" w:color="0462C0"/>
          </w:rPr>
          <w:t>décembre</w:t>
        </w:r>
        <w:r>
          <w:rPr>
            <w:color w:val="0462C0"/>
            <w:spacing w:val="-1"/>
            <w:sz w:val="18"/>
            <w:u w:val="single" w:color="0462C0"/>
          </w:rPr>
          <w:t> </w:t>
        </w:r>
        <w:r>
          <w:rPr>
            <w:color w:val="0462C0"/>
            <w:sz w:val="18"/>
            <w:u w:val="single" w:color="0462C0"/>
          </w:rPr>
          <w:t>2011</w:t>
        </w:r>
        <w:r>
          <w:rPr>
            <w:color w:val="0462C0"/>
            <w:spacing w:val="-5"/>
            <w:sz w:val="18"/>
            <w:u w:val="single" w:color="0462C0"/>
          </w:rPr>
          <w:t> </w:t>
        </w:r>
        <w:r>
          <w:rPr>
            <w:color w:val="0462C0"/>
            <w:sz w:val="18"/>
            <w:u w:val="single" w:color="0462C0"/>
          </w:rPr>
          <w:t>sur</w:t>
        </w:r>
        <w:r>
          <w:rPr>
            <w:color w:val="0462C0"/>
            <w:spacing w:val="-4"/>
            <w:sz w:val="18"/>
            <w:u w:val="single" w:color="0462C0"/>
          </w:rPr>
          <w:t> </w:t>
        </w:r>
        <w:r>
          <w:rPr>
            <w:color w:val="0462C0"/>
            <w:sz w:val="18"/>
            <w:u w:val="single" w:color="0462C0"/>
          </w:rPr>
          <w:t>l'accueil</w:t>
        </w:r>
        <w:r>
          <w:rPr>
            <w:color w:val="0462C0"/>
            <w:spacing w:val="-4"/>
            <w:sz w:val="18"/>
            <w:u w:val="single" w:color="0462C0"/>
          </w:rPr>
          <w:t> </w:t>
        </w:r>
        <w:r>
          <w:rPr>
            <w:color w:val="0462C0"/>
            <w:sz w:val="18"/>
            <w:u w:val="single" w:color="0462C0"/>
          </w:rPr>
          <w:t>des</w:t>
        </w:r>
        <w:r>
          <w:rPr>
            <w:color w:val="0462C0"/>
            <w:spacing w:val="-3"/>
            <w:sz w:val="18"/>
            <w:u w:val="single" w:color="0462C0"/>
          </w:rPr>
          <w:t> </w:t>
        </w:r>
        <w:r>
          <w:rPr>
            <w:color w:val="0462C0"/>
            <w:sz w:val="18"/>
            <w:u w:val="single" w:color="0462C0"/>
          </w:rPr>
          <w:t>enfants</w:t>
        </w:r>
        <w:r>
          <w:rPr>
            <w:color w:val="0462C0"/>
            <w:spacing w:val="-1"/>
            <w:sz w:val="18"/>
            <w:u w:val="single" w:color="0462C0"/>
          </w:rPr>
          <w:t> </w:t>
        </w:r>
        <w:r>
          <w:rPr>
            <w:color w:val="0462C0"/>
            <w:spacing w:val="-2"/>
            <w:sz w:val="18"/>
            <w:u w:val="single" w:color="0462C0"/>
          </w:rPr>
          <w:t>(REGAE)</w:t>
        </w:r>
      </w:hyperlink>
    </w:p>
    <w:p>
      <w:pPr>
        <w:pStyle w:val="ListParagraph"/>
        <w:numPr>
          <w:ilvl w:val="0"/>
          <w:numId w:val="1"/>
        </w:numPr>
        <w:tabs>
          <w:tab w:pos="1571" w:val="left" w:leader="none"/>
        </w:tabs>
        <w:spacing w:line="273" w:lineRule="auto" w:before="140" w:after="0"/>
        <w:ind w:left="1571" w:right="134" w:hanging="360"/>
        <w:jc w:val="left"/>
        <w:rPr>
          <w:sz w:val="18"/>
        </w:rPr>
      </w:pPr>
      <w:hyperlink r:id="rId24">
        <w:r>
          <w:rPr>
            <w:color w:val="0462C0"/>
            <w:sz w:val="18"/>
            <w:u w:val="single" w:color="0462C0"/>
          </w:rPr>
          <w:t>181.10</w:t>
        </w:r>
        <w:r>
          <w:rPr>
            <w:color w:val="0462C0"/>
            <w:spacing w:val="-1"/>
            <w:sz w:val="18"/>
            <w:u w:val="single" w:color="0462C0"/>
          </w:rPr>
          <w:t> </w:t>
        </w:r>
        <w:r>
          <w:rPr>
            <w:color w:val="0462C0"/>
            <w:sz w:val="18"/>
            <w:u w:val="single" w:color="0462C0"/>
          </w:rPr>
          <w:t>Concordat</w:t>
        </w:r>
        <w:r>
          <w:rPr>
            <w:color w:val="0462C0"/>
            <w:spacing w:val="-2"/>
            <w:sz w:val="18"/>
            <w:u w:val="single" w:color="0462C0"/>
          </w:rPr>
          <w:t> </w:t>
        </w:r>
        <w:r>
          <w:rPr>
            <w:color w:val="0462C0"/>
            <w:sz w:val="18"/>
            <w:u w:val="single" w:color="0462C0"/>
          </w:rPr>
          <w:t>du</w:t>
        </w:r>
        <w:r>
          <w:rPr>
            <w:color w:val="0462C0"/>
            <w:spacing w:val="-1"/>
            <w:sz w:val="18"/>
            <w:u w:val="single" w:color="0462C0"/>
          </w:rPr>
          <w:t> </w:t>
        </w:r>
        <w:r>
          <w:rPr>
            <w:color w:val="0462C0"/>
            <w:sz w:val="18"/>
            <w:u w:val="single" w:color="0462C0"/>
          </w:rPr>
          <w:t>2</w:t>
        </w:r>
        <w:r>
          <w:rPr>
            <w:color w:val="0462C0"/>
            <w:spacing w:val="-1"/>
            <w:sz w:val="18"/>
            <w:u w:val="single" w:color="0462C0"/>
          </w:rPr>
          <w:t> </w:t>
        </w:r>
        <w:r>
          <w:rPr>
            <w:color w:val="0462C0"/>
            <w:sz w:val="18"/>
            <w:u w:val="single" w:color="0462C0"/>
          </w:rPr>
          <w:t>mai</w:t>
        </w:r>
        <w:r>
          <w:rPr>
            <w:color w:val="0462C0"/>
            <w:spacing w:val="-1"/>
            <w:sz w:val="18"/>
            <w:u w:val="single" w:color="0462C0"/>
          </w:rPr>
          <w:t> </w:t>
        </w:r>
        <w:r>
          <w:rPr>
            <w:color w:val="0462C0"/>
            <w:sz w:val="18"/>
            <w:u w:val="single" w:color="0462C0"/>
          </w:rPr>
          <w:t>2001</w:t>
        </w:r>
        <w:r>
          <w:rPr>
            <w:color w:val="0462C0"/>
            <w:spacing w:val="-1"/>
            <w:sz w:val="18"/>
            <w:u w:val="single" w:color="0462C0"/>
          </w:rPr>
          <w:t> </w:t>
        </w:r>
        <w:r>
          <w:rPr>
            <w:color w:val="0462C0"/>
            <w:sz w:val="18"/>
            <w:u w:val="single" w:color="0462C0"/>
          </w:rPr>
          <w:t>entre</w:t>
        </w:r>
        <w:r>
          <w:rPr>
            <w:color w:val="0462C0"/>
            <w:spacing w:val="-1"/>
            <w:sz w:val="18"/>
            <w:u w:val="single" w:color="0462C0"/>
          </w:rPr>
          <w:t> </w:t>
        </w:r>
        <w:r>
          <w:rPr>
            <w:color w:val="0462C0"/>
            <w:sz w:val="18"/>
            <w:u w:val="single" w:color="0462C0"/>
          </w:rPr>
          <w:t>l'Etat</w:t>
        </w:r>
        <w:r>
          <w:rPr>
            <w:color w:val="0462C0"/>
            <w:spacing w:val="-2"/>
            <w:sz w:val="18"/>
            <w:u w:val="single" w:color="0462C0"/>
          </w:rPr>
          <w:t> </w:t>
        </w:r>
        <w:r>
          <w:rPr>
            <w:color w:val="0462C0"/>
            <w:sz w:val="18"/>
            <w:u w:val="single" w:color="0462C0"/>
          </w:rPr>
          <w:t>de</w:t>
        </w:r>
        <w:r>
          <w:rPr>
            <w:color w:val="0462C0"/>
            <w:spacing w:val="-1"/>
            <w:sz w:val="18"/>
            <w:u w:val="single" w:color="0462C0"/>
          </w:rPr>
          <w:t> </w:t>
        </w:r>
        <w:r>
          <w:rPr>
            <w:color w:val="0462C0"/>
            <w:sz w:val="18"/>
            <w:u w:val="single" w:color="0462C0"/>
          </w:rPr>
          <w:t>Neuchâtel</w:t>
        </w:r>
        <w:r>
          <w:rPr>
            <w:color w:val="0462C0"/>
            <w:spacing w:val="-1"/>
            <w:sz w:val="18"/>
            <w:u w:val="single" w:color="0462C0"/>
          </w:rPr>
          <w:t> </w:t>
        </w:r>
        <w:r>
          <w:rPr>
            <w:color w:val="0462C0"/>
            <w:sz w:val="18"/>
            <w:u w:val="single" w:color="0462C0"/>
          </w:rPr>
          <w:t>et</w:t>
        </w:r>
        <w:r>
          <w:rPr>
            <w:color w:val="0462C0"/>
            <w:spacing w:val="-4"/>
            <w:sz w:val="18"/>
            <w:u w:val="single" w:color="0462C0"/>
          </w:rPr>
          <w:t> </w:t>
        </w:r>
        <w:r>
          <w:rPr>
            <w:color w:val="0462C0"/>
            <w:sz w:val="18"/>
            <w:u w:val="single" w:color="0462C0"/>
          </w:rPr>
          <w:t>l'Eglise</w:t>
        </w:r>
        <w:r>
          <w:rPr>
            <w:color w:val="0462C0"/>
            <w:spacing w:val="-1"/>
            <w:sz w:val="18"/>
            <w:u w:val="single" w:color="0462C0"/>
          </w:rPr>
          <w:t> </w:t>
        </w:r>
        <w:r>
          <w:rPr>
            <w:color w:val="0462C0"/>
            <w:sz w:val="18"/>
            <w:u w:val="single" w:color="0462C0"/>
          </w:rPr>
          <w:t>réformée</w:t>
        </w:r>
        <w:r>
          <w:rPr>
            <w:color w:val="0462C0"/>
            <w:spacing w:val="-1"/>
            <w:sz w:val="18"/>
            <w:u w:val="single" w:color="0462C0"/>
          </w:rPr>
          <w:t> </w:t>
        </w:r>
        <w:r>
          <w:rPr>
            <w:color w:val="0462C0"/>
            <w:sz w:val="18"/>
            <w:u w:val="single" w:color="0462C0"/>
          </w:rPr>
          <w:t>évangélique</w:t>
        </w:r>
        <w:r>
          <w:rPr>
            <w:color w:val="0462C0"/>
            <w:spacing w:val="-4"/>
            <w:sz w:val="18"/>
            <w:u w:val="single" w:color="0462C0"/>
          </w:rPr>
          <w:t> </w:t>
        </w:r>
        <w:r>
          <w:rPr>
            <w:color w:val="0462C0"/>
            <w:sz w:val="18"/>
            <w:u w:val="single" w:color="0462C0"/>
          </w:rPr>
          <w:t>du</w:t>
        </w:r>
        <w:r>
          <w:rPr>
            <w:color w:val="0462C0"/>
            <w:spacing w:val="-1"/>
            <w:sz w:val="18"/>
            <w:u w:val="single" w:color="0462C0"/>
          </w:rPr>
          <w:t> </w:t>
        </w:r>
        <w:r>
          <w:rPr>
            <w:color w:val="0462C0"/>
            <w:sz w:val="18"/>
            <w:u w:val="single" w:color="0462C0"/>
          </w:rPr>
          <w:t>canton</w:t>
        </w:r>
        <w:r>
          <w:rPr>
            <w:color w:val="0462C0"/>
            <w:spacing w:val="-1"/>
            <w:sz w:val="18"/>
            <w:u w:val="single" w:color="0462C0"/>
          </w:rPr>
          <w:t> </w:t>
        </w:r>
        <w:r>
          <w:rPr>
            <w:color w:val="0462C0"/>
            <w:sz w:val="18"/>
            <w:u w:val="single" w:color="0462C0"/>
          </w:rPr>
          <w:t>de</w:t>
        </w:r>
      </w:hyperlink>
      <w:r>
        <w:rPr>
          <w:color w:val="0462C0"/>
          <w:sz w:val="18"/>
        </w:rPr>
        <w:t> </w:t>
      </w:r>
      <w:hyperlink r:id="rId24">
        <w:r>
          <w:rPr>
            <w:color w:val="0462C0"/>
            <w:sz w:val="18"/>
            <w:u w:val="single" w:color="0462C0"/>
          </w:rPr>
          <w:t>Neuchâtel, l'Eglise catholique romaine, l'Eglise catholique chrétienne</w:t>
        </w:r>
      </w:hyperlink>
      <w:r>
        <w:rPr>
          <w:color w:val="0462C0"/>
          <w:sz w:val="18"/>
        </w:rPr>
        <w:t> </w:t>
      </w:r>
      <w:r>
        <w:rPr>
          <w:sz w:val="18"/>
        </w:rPr>
        <w:t>(CEE)*</w:t>
      </w:r>
    </w:p>
    <w:p>
      <w:pPr>
        <w:pStyle w:val="BodyText"/>
        <w:spacing w:line="278" w:lineRule="auto" w:before="125"/>
        <w:ind w:left="1134"/>
      </w:pPr>
      <w:r>
        <w:rPr/>
        <w:t>D’autres</w:t>
      </w:r>
      <w:r>
        <w:rPr>
          <w:spacing w:val="25"/>
        </w:rPr>
        <w:t> </w:t>
      </w:r>
      <w:r>
        <w:rPr/>
        <w:t>ordonnances</w:t>
      </w:r>
      <w:r>
        <w:rPr>
          <w:spacing w:val="27"/>
        </w:rPr>
        <w:t> </w:t>
      </w:r>
      <w:r>
        <w:rPr/>
        <w:t>et</w:t>
      </w:r>
      <w:r>
        <w:rPr>
          <w:spacing w:val="26"/>
        </w:rPr>
        <w:t> </w:t>
      </w:r>
      <w:r>
        <w:rPr/>
        <w:t>arrêtés</w:t>
      </w:r>
      <w:r>
        <w:rPr>
          <w:spacing w:val="24"/>
        </w:rPr>
        <w:t> </w:t>
      </w:r>
      <w:r>
        <w:rPr/>
        <w:t>sont</w:t>
      </w:r>
      <w:r>
        <w:rPr>
          <w:spacing w:val="24"/>
        </w:rPr>
        <w:t> </w:t>
      </w:r>
      <w:r>
        <w:rPr/>
        <w:t>publiés</w:t>
      </w:r>
      <w:r>
        <w:rPr>
          <w:spacing w:val="27"/>
        </w:rPr>
        <w:t> </w:t>
      </w:r>
      <w:r>
        <w:rPr/>
        <w:t>dans</w:t>
      </w:r>
      <w:r>
        <w:rPr>
          <w:spacing w:val="27"/>
        </w:rPr>
        <w:t> </w:t>
      </w:r>
      <w:r>
        <w:rPr/>
        <w:t>le</w:t>
      </w:r>
      <w:r>
        <w:rPr>
          <w:spacing w:val="26"/>
        </w:rPr>
        <w:t> </w:t>
      </w:r>
      <w:hyperlink r:id="rId25">
        <w:r>
          <w:rPr>
            <w:color w:val="0462C0"/>
            <w:u w:val="single" w:color="0462C0"/>
          </w:rPr>
          <w:t>Recueil</w:t>
        </w:r>
        <w:r>
          <w:rPr>
            <w:color w:val="0462C0"/>
            <w:spacing w:val="24"/>
            <w:u w:val="single" w:color="0462C0"/>
          </w:rPr>
          <w:t> </w:t>
        </w:r>
        <w:r>
          <w:rPr>
            <w:color w:val="0462C0"/>
            <w:u w:val="single" w:color="0462C0"/>
          </w:rPr>
          <w:t>systématique</w:t>
        </w:r>
        <w:r>
          <w:rPr>
            <w:color w:val="0462C0"/>
            <w:spacing w:val="24"/>
            <w:u w:val="single" w:color="0462C0"/>
          </w:rPr>
          <w:t> </w:t>
        </w:r>
        <w:r>
          <w:rPr>
            <w:color w:val="0462C0"/>
            <w:u w:val="single" w:color="0462C0"/>
          </w:rPr>
          <w:t>de</w:t>
        </w:r>
        <w:r>
          <w:rPr>
            <w:color w:val="0462C0"/>
            <w:spacing w:val="24"/>
            <w:u w:val="single" w:color="0462C0"/>
          </w:rPr>
          <w:t> </w:t>
        </w:r>
        <w:r>
          <w:rPr>
            <w:color w:val="0462C0"/>
            <w:u w:val="single" w:color="0462C0"/>
          </w:rPr>
          <w:t>la</w:t>
        </w:r>
        <w:r>
          <w:rPr>
            <w:color w:val="0462C0"/>
            <w:spacing w:val="24"/>
            <w:u w:val="single" w:color="0462C0"/>
          </w:rPr>
          <w:t> </w:t>
        </w:r>
        <w:r>
          <w:rPr>
            <w:color w:val="0462C0"/>
            <w:u w:val="single" w:color="0462C0"/>
          </w:rPr>
          <w:t>législation</w:t>
        </w:r>
        <w:r>
          <w:rPr>
            <w:color w:val="0462C0"/>
            <w:spacing w:val="24"/>
            <w:u w:val="single" w:color="0462C0"/>
          </w:rPr>
          <w:t> </w:t>
        </w:r>
        <w:r>
          <w:rPr>
            <w:color w:val="0462C0"/>
            <w:u w:val="single" w:color="0462C0"/>
          </w:rPr>
          <w:t>neuchâteloise</w:t>
        </w:r>
      </w:hyperlink>
      <w:r>
        <w:rPr>
          <w:color w:val="0462C0"/>
        </w:rPr>
        <w:t> </w:t>
      </w:r>
      <w:hyperlink r:id="rId25">
        <w:r>
          <w:rPr>
            <w:color w:val="0462C0"/>
            <w:spacing w:val="-2"/>
            <w:u w:val="single" w:color="0462C0"/>
          </w:rPr>
          <w:t>(RSN).</w:t>
        </w:r>
      </w:hyperlink>
    </w:p>
    <w:p>
      <w:pPr>
        <w:pStyle w:val="Heading7"/>
        <w:spacing w:before="96"/>
      </w:pPr>
      <w:r>
        <w:rPr/>
        <w:t>*Ces</w:t>
      </w:r>
      <w:r>
        <w:rPr>
          <w:spacing w:val="-8"/>
        </w:rPr>
        <w:t> </w:t>
      </w:r>
      <w:r>
        <w:rPr/>
        <w:t>abréviations</w:t>
      </w:r>
      <w:r>
        <w:rPr>
          <w:spacing w:val="-6"/>
        </w:rPr>
        <w:t> </w:t>
      </w:r>
      <w:r>
        <w:rPr/>
        <w:t>ont</w:t>
      </w:r>
      <w:r>
        <w:rPr>
          <w:spacing w:val="-7"/>
        </w:rPr>
        <w:t> </w:t>
      </w:r>
      <w:r>
        <w:rPr/>
        <w:t>été</w:t>
      </w:r>
      <w:r>
        <w:rPr>
          <w:spacing w:val="-7"/>
        </w:rPr>
        <w:t> </w:t>
      </w:r>
      <w:r>
        <w:rPr/>
        <w:t>définies</w:t>
      </w:r>
      <w:r>
        <w:rPr>
          <w:spacing w:val="-8"/>
        </w:rPr>
        <w:t> </w:t>
      </w:r>
      <w:r>
        <w:rPr/>
        <w:t>exclusivement</w:t>
      </w:r>
      <w:r>
        <w:rPr>
          <w:spacing w:val="-7"/>
        </w:rPr>
        <w:t> </w:t>
      </w:r>
      <w:r>
        <w:rPr/>
        <w:t>pour</w:t>
      </w:r>
      <w:r>
        <w:rPr>
          <w:spacing w:val="-7"/>
        </w:rPr>
        <w:t> </w:t>
      </w:r>
      <w:r>
        <w:rPr/>
        <w:t>cette</w:t>
      </w:r>
      <w:r>
        <w:rPr>
          <w:spacing w:val="-8"/>
        </w:rPr>
        <w:t> </w:t>
      </w:r>
      <w:r>
        <w:rPr/>
        <w:t>feuille</w:t>
      </w:r>
      <w:r>
        <w:rPr>
          <w:spacing w:val="-9"/>
        </w:rPr>
        <w:t> </w:t>
      </w:r>
      <w:r>
        <w:rPr>
          <w:spacing w:val="-2"/>
        </w:rPr>
        <w:t>cantonale.</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rPr>
          <w:sz w:val="40"/>
        </w:rPr>
      </w:pPr>
    </w:p>
    <w:p>
      <w:pPr>
        <w:pStyle w:val="Heading1"/>
        <w:jc w:val="both"/>
      </w:pPr>
      <w:bookmarkStart w:name="Imposition des personnes physiques" w:id="3"/>
      <w:bookmarkEnd w:id="3"/>
      <w:r>
        <w:rPr>
          <w:b w:val="0"/>
        </w:rPr>
      </w:r>
      <w:bookmarkStart w:name="_bookmark1" w:id="4"/>
      <w:bookmarkEnd w:id="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8"/>
        <w:spacing w:before="272"/>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a et</w:t>
      </w:r>
      <w:r>
        <w:rPr>
          <w:spacing w:val="-1"/>
        </w:rPr>
        <w:t> </w:t>
      </w:r>
      <w:r>
        <w:rPr/>
        <w:t>e</w:t>
      </w:r>
      <w:r>
        <w:rPr>
          <w:spacing w:val="1"/>
        </w:rPr>
        <w:t> </w:t>
      </w:r>
      <w:r>
        <w:rPr>
          <w:spacing w:val="-2"/>
        </w:rPr>
        <w:t>LCdir</w:t>
      </w:r>
    </w:p>
    <w:p>
      <w:pPr>
        <w:pStyle w:val="BodyText"/>
        <w:spacing w:before="56"/>
        <w:ind w:left="1134"/>
      </w:pPr>
      <w:r>
        <w:rPr>
          <w:position w:val="6"/>
          <w:sz w:val="12"/>
        </w:rPr>
        <w:t>1</w:t>
      </w:r>
      <w:r>
        <w:rPr>
          <w:spacing w:val="15"/>
          <w:position w:val="6"/>
          <w:sz w:val="12"/>
        </w:rPr>
        <w:t> </w:t>
      </w:r>
      <w:r>
        <w:rPr>
          <w:color w:val="333333"/>
        </w:rPr>
        <w:t>Le</w:t>
      </w:r>
      <w:r>
        <w:rPr>
          <w:color w:val="333333"/>
          <w:spacing w:val="-4"/>
        </w:rPr>
        <w:t> </w:t>
      </w:r>
      <w:r>
        <w:rPr>
          <w:color w:val="333333"/>
        </w:rPr>
        <w:t>canton perçoit,</w:t>
      </w:r>
      <w:r>
        <w:rPr>
          <w:color w:val="333333"/>
          <w:spacing w:val="-4"/>
        </w:rPr>
        <w:t> </w:t>
      </w:r>
      <w:r>
        <w:rPr>
          <w:color w:val="333333"/>
        </w:rPr>
        <w:t>conformément</w:t>
      </w:r>
      <w:r>
        <w:rPr>
          <w:color w:val="333333"/>
          <w:spacing w:val="-3"/>
        </w:rPr>
        <w:t> </w:t>
      </w:r>
      <w:r>
        <w:rPr>
          <w:color w:val="333333"/>
        </w:rPr>
        <w:t>à</w:t>
      </w:r>
      <w:r>
        <w:rPr>
          <w:color w:val="333333"/>
          <w:spacing w:val="-1"/>
        </w:rPr>
        <w:t> </w:t>
      </w:r>
      <w:r>
        <w:rPr>
          <w:color w:val="333333"/>
        </w:rPr>
        <w:t>la</w:t>
      </w:r>
      <w:r>
        <w:rPr>
          <w:color w:val="333333"/>
          <w:spacing w:val="-3"/>
        </w:rPr>
        <w:t> </w:t>
      </w:r>
      <w:r>
        <w:rPr>
          <w:color w:val="333333"/>
        </w:rPr>
        <w:t>présente</w:t>
      </w:r>
      <w:r>
        <w:rPr>
          <w:color w:val="333333"/>
          <w:spacing w:val="-1"/>
        </w:rPr>
        <w:t> </w:t>
      </w:r>
      <w:r>
        <w:rPr>
          <w:color w:val="333333"/>
        </w:rPr>
        <w:t>loi </w:t>
      </w:r>
      <w:r>
        <w:rPr>
          <w:color w:val="333333"/>
          <w:spacing w:val="-10"/>
        </w:rPr>
        <w:t>:</w:t>
      </w:r>
    </w:p>
    <w:p>
      <w:pPr>
        <w:pStyle w:val="ListParagraph"/>
        <w:numPr>
          <w:ilvl w:val="0"/>
          <w:numId w:val="2"/>
        </w:numPr>
        <w:tabs>
          <w:tab w:pos="1559" w:val="left" w:leader="none"/>
        </w:tabs>
        <w:spacing w:line="240" w:lineRule="auto" w:before="40" w:after="0"/>
        <w:ind w:left="1559" w:right="0" w:hanging="425"/>
        <w:jc w:val="left"/>
        <w:rPr>
          <w:sz w:val="18"/>
        </w:rPr>
      </w:pP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 revenu et</w:t>
      </w:r>
      <w:r>
        <w:rPr>
          <w:spacing w:val="-3"/>
          <w:sz w:val="18"/>
        </w:rPr>
        <w:t> </w:t>
      </w:r>
      <w:r>
        <w:rPr>
          <w:sz w:val="18"/>
        </w:rPr>
        <w:t>un</w:t>
      </w:r>
      <w:r>
        <w:rPr>
          <w:spacing w:val="-4"/>
          <w:sz w:val="18"/>
        </w:rPr>
        <w:t> </w:t>
      </w:r>
      <w:r>
        <w:rPr>
          <w:sz w:val="18"/>
        </w:rPr>
        <w:t>impôt</w:t>
      </w:r>
      <w:r>
        <w:rPr>
          <w:spacing w:val="-3"/>
          <w:sz w:val="18"/>
        </w:rPr>
        <w:t> </w:t>
      </w:r>
      <w:r>
        <w:rPr>
          <w:sz w:val="18"/>
        </w:rPr>
        <w:t>sur</w:t>
      </w:r>
      <w:r>
        <w:rPr>
          <w:spacing w:val="-3"/>
          <w:sz w:val="18"/>
        </w:rPr>
        <w:t> </w:t>
      </w:r>
      <w:r>
        <w:rPr>
          <w:sz w:val="18"/>
        </w:rPr>
        <w:t>la fortune des personnes</w:t>
      </w:r>
      <w:r>
        <w:rPr>
          <w:spacing w:val="-2"/>
          <w:sz w:val="18"/>
        </w:rPr>
        <w:t> physiques;</w:t>
      </w:r>
    </w:p>
    <w:p>
      <w:pPr>
        <w:pStyle w:val="BodyText"/>
        <w:tabs>
          <w:tab w:pos="1559" w:val="left" w:leader="none"/>
        </w:tabs>
        <w:spacing w:before="40"/>
        <w:ind w:left="1134"/>
      </w:pPr>
      <w:r>
        <w:rPr>
          <w:spacing w:val="-5"/>
        </w:rPr>
        <w:t>e.</w:t>
      </w:r>
      <w:r>
        <w:rPr/>
        <w:tab/>
        <w:t>un impôt</w:t>
      </w:r>
      <w:r>
        <w:rPr>
          <w:spacing w:val="-3"/>
        </w:rPr>
        <w:t> </w:t>
      </w:r>
      <w:r>
        <w:rPr/>
        <w:t>sur</w:t>
      </w:r>
      <w:r>
        <w:rPr>
          <w:spacing w:val="-3"/>
        </w:rPr>
        <w:t> </w:t>
      </w:r>
      <w:r>
        <w:rPr/>
        <w:t>les gains</w:t>
      </w:r>
      <w:r>
        <w:rPr>
          <w:spacing w:val="-1"/>
        </w:rPr>
        <w:t> </w:t>
      </w:r>
      <w:r>
        <w:rPr>
          <w:spacing w:val="-2"/>
        </w:rPr>
        <w:t>immobiliers.</w:t>
      </w:r>
    </w:p>
    <w:p>
      <w:pPr>
        <w:pStyle w:val="BodyText"/>
      </w:pPr>
    </w:p>
    <w:p>
      <w:pPr>
        <w:pStyle w:val="BodyText"/>
        <w:spacing w:before="69"/>
      </w:pPr>
    </w:p>
    <w:p>
      <w:pPr>
        <w:pStyle w:val="Heading2"/>
        <w:jc w:val="both"/>
      </w:pPr>
      <w:bookmarkStart w:name="Impôt sur le revenu" w:id="5"/>
      <w:bookmarkEnd w:id="5"/>
      <w:r>
        <w:rPr>
          <w:b w:val="0"/>
        </w:rPr>
      </w:r>
      <w:bookmarkStart w:name="_bookmark2" w:id="6"/>
      <w:bookmarkEnd w:id="6"/>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9"/>
        <w:ind w:left="851"/>
        <w:jc w:val="both"/>
      </w:pPr>
      <w:r>
        <w:rPr/>
        <w:t>(Art.</w:t>
      </w:r>
      <w:r>
        <w:rPr>
          <w:spacing w:val="-1"/>
        </w:rPr>
        <w:t> </w:t>
      </w:r>
      <w:r>
        <w:rPr/>
        <w:t>19</w:t>
      </w:r>
      <w:r>
        <w:rPr>
          <w:spacing w:val="-2"/>
        </w:rPr>
        <w:t> </w:t>
      </w:r>
      <w:r>
        <w:rPr/>
        <w:t>à 45</w:t>
      </w:r>
      <w:r>
        <w:rPr>
          <w:spacing w:val="-2"/>
        </w:rPr>
        <w:t> </w:t>
      </w:r>
      <w:r>
        <w:rPr/>
        <w:t>et</w:t>
      </w:r>
      <w:r>
        <w:rPr>
          <w:spacing w:val="-1"/>
        </w:rPr>
        <w:t> </w:t>
      </w:r>
      <w:r>
        <w:rPr/>
        <w:t>282</w:t>
      </w:r>
      <w:r>
        <w:rPr>
          <w:spacing w:val="1"/>
        </w:rPr>
        <w:t> </w:t>
      </w:r>
      <w:r>
        <w:rPr/>
        <w:t>LCdir</w:t>
      </w:r>
      <w:r>
        <w:rPr>
          <w:spacing w:val="-1"/>
        </w:rPr>
        <w:t> </w:t>
      </w:r>
      <w:r>
        <w:rPr/>
        <w:t>;</w:t>
      </w:r>
      <w:r>
        <w:rPr>
          <w:spacing w:val="-2"/>
        </w:rPr>
        <w:t> </w:t>
      </w:r>
      <w:r>
        <w:rPr/>
        <w:t>12</w:t>
      </w:r>
      <w:r>
        <w:rPr>
          <w:spacing w:val="-3"/>
        </w:rPr>
        <w:t> </w:t>
      </w:r>
      <w:r>
        <w:rPr/>
        <w:t>à</w:t>
      </w:r>
      <w:r>
        <w:rPr>
          <w:spacing w:val="1"/>
        </w:rPr>
        <w:t> </w:t>
      </w:r>
      <w:r>
        <w:rPr/>
        <w:t>33</w:t>
      </w:r>
      <w:r>
        <w:rPr>
          <w:spacing w:val="1"/>
        </w:rPr>
        <w:t> </w:t>
      </w:r>
      <w:r>
        <w:rPr>
          <w:spacing w:val="-2"/>
        </w:rPr>
        <w:t>RELCdir)</w:t>
      </w:r>
    </w:p>
    <w:p>
      <w:pPr>
        <w:pStyle w:val="BodyText"/>
        <w:spacing w:line="278"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28">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29">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30">
        <w:r>
          <w:rPr>
            <w:color w:val="0462C0"/>
            <w:u w:val="single" w:color="0462C0"/>
          </w:rPr>
          <w:t>Imposition de la valeur locative</w:t>
        </w:r>
      </w:hyperlink>
    </w:p>
    <w:p>
      <w:pPr>
        <w:pStyle w:val="BodyText"/>
        <w:spacing w:before="28"/>
        <w:rPr>
          <w:sz w:val="26"/>
        </w:rPr>
      </w:pPr>
    </w:p>
    <w:p>
      <w:pPr>
        <w:pStyle w:val="Heading3"/>
      </w:pPr>
      <w:bookmarkStart w:name="Revenus" w:id="7"/>
      <w:bookmarkEnd w:id="7"/>
      <w:r>
        <w:rPr>
          <w:b w:val="0"/>
        </w:rPr>
      </w:r>
      <w:bookmarkStart w:name="_bookmark3" w:id="8"/>
      <w:bookmarkEnd w:id="8"/>
      <w:r>
        <w:rPr>
          <w:b w:val="0"/>
        </w:rPr>
      </w:r>
      <w:r>
        <w:rPr>
          <w:color w:val="2D73B4"/>
          <w:spacing w:val="-2"/>
        </w:rPr>
        <w:t>Revenus</w:t>
      </w:r>
    </w:p>
    <w:p>
      <w:pPr>
        <w:pStyle w:val="BodyText"/>
        <w:spacing w:before="57"/>
        <w:ind w:left="851"/>
        <w:jc w:val="both"/>
      </w:pPr>
      <w:r>
        <w:rPr/>
        <w:t>(Art.</w:t>
      </w:r>
      <w:r>
        <w:rPr>
          <w:spacing w:val="-1"/>
        </w:rPr>
        <w:t> </w:t>
      </w:r>
      <w:r>
        <w:rPr/>
        <w:t>19</w:t>
      </w:r>
      <w:r>
        <w:rPr>
          <w:spacing w:val="-3"/>
        </w:rPr>
        <w:t> </w:t>
      </w:r>
      <w:r>
        <w:rPr/>
        <w:t>à</w:t>
      </w:r>
      <w:r>
        <w:rPr>
          <w:spacing w:val="1"/>
        </w:rPr>
        <w:t> </w:t>
      </w:r>
      <w:r>
        <w:rPr/>
        <w:t>26</w:t>
      </w:r>
      <w:r>
        <w:rPr>
          <w:spacing w:val="-3"/>
        </w:rPr>
        <w:t> </w:t>
      </w:r>
      <w:r>
        <w:rPr/>
        <w:t>et 282 LCdir ;</w:t>
      </w:r>
      <w:r>
        <w:rPr>
          <w:spacing w:val="-3"/>
        </w:rPr>
        <w:t> </w:t>
      </w:r>
      <w:r>
        <w:rPr/>
        <w:t>12</w:t>
      </w:r>
      <w:r>
        <w:rPr>
          <w:spacing w:val="-2"/>
        </w:rPr>
        <w:t> RELCdir)</w:t>
      </w:r>
    </w:p>
    <w:p>
      <w:pPr>
        <w:pStyle w:val="Heading7"/>
        <w:spacing w:before="120"/>
        <w:ind w:left="851" w:right="135"/>
        <w:jc w:val="both"/>
      </w:pPr>
      <w:r>
        <w:rPr/>
        <w:t>Le</w:t>
      </w:r>
      <w:r>
        <w:rPr>
          <w:spacing w:val="-3"/>
        </w:rPr>
        <w:t> </w:t>
      </w:r>
      <w:r>
        <w:rPr/>
        <w:t>revenu</w:t>
      </w:r>
      <w:r>
        <w:rPr>
          <w:spacing w:val="-3"/>
        </w:rPr>
        <w:t> </w:t>
      </w:r>
      <w:r>
        <w:rPr/>
        <w:t>total</w:t>
      </w:r>
      <w:r>
        <w:rPr>
          <w:spacing w:val="-1"/>
        </w:rPr>
        <w:t> </w:t>
      </w:r>
      <w:r>
        <w:rPr/>
        <w:t>brut</w:t>
      </w:r>
      <w:r>
        <w:rPr>
          <w:spacing w:val="-3"/>
        </w:rPr>
        <w:t> </w:t>
      </w:r>
      <w:r>
        <w:rPr/>
        <w:t>se</w:t>
      </w:r>
      <w:r>
        <w:rPr>
          <w:spacing w:val="-3"/>
        </w:rPr>
        <w:t> </w:t>
      </w:r>
      <w:r>
        <w:rPr/>
        <w:t>compose</w:t>
      </w:r>
      <w:r>
        <w:rPr>
          <w:spacing w:val="-3"/>
        </w:rPr>
        <w:t> </w:t>
      </w:r>
      <w:r>
        <w:rPr/>
        <w:t>notamment</w:t>
      </w:r>
      <w:r>
        <w:rPr>
          <w:spacing w:val="-3"/>
        </w:rPr>
        <w:t> </w:t>
      </w:r>
      <w:r>
        <w:rPr/>
        <w:t>du</w:t>
      </w:r>
      <w:r>
        <w:rPr>
          <w:spacing w:val="-3"/>
        </w:rPr>
        <w:t> </w:t>
      </w:r>
      <w:r>
        <w:rPr/>
        <w:t>revenu</w:t>
      </w:r>
      <w:r>
        <w:rPr>
          <w:spacing w:val="-1"/>
        </w:rPr>
        <w:t> </w:t>
      </w:r>
      <w:r>
        <w:rPr/>
        <w:t>provenant</w:t>
      </w:r>
      <w:r>
        <w:rPr>
          <w:spacing w:val="-3"/>
        </w:rPr>
        <w:t> </w:t>
      </w:r>
      <w:r>
        <w:rPr/>
        <w:t>de</w:t>
      </w:r>
      <w:r>
        <w:rPr>
          <w:spacing w:val="-3"/>
        </w:rPr>
        <w:t> </w:t>
      </w:r>
      <w:r>
        <w:rPr/>
        <w:t>l’activité</w:t>
      </w:r>
      <w:r>
        <w:rPr>
          <w:spacing w:val="-1"/>
        </w:rPr>
        <w:t> </w:t>
      </w:r>
      <w:r>
        <w:rPr/>
        <w:t>dépendante</w:t>
      </w:r>
      <w:r>
        <w:rPr>
          <w:spacing w:val="-1"/>
        </w:rPr>
        <w:t> </w:t>
      </w:r>
      <w:r>
        <w:rPr/>
        <w:t>ou</w:t>
      </w:r>
      <w:r>
        <w:rPr>
          <w:spacing w:val="-1"/>
        </w:rPr>
        <w:t> </w:t>
      </w:r>
      <w:r>
        <w:rPr/>
        <w:t>indépen-dante,</w:t>
      </w:r>
      <w:r>
        <w:rPr>
          <w:spacing w:val="-14"/>
        </w:rPr>
        <w:t> </w:t>
      </w:r>
      <w:r>
        <w:rPr/>
        <w:t>y</w:t>
      </w:r>
      <w:r>
        <w:rPr>
          <w:spacing w:val="-14"/>
        </w:rPr>
        <w:t> </w:t>
      </w:r>
      <w:r>
        <w:rPr/>
        <w:t>compris</w:t>
      </w:r>
      <w:r>
        <w:rPr>
          <w:spacing w:val="-14"/>
        </w:rPr>
        <w:t> </w:t>
      </w:r>
      <w:r>
        <w:rPr/>
        <w:t>les</w:t>
      </w:r>
      <w:r>
        <w:rPr>
          <w:spacing w:val="-14"/>
        </w:rPr>
        <w:t> </w:t>
      </w:r>
      <w:r>
        <w:rPr/>
        <w:t>revenus</w:t>
      </w:r>
      <w:r>
        <w:rPr>
          <w:spacing w:val="-14"/>
        </w:rPr>
        <w:t> </w:t>
      </w:r>
      <w:r>
        <w:rPr/>
        <w:t>accessoires</w:t>
      </w:r>
      <w:r>
        <w:rPr>
          <w:spacing w:val="-14"/>
        </w:rPr>
        <w:t> </w:t>
      </w:r>
      <w:r>
        <w:rPr/>
        <w:t>ou</w:t>
      </w:r>
      <w:r>
        <w:rPr>
          <w:spacing w:val="-14"/>
        </w:rPr>
        <w:t> </w:t>
      </w:r>
      <w:r>
        <w:rPr/>
        <w:t>ceux</w:t>
      </w:r>
      <w:r>
        <w:rPr>
          <w:spacing w:val="-14"/>
        </w:rPr>
        <w:t> </w:t>
      </w:r>
      <w:r>
        <w:rPr/>
        <w:t>acquis</w:t>
      </w:r>
      <w:r>
        <w:rPr>
          <w:spacing w:val="-14"/>
        </w:rPr>
        <w:t> </w:t>
      </w:r>
      <w:r>
        <w:rPr/>
        <w:t>en</w:t>
      </w:r>
      <w:r>
        <w:rPr>
          <w:spacing w:val="-13"/>
        </w:rPr>
        <w:t> </w:t>
      </w:r>
      <w:r>
        <w:rPr/>
        <w:t>compensation,</w:t>
      </w:r>
      <w:r>
        <w:rPr>
          <w:spacing w:val="-14"/>
        </w:rPr>
        <w:t> </w:t>
      </w:r>
      <w:r>
        <w:rPr/>
        <w:t>des</w:t>
      </w:r>
      <w:r>
        <w:rPr>
          <w:spacing w:val="-14"/>
        </w:rPr>
        <w:t> </w:t>
      </w:r>
      <w:r>
        <w:rPr/>
        <w:t>rendements</w:t>
      </w:r>
      <w:r>
        <w:rPr>
          <w:spacing w:val="-14"/>
        </w:rPr>
        <w:t> </w:t>
      </w:r>
      <w:r>
        <w:rPr/>
        <w:t>imposables de la fortune mobilière et immobilière, des prestations en capital découlant de la prévoyance ainsi que des</w:t>
      </w:r>
      <w:r>
        <w:rPr>
          <w:spacing w:val="-7"/>
        </w:rPr>
        <w:t> </w:t>
      </w:r>
      <w:r>
        <w:rPr/>
        <w:t>gains</w:t>
      </w:r>
      <w:r>
        <w:rPr>
          <w:spacing w:val="-7"/>
        </w:rPr>
        <w:t> </w:t>
      </w:r>
      <w:r>
        <w:rPr/>
        <w:t>provenant</w:t>
      </w:r>
      <w:r>
        <w:rPr>
          <w:spacing w:val="-6"/>
        </w:rPr>
        <w:t> </w:t>
      </w:r>
      <w:r>
        <w:rPr/>
        <w:t>des</w:t>
      </w:r>
      <w:r>
        <w:rPr>
          <w:spacing w:val="-7"/>
        </w:rPr>
        <w:t> </w:t>
      </w:r>
      <w:r>
        <w:rPr/>
        <w:t>jeux</w:t>
      </w:r>
      <w:r>
        <w:rPr>
          <w:spacing w:val="-7"/>
        </w:rPr>
        <w:t> </w:t>
      </w:r>
      <w:r>
        <w:rPr/>
        <w:t>d’argent</w:t>
      </w:r>
      <w:r>
        <w:rPr>
          <w:spacing w:val="-6"/>
        </w:rPr>
        <w:t> </w:t>
      </w:r>
      <w:r>
        <w:rPr/>
        <w:t>mais</w:t>
      </w:r>
      <w:r>
        <w:rPr>
          <w:spacing w:val="-7"/>
        </w:rPr>
        <w:t> </w:t>
      </w:r>
      <w:r>
        <w:rPr/>
        <w:t>aussi</w:t>
      </w:r>
      <w:r>
        <w:rPr>
          <w:spacing w:val="-10"/>
        </w:rPr>
        <w:t> </w:t>
      </w:r>
      <w:r>
        <w:rPr/>
        <w:t>de</w:t>
      </w:r>
      <w:r>
        <w:rPr>
          <w:spacing w:val="-9"/>
        </w:rPr>
        <w:t> </w:t>
      </w:r>
      <w:r>
        <w:rPr/>
        <w:t>la</w:t>
      </w:r>
      <w:r>
        <w:rPr>
          <w:spacing w:val="-7"/>
        </w:rPr>
        <w:t> </w:t>
      </w:r>
      <w:r>
        <w:rPr/>
        <w:t>valeur</w:t>
      </w:r>
      <w:r>
        <w:rPr>
          <w:spacing w:val="-5"/>
        </w:rPr>
        <w:t> </w:t>
      </w:r>
      <w:r>
        <w:rPr/>
        <w:t>locative</w:t>
      </w:r>
      <w:r>
        <w:rPr>
          <w:spacing w:val="-9"/>
        </w:rPr>
        <w:t> </w:t>
      </w:r>
      <w:r>
        <w:rPr/>
        <w:t>pour</w:t>
      </w:r>
      <w:r>
        <w:rPr>
          <w:spacing w:val="-8"/>
        </w:rPr>
        <w:t> </w:t>
      </w:r>
      <w:r>
        <w:rPr/>
        <w:t>des</w:t>
      </w:r>
      <w:r>
        <w:rPr>
          <w:spacing w:val="-5"/>
        </w:rPr>
        <w:t> </w:t>
      </w:r>
      <w:r>
        <w:rPr/>
        <w:t>personnes</w:t>
      </w:r>
      <w:r>
        <w:rPr>
          <w:spacing w:val="-7"/>
        </w:rPr>
        <w:t> </w:t>
      </w:r>
      <w:r>
        <w:rPr/>
        <w:t>utilisant</w:t>
      </w:r>
      <w:r>
        <w:rPr>
          <w:spacing w:val="-6"/>
        </w:rPr>
        <w:t> </w:t>
      </w:r>
      <w:r>
        <w:rPr/>
        <w:t>leur propre logement.</w:t>
      </w:r>
    </w:p>
    <w:p>
      <w:pPr>
        <w:pStyle w:val="BodyText"/>
        <w:spacing w:before="142"/>
        <w:rPr>
          <w:sz w:val="20"/>
        </w:rPr>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30"/>
        <w:rPr>
          <w:rFonts w:ascii="Arial"/>
          <w:b/>
          <w:sz w:val="20"/>
        </w:rPr>
      </w:pPr>
    </w:p>
    <w:p>
      <w:pPr>
        <w:pStyle w:val="Heading7"/>
        <w:jc w:val="both"/>
      </w:pPr>
      <w:r>
        <w:rPr>
          <w:color w:val="950000"/>
        </w:rPr>
        <w:t>Imposition partielle des revenus produits par les participations de la fortune commerciale</w:t>
      </w:r>
      <w:r>
        <w:rPr>
          <w:color w:val="950000"/>
          <w:spacing w:val="80"/>
          <w:w w:val="150"/>
        </w:rPr>
        <w:t> </w:t>
      </w:r>
      <w:r>
        <w:rPr>
          <w:color w:val="950000"/>
          <w:spacing w:val="-1"/>
        </w:rPr>
        <w:drawing>
          <wp:inline distT="0" distB="0" distL="0" distR="0">
            <wp:extent cx="201240" cy="114920"/>
            <wp:effectExtent l="0" t="0" r="0" b="0"/>
            <wp:docPr id="24" name="Image 24" descr="">
              <a:hlinkClick r:id="rId31"/>
            </wp:docPr>
            <wp:cNvGraphicFramePr>
              <a:graphicFrameLocks/>
            </wp:cNvGraphicFramePr>
            <a:graphic>
              <a:graphicData uri="http://schemas.openxmlformats.org/drawingml/2006/picture">
                <pic:pic>
                  <pic:nvPicPr>
                    <pic:cNvPr id="24" name="Image 24" descr="">
                      <a:hlinkClick r:id="rId31"/>
                    </pic:cNvPr>
                    <pic:cNvPicPr/>
                  </pic:nvPicPr>
                  <pic:blipFill>
                    <a:blip r:embed="rId11" cstate="print"/>
                    <a:stretch>
                      <a:fillRect/>
                    </a:stretch>
                  </pic:blipFill>
                  <pic:spPr>
                    <a:xfrm>
                      <a:off x="0" y="0"/>
                      <a:ext cx="201240" cy="114920"/>
                    </a:xfrm>
                    <a:prstGeom prst="rect">
                      <a:avLst/>
                    </a:prstGeom>
                  </pic:spPr>
                </pic:pic>
              </a:graphicData>
            </a:graphic>
          </wp:inline>
        </w:drawing>
      </w:r>
      <w:r>
        <w:rPr>
          <w:color w:val="950000"/>
          <w:spacing w:val="-1"/>
        </w:rPr>
      </w:r>
    </w:p>
    <w:p>
      <w:pPr>
        <w:pStyle w:val="Heading8"/>
        <w:spacing w:before="94"/>
      </w:pPr>
      <w:r>
        <w:rPr/>
        <w:t>Art.</w:t>
      </w:r>
      <w:r>
        <w:rPr>
          <w:spacing w:val="-3"/>
        </w:rPr>
        <w:t> </w:t>
      </w:r>
      <w:r>
        <w:rPr/>
        <w:t>21b,</w:t>
      </w:r>
      <w:r>
        <w:rPr>
          <w:spacing w:val="-1"/>
        </w:rPr>
        <w:t> </w:t>
      </w:r>
      <w:r>
        <w:rPr/>
        <w:t>al.</w:t>
      </w:r>
      <w:r>
        <w:rPr>
          <w:spacing w:val="-1"/>
        </w:rPr>
        <w:t> </w:t>
      </w:r>
      <w:r>
        <w:rPr/>
        <w:t>1 </w:t>
      </w:r>
      <w:r>
        <w:rPr>
          <w:spacing w:val="-2"/>
        </w:rPr>
        <w:t>LCdir</w:t>
      </w:r>
    </w:p>
    <w:p>
      <w:pPr>
        <w:pStyle w:val="BodyText"/>
        <w:spacing w:before="56"/>
        <w:ind w:left="1134" w:right="701"/>
        <w:jc w:val="both"/>
      </w:pPr>
      <w:r>
        <w:rPr>
          <w:position w:val="6"/>
          <w:sz w:val="12"/>
        </w:rPr>
        <w:t>1</w:t>
      </w:r>
      <w:r>
        <w:rPr>
          <w:spacing w:val="24"/>
          <w:position w:val="6"/>
          <w:sz w:val="12"/>
        </w:rPr>
        <w:t> </w:t>
      </w:r>
      <w:r>
        <w:rPr/>
        <w:t>Les dividendes, les parts de bénéfice, les excédents de liquidation et les avantages appréciables en argent provenant d’actions, de parts à des sociétés à responsabilité limitée, de parts à des sociétés coopératives et de bons de participation ainsi que les bénéfices provenant de l’aliénation de tels droits de participation sont imposables, après déduction des charges imputables, à hauteur de 60% lorsque ces</w:t>
      </w:r>
      <w:r>
        <w:rPr>
          <w:spacing w:val="-13"/>
        </w:rPr>
        <w:t> </w:t>
      </w:r>
      <w:r>
        <w:rPr/>
        <w:t>droits</w:t>
      </w:r>
      <w:r>
        <w:rPr>
          <w:spacing w:val="-12"/>
        </w:rPr>
        <w:t> </w:t>
      </w:r>
      <w:r>
        <w:rPr/>
        <w:t>de</w:t>
      </w:r>
      <w:r>
        <w:rPr>
          <w:spacing w:val="-13"/>
        </w:rPr>
        <w:t> </w:t>
      </w:r>
      <w:r>
        <w:rPr/>
        <w:t>participation</w:t>
      </w:r>
      <w:r>
        <w:rPr>
          <w:spacing w:val="-12"/>
        </w:rPr>
        <w:t> </w:t>
      </w:r>
      <w:r>
        <w:rPr/>
        <w:t>équivalent</w:t>
      </w:r>
      <w:r>
        <w:rPr>
          <w:spacing w:val="-13"/>
        </w:rPr>
        <w:t> </w:t>
      </w:r>
      <w:r>
        <w:rPr/>
        <w:t>à</w:t>
      </w:r>
      <w:r>
        <w:rPr>
          <w:spacing w:val="-13"/>
        </w:rPr>
        <w:t> </w:t>
      </w:r>
      <w:r>
        <w:rPr/>
        <w:t>10%</w:t>
      </w:r>
      <w:r>
        <w:rPr>
          <w:spacing w:val="-12"/>
        </w:rPr>
        <w:t> </w:t>
      </w:r>
      <w:r>
        <w:rPr/>
        <w:t>au</w:t>
      </w:r>
      <w:r>
        <w:rPr>
          <w:spacing w:val="-13"/>
        </w:rPr>
        <w:t> </w:t>
      </w:r>
      <w:r>
        <w:rPr/>
        <w:t>moins</w:t>
      </w:r>
      <w:r>
        <w:rPr>
          <w:spacing w:val="-12"/>
        </w:rPr>
        <w:t> </w:t>
      </w:r>
      <w:r>
        <w:rPr/>
        <w:t>du</w:t>
      </w:r>
      <w:r>
        <w:rPr>
          <w:spacing w:val="-13"/>
        </w:rPr>
        <w:t> </w:t>
      </w:r>
      <w:r>
        <w:rPr/>
        <w:t>capital-actions</w:t>
      </w:r>
      <w:r>
        <w:rPr>
          <w:spacing w:val="-12"/>
        </w:rPr>
        <w:t> </w:t>
      </w:r>
      <w:r>
        <w:rPr/>
        <w:t>ou</w:t>
      </w:r>
      <w:r>
        <w:rPr>
          <w:spacing w:val="-13"/>
        </w:rPr>
        <w:t> </w:t>
      </w:r>
      <w:r>
        <w:rPr/>
        <w:t>du</w:t>
      </w:r>
      <w:r>
        <w:rPr>
          <w:spacing w:val="-12"/>
        </w:rPr>
        <w:t> </w:t>
      </w:r>
      <w:r>
        <w:rPr/>
        <w:t>capital</w:t>
      </w:r>
      <w:r>
        <w:rPr>
          <w:spacing w:val="-13"/>
        </w:rPr>
        <w:t> </w:t>
      </w:r>
      <w:r>
        <w:rPr/>
        <w:t>social</w:t>
      </w:r>
      <w:r>
        <w:rPr>
          <w:spacing w:val="-12"/>
        </w:rPr>
        <w:t> </w:t>
      </w:r>
      <w:r>
        <w:rPr/>
        <w:t>d’une</w:t>
      </w:r>
      <w:r>
        <w:rPr>
          <w:spacing w:val="-13"/>
        </w:rPr>
        <w:t> </w:t>
      </w:r>
      <w:r>
        <w:rPr/>
        <w:t>société de capitaux ou d’une société coopérative.</w:t>
      </w:r>
    </w:p>
    <w:p>
      <w:pPr>
        <w:pStyle w:val="BodyText"/>
        <w:spacing w:before="152"/>
      </w:pPr>
    </w:p>
    <w:p>
      <w:pPr>
        <w:pStyle w:val="Heading7"/>
        <w:jc w:val="both"/>
      </w:pPr>
      <w:r>
        <w:rPr>
          <w:color w:val="950000"/>
        </w:rPr>
        <w:t>Revenus provenant de brevets et de droits comparables</w:t>
      </w:r>
      <w:r>
        <w:rPr>
          <w:color w:val="950000"/>
          <w:spacing w:val="80"/>
          <w:w w:val="150"/>
        </w:rPr>
        <w:t> </w:t>
      </w:r>
      <w:r>
        <w:rPr>
          <w:color w:val="950000"/>
          <w:spacing w:val="-2"/>
        </w:rPr>
        <w:drawing>
          <wp:inline distT="0" distB="0" distL="0" distR="0">
            <wp:extent cx="201268" cy="114900"/>
            <wp:effectExtent l="0" t="0" r="0" b="0"/>
            <wp:docPr id="25" name="Image 25" descr="">
              <a:hlinkClick r:id="rId32"/>
            </wp:docPr>
            <wp:cNvGraphicFramePr>
              <a:graphicFrameLocks/>
            </wp:cNvGraphicFramePr>
            <a:graphic>
              <a:graphicData uri="http://schemas.openxmlformats.org/drawingml/2006/picture">
                <pic:pic>
                  <pic:nvPicPr>
                    <pic:cNvPr id="25" name="Image 25" descr="">
                      <a:hlinkClick r:id="rId32"/>
                    </pic:cNvPr>
                    <pic:cNvPicPr/>
                  </pic:nvPicPr>
                  <pic:blipFill>
                    <a:blip r:embed="rId11" cstate="print"/>
                    <a:stretch>
                      <a:fillRect/>
                    </a:stretch>
                  </pic:blipFill>
                  <pic:spPr>
                    <a:xfrm>
                      <a:off x="0" y="0"/>
                      <a:ext cx="201268" cy="114900"/>
                    </a:xfrm>
                    <a:prstGeom prst="rect">
                      <a:avLst/>
                    </a:prstGeom>
                  </pic:spPr>
                </pic:pic>
              </a:graphicData>
            </a:graphic>
          </wp:inline>
        </w:drawing>
      </w:r>
      <w:r>
        <w:rPr>
          <w:color w:val="950000"/>
          <w:spacing w:val="-2"/>
        </w:rPr>
      </w:r>
    </w:p>
    <w:p>
      <w:pPr>
        <w:pStyle w:val="Heading8"/>
        <w:spacing w:before="94"/>
      </w:pPr>
      <w:r>
        <w:rPr/>
        <w:t>Art.</w:t>
      </w:r>
      <w:r>
        <w:rPr>
          <w:spacing w:val="-3"/>
        </w:rPr>
        <w:t> </w:t>
      </w:r>
      <w:r>
        <w:rPr/>
        <w:t>21c </w:t>
      </w:r>
      <w:r>
        <w:rPr>
          <w:spacing w:val="-4"/>
        </w:rPr>
        <w:t>LCdir</w:t>
      </w:r>
    </w:p>
    <w:p>
      <w:pPr>
        <w:pStyle w:val="BodyText"/>
        <w:spacing w:before="59"/>
        <w:ind w:left="1134" w:right="700"/>
        <w:jc w:val="both"/>
      </w:pPr>
      <w:r>
        <w:rPr/>
        <w:t>Les</w:t>
      </w:r>
      <w:r>
        <w:rPr>
          <w:spacing w:val="-2"/>
        </w:rPr>
        <w:t> </w:t>
      </w:r>
      <w:r>
        <w:rPr/>
        <w:t>articles 87a</w:t>
      </w:r>
      <w:r>
        <w:rPr>
          <w:spacing w:val="-3"/>
        </w:rPr>
        <w:t> </w:t>
      </w:r>
      <w:r>
        <w:rPr/>
        <w:t>et</w:t>
      </w:r>
      <w:r>
        <w:rPr>
          <w:spacing w:val="-1"/>
        </w:rPr>
        <w:t> </w:t>
      </w:r>
      <w:r>
        <w:rPr/>
        <w:t>87b</w:t>
      </w:r>
      <w:r>
        <w:rPr>
          <w:spacing w:val="-3"/>
        </w:rPr>
        <w:t> </w:t>
      </w:r>
      <w:r>
        <w:rPr/>
        <w:t>s’appliquent</w:t>
      </w:r>
      <w:r>
        <w:rPr>
          <w:spacing w:val="-3"/>
        </w:rPr>
        <w:t> </w:t>
      </w:r>
      <w:r>
        <w:rPr/>
        <w:t>par</w:t>
      </w:r>
      <w:r>
        <w:rPr>
          <w:spacing w:val="-3"/>
        </w:rPr>
        <w:t> </w:t>
      </w:r>
      <w:r>
        <w:rPr/>
        <w:t>analogie aux</w:t>
      </w:r>
      <w:r>
        <w:rPr>
          <w:spacing w:val="-2"/>
        </w:rPr>
        <w:t> </w:t>
      </w:r>
      <w:r>
        <w:rPr/>
        <w:t>revenus provenant</w:t>
      </w:r>
      <w:r>
        <w:rPr>
          <w:spacing w:val="-3"/>
        </w:rPr>
        <w:t> </w:t>
      </w:r>
      <w:r>
        <w:rPr/>
        <w:t>de</w:t>
      </w:r>
      <w:r>
        <w:rPr>
          <w:spacing w:val="-3"/>
        </w:rPr>
        <w:t> </w:t>
      </w:r>
      <w:r>
        <w:rPr/>
        <w:t>brevets</w:t>
      </w:r>
      <w:r>
        <w:rPr>
          <w:spacing w:val="-2"/>
        </w:rPr>
        <w:t> </w:t>
      </w:r>
      <w:r>
        <w:rPr/>
        <w:t>et</w:t>
      </w:r>
      <w:r>
        <w:rPr>
          <w:spacing w:val="-3"/>
        </w:rPr>
        <w:t> </w:t>
      </w:r>
      <w:r>
        <w:rPr/>
        <w:t>de</w:t>
      </w:r>
      <w:r>
        <w:rPr>
          <w:spacing w:val="-3"/>
        </w:rPr>
        <w:t> </w:t>
      </w:r>
      <w:r>
        <w:rPr/>
        <w:t>droits</w:t>
      </w:r>
      <w:r>
        <w:rPr>
          <w:spacing w:val="-2"/>
        </w:rPr>
        <w:t> </w:t>
      </w:r>
      <w:r>
        <w:rPr/>
        <w:t>compa-rables en cas d’activité lucrative indépendante.</w:t>
      </w:r>
    </w:p>
    <w:p>
      <w:pPr>
        <w:pStyle w:val="BodyText"/>
        <w:spacing w:before="153"/>
      </w:pPr>
    </w:p>
    <w:p>
      <w:pPr>
        <w:pStyle w:val="Heading7"/>
        <w:jc w:val="both"/>
      </w:pPr>
      <w:r>
        <w:rPr>
          <w:color w:val="950000"/>
        </w:rPr>
        <w:t>Imposition</w:t>
      </w:r>
      <w:r>
        <w:rPr>
          <w:color w:val="950000"/>
          <w:spacing w:val="-2"/>
        </w:rPr>
        <w:t> </w:t>
      </w:r>
      <w:r>
        <w:rPr>
          <w:color w:val="950000"/>
        </w:rPr>
        <w:t>partielle</w:t>
      </w:r>
      <w:r>
        <w:rPr>
          <w:color w:val="950000"/>
          <w:spacing w:val="-2"/>
        </w:rPr>
        <w:t> </w:t>
      </w:r>
      <w:r>
        <w:rPr>
          <w:color w:val="950000"/>
        </w:rPr>
        <w:t>des revenus produits par les participations de</w:t>
      </w:r>
      <w:r>
        <w:rPr>
          <w:color w:val="950000"/>
          <w:spacing w:val="-2"/>
        </w:rPr>
        <w:t> </w:t>
      </w:r>
      <w:r>
        <w:rPr>
          <w:color w:val="950000"/>
        </w:rPr>
        <w:t>la</w:t>
      </w:r>
      <w:r>
        <w:rPr>
          <w:color w:val="950000"/>
          <w:spacing w:val="-2"/>
        </w:rPr>
        <w:t> </w:t>
      </w:r>
      <w:r>
        <w:rPr>
          <w:color w:val="950000"/>
        </w:rPr>
        <w:t>fortune privée</w:t>
      </w:r>
      <w:r>
        <w:rPr>
          <w:color w:val="950000"/>
          <w:spacing w:val="40"/>
        </w:rPr>
        <w:t> </w:t>
      </w:r>
      <w:r>
        <w:rPr>
          <w:color w:val="950000"/>
          <w:spacing w:val="1"/>
        </w:rPr>
        <w:drawing>
          <wp:inline distT="0" distB="0" distL="0" distR="0">
            <wp:extent cx="201261" cy="114934"/>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11" cstate="print"/>
                    <a:stretch>
                      <a:fillRect/>
                    </a:stretch>
                  </pic:blipFill>
                  <pic:spPr>
                    <a:xfrm>
                      <a:off x="0" y="0"/>
                      <a:ext cx="201261" cy="114934"/>
                    </a:xfrm>
                    <a:prstGeom prst="rect">
                      <a:avLst/>
                    </a:prstGeom>
                  </pic:spPr>
                </pic:pic>
              </a:graphicData>
            </a:graphic>
          </wp:inline>
        </w:drawing>
      </w:r>
      <w:r>
        <w:rPr>
          <w:color w:val="950000"/>
          <w:spacing w:val="1"/>
        </w:rPr>
      </w:r>
    </w:p>
    <w:p>
      <w:pPr>
        <w:pStyle w:val="Heading8"/>
        <w:spacing w:before="89"/>
      </w:pPr>
      <w:r>
        <w:rPr/>
        <w:t>Art.</w:t>
      </w:r>
      <w:r>
        <w:rPr>
          <w:spacing w:val="-1"/>
        </w:rPr>
        <w:t> </w:t>
      </w:r>
      <w:r>
        <w:rPr/>
        <w:t>23,</w:t>
      </w:r>
      <w:r>
        <w:rPr>
          <w:spacing w:val="-2"/>
        </w:rPr>
        <w:t> </w:t>
      </w:r>
      <w:r>
        <w:rPr/>
        <w:t>al.</w:t>
      </w:r>
      <w:r>
        <w:rPr>
          <w:spacing w:val="-2"/>
        </w:rPr>
        <w:t> </w:t>
      </w:r>
      <w:r>
        <w:rPr/>
        <w:t>1</w:t>
      </w:r>
      <w:r>
        <w:rPr>
          <w:position w:val="6"/>
          <w:sz w:val="12"/>
        </w:rPr>
        <w:t>bis</w:t>
      </w:r>
      <w:r>
        <w:rPr>
          <w:spacing w:val="16"/>
          <w:position w:val="6"/>
          <w:sz w:val="12"/>
        </w:rPr>
        <w:t> </w:t>
      </w:r>
      <w:r>
        <w:rPr>
          <w:spacing w:val="-4"/>
        </w:rPr>
        <w:t>LCdir</w:t>
      </w:r>
    </w:p>
    <w:p>
      <w:pPr>
        <w:pStyle w:val="BodyText"/>
        <w:spacing w:before="56"/>
        <w:ind w:left="1134" w:right="700"/>
        <w:jc w:val="both"/>
      </w:pPr>
      <w:r>
        <w:rPr>
          <w:position w:val="6"/>
          <w:sz w:val="12"/>
        </w:rPr>
        <w:t>1bis</w:t>
      </w:r>
      <w:r>
        <w:rPr>
          <w:spacing w:val="14"/>
          <w:position w:val="6"/>
          <w:sz w:val="12"/>
        </w:rPr>
        <w:t> </w:t>
      </w:r>
      <w:r>
        <w:rPr/>
        <w:t>Les</w:t>
      </w:r>
      <w:r>
        <w:rPr>
          <w:spacing w:val="-1"/>
        </w:rPr>
        <w:t> </w:t>
      </w:r>
      <w:r>
        <w:rPr/>
        <w:t>dividendes,</w:t>
      </w:r>
      <w:r>
        <w:rPr>
          <w:spacing w:val="-4"/>
        </w:rPr>
        <w:t> </w:t>
      </w:r>
      <w:r>
        <w:rPr/>
        <w:t>les</w:t>
      </w:r>
      <w:r>
        <w:rPr>
          <w:spacing w:val="-3"/>
        </w:rPr>
        <w:t> </w:t>
      </w:r>
      <w:r>
        <w:rPr/>
        <w:t>parts</w:t>
      </w:r>
      <w:r>
        <w:rPr>
          <w:spacing w:val="-3"/>
        </w:rPr>
        <w:t> </w:t>
      </w:r>
      <w:r>
        <w:rPr/>
        <w:t>de</w:t>
      </w:r>
      <w:r>
        <w:rPr>
          <w:spacing w:val="-1"/>
        </w:rPr>
        <w:t> </w:t>
      </w:r>
      <w:r>
        <w:rPr/>
        <w:t>bénéfice,</w:t>
      </w:r>
      <w:r>
        <w:rPr>
          <w:spacing w:val="-4"/>
        </w:rPr>
        <w:t> </w:t>
      </w:r>
      <w:r>
        <w:rPr/>
        <w:t>les</w:t>
      </w:r>
      <w:r>
        <w:rPr>
          <w:spacing w:val="-1"/>
        </w:rPr>
        <w:t> </w:t>
      </w:r>
      <w:r>
        <w:rPr/>
        <w:t>excédents</w:t>
      </w:r>
      <w:r>
        <w:rPr>
          <w:spacing w:val="-3"/>
        </w:rPr>
        <w:t> </w:t>
      </w:r>
      <w:r>
        <w:rPr/>
        <w:t>de</w:t>
      </w:r>
      <w:r>
        <w:rPr>
          <w:spacing w:val="-4"/>
        </w:rPr>
        <w:t> </w:t>
      </w:r>
      <w:r>
        <w:rPr/>
        <w:t>liquidation</w:t>
      </w:r>
      <w:r>
        <w:rPr>
          <w:spacing w:val="-1"/>
        </w:rPr>
        <w:t> </w:t>
      </w:r>
      <w:r>
        <w:rPr/>
        <w:t>et</w:t>
      </w:r>
      <w:r>
        <w:rPr>
          <w:spacing w:val="-4"/>
        </w:rPr>
        <w:t> </w:t>
      </w:r>
      <w:r>
        <w:rPr/>
        <w:t>les</w:t>
      </w:r>
      <w:r>
        <w:rPr>
          <w:spacing w:val="-1"/>
        </w:rPr>
        <w:t> </w:t>
      </w:r>
      <w:r>
        <w:rPr/>
        <w:t>avantages</w:t>
      </w:r>
      <w:r>
        <w:rPr>
          <w:spacing w:val="-3"/>
        </w:rPr>
        <w:t> </w:t>
      </w:r>
      <w:r>
        <w:rPr/>
        <w:t>appréciables</w:t>
      </w:r>
      <w:r>
        <w:rPr>
          <w:spacing w:val="-1"/>
        </w:rPr>
        <w:t> </w:t>
      </w:r>
      <w:r>
        <w:rPr/>
        <w:t>en argent provenant d’actions, de parts à des sociétés à responsabilité limitée, de parts à des sociétés coopératives</w:t>
      </w:r>
      <w:r>
        <w:rPr>
          <w:spacing w:val="-3"/>
        </w:rPr>
        <w:t> </w:t>
      </w:r>
      <w:r>
        <w:rPr/>
        <w:t>et</w:t>
      </w:r>
      <w:r>
        <w:rPr>
          <w:spacing w:val="-6"/>
        </w:rPr>
        <w:t> </w:t>
      </w:r>
      <w:r>
        <w:rPr/>
        <w:t>de</w:t>
      </w:r>
      <w:r>
        <w:rPr>
          <w:spacing w:val="-6"/>
        </w:rPr>
        <w:t> </w:t>
      </w:r>
      <w:r>
        <w:rPr/>
        <w:t>bons</w:t>
      </w:r>
      <w:r>
        <w:rPr>
          <w:spacing w:val="-3"/>
        </w:rPr>
        <w:t> </w:t>
      </w:r>
      <w:r>
        <w:rPr/>
        <w:t>de</w:t>
      </w:r>
      <w:r>
        <w:rPr>
          <w:spacing w:val="-6"/>
        </w:rPr>
        <w:t> </w:t>
      </w:r>
      <w:r>
        <w:rPr/>
        <w:t>participation</w:t>
      </w:r>
      <w:r>
        <w:rPr>
          <w:spacing w:val="-4"/>
        </w:rPr>
        <w:t> </w:t>
      </w:r>
      <w:r>
        <w:rPr/>
        <w:t>(y</w:t>
      </w:r>
      <w:r>
        <w:rPr>
          <w:spacing w:val="-3"/>
        </w:rPr>
        <w:t> </w:t>
      </w:r>
      <w:r>
        <w:rPr/>
        <w:t>compris</w:t>
      </w:r>
      <w:r>
        <w:rPr>
          <w:spacing w:val="-6"/>
        </w:rPr>
        <w:t> </w:t>
      </w:r>
      <w:r>
        <w:rPr/>
        <w:t>les</w:t>
      </w:r>
      <w:r>
        <w:rPr>
          <w:spacing w:val="-3"/>
        </w:rPr>
        <w:t> </w:t>
      </w:r>
      <w:r>
        <w:rPr/>
        <w:t>actions</w:t>
      </w:r>
      <w:r>
        <w:rPr>
          <w:spacing w:val="-3"/>
        </w:rPr>
        <w:t> </w:t>
      </w:r>
      <w:r>
        <w:rPr/>
        <w:t>gratuites,</w:t>
      </w:r>
      <w:r>
        <w:rPr>
          <w:spacing w:val="-7"/>
        </w:rPr>
        <w:t> </w:t>
      </w:r>
      <w:r>
        <w:rPr/>
        <w:t>les</w:t>
      </w:r>
      <w:r>
        <w:rPr>
          <w:spacing w:val="-6"/>
        </w:rPr>
        <w:t> </w:t>
      </w:r>
      <w:r>
        <w:rPr/>
        <w:t>augmentations</w:t>
      </w:r>
      <w:r>
        <w:rPr>
          <w:spacing w:val="-6"/>
        </w:rPr>
        <w:t> </w:t>
      </w:r>
      <w:r>
        <w:rPr/>
        <w:t>gratuites</w:t>
      </w:r>
      <w:r>
        <w:rPr>
          <w:spacing w:val="-6"/>
        </w:rPr>
        <w:t> </w:t>
      </w:r>
      <w:r>
        <w:rPr/>
        <w:t>de la</w:t>
      </w:r>
      <w:r>
        <w:rPr>
          <w:spacing w:val="-13"/>
        </w:rPr>
        <w:t> </w:t>
      </w:r>
      <w:r>
        <w:rPr/>
        <w:t>valeur</w:t>
      </w:r>
      <w:r>
        <w:rPr>
          <w:spacing w:val="-12"/>
        </w:rPr>
        <w:t> </w:t>
      </w:r>
      <w:r>
        <w:rPr/>
        <w:t>nominale,</w:t>
      </w:r>
      <w:r>
        <w:rPr>
          <w:spacing w:val="-13"/>
        </w:rPr>
        <w:t> </w:t>
      </w:r>
      <w:r>
        <w:rPr/>
        <w:t>etc.)</w:t>
      </w:r>
      <w:r>
        <w:rPr>
          <w:spacing w:val="-12"/>
        </w:rPr>
        <w:t> </w:t>
      </w:r>
      <w:r>
        <w:rPr/>
        <w:t>sont</w:t>
      </w:r>
      <w:r>
        <w:rPr>
          <w:spacing w:val="-13"/>
        </w:rPr>
        <w:t> </w:t>
      </w:r>
      <w:r>
        <w:rPr/>
        <w:t>imposables</w:t>
      </w:r>
      <w:r>
        <w:rPr>
          <w:spacing w:val="-13"/>
        </w:rPr>
        <w:t> </w:t>
      </w:r>
      <w:r>
        <w:rPr/>
        <w:t>à</w:t>
      </w:r>
      <w:r>
        <w:rPr>
          <w:spacing w:val="-12"/>
        </w:rPr>
        <w:t> </w:t>
      </w:r>
      <w:r>
        <w:rPr/>
        <w:t>hauteur</w:t>
      </w:r>
      <w:r>
        <w:rPr>
          <w:spacing w:val="-13"/>
        </w:rPr>
        <w:t> </w:t>
      </w:r>
      <w:r>
        <w:rPr/>
        <w:t>de</w:t>
      </w:r>
      <w:r>
        <w:rPr>
          <w:spacing w:val="-12"/>
        </w:rPr>
        <w:t> </w:t>
      </w:r>
      <w:r>
        <w:rPr/>
        <w:t>60%,</w:t>
      </w:r>
      <w:r>
        <w:rPr>
          <w:spacing w:val="-13"/>
        </w:rPr>
        <w:t> </w:t>
      </w:r>
      <w:r>
        <w:rPr/>
        <w:t>lorsque</w:t>
      </w:r>
      <w:r>
        <w:rPr>
          <w:spacing w:val="-12"/>
        </w:rPr>
        <w:t> </w:t>
      </w:r>
      <w:r>
        <w:rPr/>
        <w:t>ces</w:t>
      </w:r>
      <w:r>
        <w:rPr>
          <w:spacing w:val="-13"/>
        </w:rPr>
        <w:t> </w:t>
      </w:r>
      <w:r>
        <w:rPr/>
        <w:t>droits</w:t>
      </w:r>
      <w:r>
        <w:rPr>
          <w:spacing w:val="-12"/>
        </w:rPr>
        <w:t> </w:t>
      </w:r>
      <w:r>
        <w:rPr/>
        <w:t>de</w:t>
      </w:r>
      <w:r>
        <w:rPr>
          <w:spacing w:val="-13"/>
        </w:rPr>
        <w:t> </w:t>
      </w:r>
      <w:r>
        <w:rPr/>
        <w:t>participation</w:t>
      </w:r>
      <w:r>
        <w:rPr>
          <w:spacing w:val="-12"/>
        </w:rPr>
        <w:t> </w:t>
      </w:r>
      <w:r>
        <w:rPr/>
        <w:t>équivalent à 10% au moins du capital-actions ou du capital social d’une société de capitaux ou d’une société coo-</w:t>
      </w:r>
      <w:r>
        <w:rPr>
          <w:spacing w:val="-2"/>
        </w:rPr>
        <w:t>pérative.</w:t>
      </w:r>
    </w:p>
    <w:p>
      <w:pPr>
        <w:pStyle w:val="BodyText"/>
        <w:spacing w:after="0"/>
        <w:jc w:val="both"/>
        <w:sectPr>
          <w:headerReference w:type="default" r:id="rId26"/>
          <w:footerReference w:type="default" r:id="rId27"/>
          <w:pgSz w:w="11910" w:h="16840"/>
          <w:pgMar w:header="724" w:footer="687" w:top="960" w:bottom="880" w:left="850" w:right="992"/>
        </w:sectPr>
      </w:pPr>
    </w:p>
    <w:p>
      <w:pPr>
        <w:pStyle w:val="BodyText"/>
        <w:spacing w:before="211"/>
        <w:rPr>
          <w:sz w:val="20"/>
        </w:rPr>
      </w:pPr>
    </w:p>
    <w:p>
      <w:pPr>
        <w:pStyle w:val="Heading7"/>
        <w:jc w:val="both"/>
      </w:pPr>
      <w:r>
        <w:rPr>
          <w:color w:val="950000"/>
        </w:rPr>
        <w:t>Valeur locative</w:t>
      </w:r>
      <w:r>
        <w:rPr>
          <w:color w:val="950000"/>
          <w:spacing w:val="80"/>
        </w:rPr>
        <w:t> </w:t>
      </w:r>
      <w:r>
        <w:rPr>
          <w:color w:val="950000"/>
          <w:spacing w:val="1"/>
        </w:rPr>
        <w:drawing>
          <wp:inline distT="0" distB="0" distL="0" distR="0">
            <wp:extent cx="201244" cy="114902"/>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11" cstate="print"/>
                    <a:stretch>
                      <a:fillRect/>
                    </a:stretch>
                  </pic:blipFill>
                  <pic:spPr>
                    <a:xfrm>
                      <a:off x="0" y="0"/>
                      <a:ext cx="201244" cy="114902"/>
                    </a:xfrm>
                    <a:prstGeom prst="rect">
                      <a:avLst/>
                    </a:prstGeom>
                  </pic:spPr>
                </pic:pic>
              </a:graphicData>
            </a:graphic>
          </wp:inline>
        </w:drawing>
      </w:r>
      <w:r>
        <w:rPr>
          <w:color w:val="950000"/>
          <w:spacing w:val="1"/>
        </w:rPr>
      </w:r>
    </w:p>
    <w:p>
      <w:pPr>
        <w:pStyle w:val="Heading8"/>
        <w:spacing w:before="94"/>
      </w:pPr>
      <w:r>
        <w:rPr/>
        <w:t>Art.</w:t>
      </w:r>
      <w:r>
        <w:rPr>
          <w:spacing w:val="-1"/>
        </w:rPr>
        <w:t> </w:t>
      </w:r>
      <w:r>
        <w:rPr/>
        <w:t>24, al.</w:t>
      </w:r>
      <w:r>
        <w:rPr>
          <w:spacing w:val="-3"/>
        </w:rPr>
        <w:t> </w:t>
      </w:r>
      <w:r>
        <w:rPr/>
        <w:t>1, let.</w:t>
      </w:r>
      <w:r>
        <w:rPr>
          <w:spacing w:val="-1"/>
        </w:rPr>
        <w:t> </w:t>
      </w:r>
      <w:r>
        <w:rPr/>
        <w:t>b</w:t>
      </w:r>
      <w:r>
        <w:rPr>
          <w:spacing w:val="-2"/>
        </w:rPr>
        <w:t> </w:t>
      </w:r>
      <w:r>
        <w:rPr/>
        <w:t>et</w:t>
      </w:r>
      <w:r>
        <w:rPr>
          <w:spacing w:val="-1"/>
        </w:rPr>
        <w:t> </w:t>
      </w:r>
      <w:r>
        <w:rPr/>
        <w:t>al.</w:t>
      </w:r>
      <w:r>
        <w:rPr>
          <w:spacing w:val="-2"/>
        </w:rPr>
        <w:t> </w:t>
      </w:r>
      <w:r>
        <w:rPr/>
        <w:t>2</w:t>
      </w:r>
      <w:r>
        <w:rPr>
          <w:spacing w:val="1"/>
        </w:rPr>
        <w:t> </w:t>
      </w:r>
      <w:r>
        <w:rPr>
          <w:spacing w:val="-2"/>
        </w:rPr>
        <w:t>LCdir</w:t>
      </w:r>
    </w:p>
    <w:p>
      <w:pPr>
        <w:pStyle w:val="BodyText"/>
        <w:spacing w:before="55"/>
        <w:ind w:left="1134"/>
        <w:jc w:val="both"/>
      </w:pPr>
      <w:r>
        <w:rPr>
          <w:position w:val="6"/>
          <w:sz w:val="12"/>
        </w:rPr>
        <w:t>1</w:t>
      </w:r>
      <w:r>
        <w:rPr>
          <w:spacing w:val="15"/>
          <w:position w:val="6"/>
          <w:sz w:val="12"/>
        </w:rPr>
        <w:t> </w:t>
      </w:r>
      <w:r>
        <w:rPr/>
        <w:t>Le</w:t>
      </w:r>
      <w:r>
        <w:rPr>
          <w:spacing w:val="-1"/>
        </w:rPr>
        <w:t> </w:t>
      </w:r>
      <w:r>
        <w:rPr/>
        <w:t>rendement</w:t>
      </w:r>
      <w:r>
        <w:rPr>
          <w:spacing w:val="-4"/>
        </w:rPr>
        <w:t> </w:t>
      </w:r>
      <w:r>
        <w:rPr/>
        <w:t>de</w:t>
      </w:r>
      <w:r>
        <w:rPr>
          <w:spacing w:val="-4"/>
        </w:rPr>
        <w:t> </w:t>
      </w:r>
      <w:r>
        <w:rPr/>
        <w:t>la</w:t>
      </w:r>
      <w:r>
        <w:rPr>
          <w:spacing w:val="-1"/>
        </w:rPr>
        <w:t> </w:t>
      </w:r>
      <w:r>
        <w:rPr/>
        <w:t>fortune</w:t>
      </w:r>
      <w:r>
        <w:rPr>
          <w:spacing w:val="-1"/>
        </w:rPr>
        <w:t> </w:t>
      </w:r>
      <w:r>
        <w:rPr/>
        <w:t>immobilière</w:t>
      </w:r>
      <w:r>
        <w:rPr>
          <w:spacing w:val="-4"/>
        </w:rPr>
        <w:t> </w:t>
      </w:r>
      <w:r>
        <w:rPr/>
        <w:t>est</w:t>
      </w:r>
      <w:r>
        <w:rPr>
          <w:spacing w:val="-4"/>
        </w:rPr>
        <w:t> </w:t>
      </w:r>
      <w:r>
        <w:rPr/>
        <w:t>imposable,</w:t>
      </w:r>
      <w:r>
        <w:rPr>
          <w:spacing w:val="-2"/>
        </w:rPr>
        <w:t> </w:t>
      </w:r>
      <w:r>
        <w:rPr/>
        <w:t>en</w:t>
      </w:r>
      <w:r>
        <w:rPr>
          <w:spacing w:val="-6"/>
        </w:rPr>
        <w:t> </w:t>
      </w:r>
      <w:r>
        <w:rPr/>
        <w:t>particulier</w:t>
      </w:r>
      <w:r>
        <w:rPr>
          <w:spacing w:val="-1"/>
        </w:rPr>
        <w:t> </w:t>
      </w:r>
      <w:r>
        <w:rPr>
          <w:spacing w:val="-10"/>
        </w:rPr>
        <w:t>:</w:t>
      </w:r>
    </w:p>
    <w:p>
      <w:pPr>
        <w:pStyle w:val="BodyText"/>
        <w:spacing w:before="40"/>
        <w:ind w:left="1559" w:right="706" w:hanging="425"/>
        <w:jc w:val="both"/>
      </w:pPr>
      <w:r>
        <w:rPr/>
        <w:t>b)</w:t>
      </w:r>
      <w:r>
        <w:rPr>
          <w:spacing w:val="79"/>
        </w:rPr>
        <w:t>  </w:t>
      </w:r>
      <w:r>
        <w:rPr/>
        <w:t>la</w:t>
      </w:r>
      <w:r>
        <w:rPr>
          <w:spacing w:val="-8"/>
        </w:rPr>
        <w:t> </w:t>
      </w:r>
      <w:r>
        <w:rPr/>
        <w:t>valeur</w:t>
      </w:r>
      <w:r>
        <w:rPr>
          <w:spacing w:val="-8"/>
        </w:rPr>
        <w:t> </w:t>
      </w:r>
      <w:r>
        <w:rPr/>
        <w:t>locative</w:t>
      </w:r>
      <w:r>
        <w:rPr>
          <w:spacing w:val="-8"/>
        </w:rPr>
        <w:t> </w:t>
      </w:r>
      <w:r>
        <w:rPr/>
        <w:t>des</w:t>
      </w:r>
      <w:r>
        <w:rPr>
          <w:spacing w:val="-5"/>
        </w:rPr>
        <w:t> </w:t>
      </w:r>
      <w:r>
        <w:rPr/>
        <w:t>immeubles</w:t>
      </w:r>
      <w:r>
        <w:rPr>
          <w:spacing w:val="-7"/>
        </w:rPr>
        <w:t> </w:t>
      </w:r>
      <w:r>
        <w:rPr/>
        <w:t>ou</w:t>
      </w:r>
      <w:r>
        <w:rPr>
          <w:spacing w:val="-8"/>
        </w:rPr>
        <w:t> </w:t>
      </w:r>
      <w:r>
        <w:rPr/>
        <w:t>de</w:t>
      </w:r>
      <w:r>
        <w:rPr>
          <w:spacing w:val="-8"/>
        </w:rPr>
        <w:t> </w:t>
      </w:r>
      <w:r>
        <w:rPr/>
        <w:t>parties</w:t>
      </w:r>
      <w:r>
        <w:rPr>
          <w:spacing w:val="-7"/>
        </w:rPr>
        <w:t> </w:t>
      </w:r>
      <w:r>
        <w:rPr/>
        <w:t>d'immeubles</w:t>
      </w:r>
      <w:r>
        <w:rPr>
          <w:spacing w:val="-10"/>
        </w:rPr>
        <w:t> </w:t>
      </w:r>
      <w:r>
        <w:rPr/>
        <w:t>dont</w:t>
      </w:r>
      <w:r>
        <w:rPr>
          <w:spacing w:val="-8"/>
        </w:rPr>
        <w:t> </w:t>
      </w:r>
      <w:r>
        <w:rPr/>
        <w:t>le</w:t>
      </w:r>
      <w:r>
        <w:rPr>
          <w:spacing w:val="-8"/>
        </w:rPr>
        <w:t> </w:t>
      </w:r>
      <w:r>
        <w:rPr/>
        <w:t>contribuable</w:t>
      </w:r>
      <w:r>
        <w:rPr>
          <w:spacing w:val="-8"/>
        </w:rPr>
        <w:t> </w:t>
      </w:r>
      <w:r>
        <w:rPr/>
        <w:t>se</w:t>
      </w:r>
      <w:r>
        <w:rPr>
          <w:spacing w:val="-8"/>
        </w:rPr>
        <w:t> </w:t>
      </w:r>
      <w:r>
        <w:rPr/>
        <w:t>réserve</w:t>
      </w:r>
      <w:r>
        <w:rPr>
          <w:spacing w:val="-8"/>
        </w:rPr>
        <w:t> </w:t>
      </w:r>
      <w:r>
        <w:rPr/>
        <w:t>l'usage en raison de son droit de propriété ou d'un droit de jouissance obtenu à titre gratuit ;</w:t>
      </w:r>
    </w:p>
    <w:p>
      <w:pPr>
        <w:pStyle w:val="BodyText"/>
        <w:spacing w:before="36"/>
        <w:ind w:left="1134" w:right="703"/>
        <w:jc w:val="both"/>
      </w:pPr>
      <w:r>
        <w:rPr>
          <w:position w:val="6"/>
          <w:sz w:val="12"/>
        </w:rPr>
        <w:t>2</w:t>
      </w:r>
      <w:r>
        <w:rPr>
          <w:spacing w:val="22"/>
          <w:position w:val="6"/>
          <w:sz w:val="12"/>
        </w:rPr>
        <w:t> </w:t>
      </w:r>
      <w:r>
        <w:rPr/>
        <w:t>Le Conseil d'Etat fixe les normes pour le calcul de la valeur locative de sorte que, en règle générale, elle</w:t>
      </w:r>
      <w:r>
        <w:rPr>
          <w:spacing w:val="-13"/>
        </w:rPr>
        <w:t> </w:t>
      </w:r>
      <w:r>
        <w:rPr/>
        <w:t>corresponde</w:t>
      </w:r>
      <w:r>
        <w:rPr>
          <w:spacing w:val="-11"/>
        </w:rPr>
        <w:t> </w:t>
      </w:r>
      <w:r>
        <w:rPr/>
        <w:t>au</w:t>
      </w:r>
      <w:r>
        <w:rPr>
          <w:spacing w:val="-11"/>
        </w:rPr>
        <w:t> </w:t>
      </w:r>
      <w:r>
        <w:rPr/>
        <w:t>70%</w:t>
      </w:r>
      <w:r>
        <w:rPr>
          <w:spacing w:val="-11"/>
        </w:rPr>
        <w:t> </w:t>
      </w:r>
      <w:r>
        <w:rPr/>
        <w:t>des</w:t>
      </w:r>
      <w:r>
        <w:rPr>
          <w:spacing w:val="-10"/>
        </w:rPr>
        <w:t> </w:t>
      </w:r>
      <w:r>
        <w:rPr/>
        <w:t>prestations</w:t>
      </w:r>
      <w:r>
        <w:rPr>
          <w:spacing w:val="-10"/>
        </w:rPr>
        <w:t> </w:t>
      </w:r>
      <w:r>
        <w:rPr/>
        <w:t>que</w:t>
      </w:r>
      <w:r>
        <w:rPr>
          <w:spacing w:val="-11"/>
        </w:rPr>
        <w:t> </w:t>
      </w:r>
      <w:r>
        <w:rPr/>
        <w:t>le</w:t>
      </w:r>
      <w:r>
        <w:rPr>
          <w:spacing w:val="-13"/>
        </w:rPr>
        <w:t> </w:t>
      </w:r>
      <w:r>
        <w:rPr/>
        <w:t>contribuable</w:t>
      </w:r>
      <w:r>
        <w:rPr>
          <w:spacing w:val="-10"/>
        </w:rPr>
        <w:t> </w:t>
      </w:r>
      <w:r>
        <w:rPr/>
        <w:t>devrait</w:t>
      </w:r>
      <w:r>
        <w:rPr>
          <w:spacing w:val="-11"/>
        </w:rPr>
        <w:t> </w:t>
      </w:r>
      <w:r>
        <w:rPr/>
        <w:t>verser</w:t>
      </w:r>
      <w:r>
        <w:rPr>
          <w:spacing w:val="-13"/>
        </w:rPr>
        <w:t> </w:t>
      </w:r>
      <w:r>
        <w:rPr/>
        <w:t>à</w:t>
      </w:r>
      <w:r>
        <w:rPr>
          <w:spacing w:val="-10"/>
        </w:rPr>
        <w:t> </w:t>
      </w:r>
      <w:r>
        <w:rPr/>
        <w:t>titre</w:t>
      </w:r>
      <w:r>
        <w:rPr>
          <w:spacing w:val="-11"/>
        </w:rPr>
        <w:t> </w:t>
      </w:r>
      <w:r>
        <w:rPr/>
        <w:t>de</w:t>
      </w:r>
      <w:r>
        <w:rPr>
          <w:spacing w:val="-11"/>
        </w:rPr>
        <w:t> </w:t>
      </w:r>
      <w:r>
        <w:rPr/>
        <w:t>loyer</w:t>
      </w:r>
      <w:r>
        <w:rPr>
          <w:spacing w:val="-12"/>
        </w:rPr>
        <w:t> </w:t>
      </w:r>
      <w:r>
        <w:rPr/>
        <w:t>ou</w:t>
      </w:r>
      <w:r>
        <w:rPr>
          <w:spacing w:val="-11"/>
        </w:rPr>
        <w:t> </w:t>
      </w:r>
      <w:r>
        <w:rPr/>
        <w:t>de</w:t>
      </w:r>
      <w:r>
        <w:rPr>
          <w:spacing w:val="-11"/>
        </w:rPr>
        <w:t> </w:t>
      </w:r>
      <w:r>
        <w:rPr/>
        <w:t>fermage pour des locaux de même nature et se trouvant dans la même situation, notamment quant à leur lieu d'implantation, à leur grandeur, à leur aménagement et à leur état d'entretien.</w:t>
      </w:r>
    </w:p>
    <w:p>
      <w:pPr>
        <w:pStyle w:val="Heading8"/>
      </w:pPr>
      <w:r>
        <w:rPr/>
        <w:t>Art.</w:t>
      </w:r>
      <w:r>
        <w:rPr>
          <w:spacing w:val="-1"/>
        </w:rPr>
        <w:t> </w:t>
      </w:r>
      <w:r>
        <w:rPr/>
        <w:t>12 </w:t>
      </w:r>
      <w:r>
        <w:rPr>
          <w:spacing w:val="-2"/>
        </w:rPr>
        <w:t>RELCdir</w:t>
      </w:r>
    </w:p>
    <w:p>
      <w:pPr>
        <w:pStyle w:val="BodyText"/>
        <w:spacing w:before="58"/>
        <w:ind w:left="1134" w:right="703"/>
        <w:jc w:val="both"/>
      </w:pPr>
      <w:r>
        <w:rPr>
          <w:position w:val="6"/>
          <w:sz w:val="12"/>
        </w:rPr>
        <w:t>1</w:t>
      </w:r>
      <w:r>
        <w:rPr>
          <w:spacing w:val="27"/>
          <w:position w:val="6"/>
          <w:sz w:val="12"/>
        </w:rPr>
        <w:t> </w:t>
      </w:r>
      <w:r>
        <w:rPr/>
        <w:t>La valeur locative d'une maison familiale ou d'un appartement soumis au régime de la propriété par étage</w:t>
      </w:r>
      <w:r>
        <w:rPr>
          <w:spacing w:val="-3"/>
        </w:rPr>
        <w:t> </w:t>
      </w:r>
      <w:r>
        <w:rPr/>
        <w:t>est</w:t>
      </w:r>
      <w:r>
        <w:rPr>
          <w:spacing w:val="-3"/>
        </w:rPr>
        <w:t> </w:t>
      </w:r>
      <w:r>
        <w:rPr/>
        <w:t>déterminée</w:t>
      </w:r>
      <w:r>
        <w:rPr>
          <w:spacing w:val="-3"/>
        </w:rPr>
        <w:t> </w:t>
      </w:r>
      <w:r>
        <w:rPr/>
        <w:t>en</w:t>
      </w:r>
      <w:r>
        <w:rPr>
          <w:spacing w:val="-3"/>
        </w:rPr>
        <w:t> </w:t>
      </w:r>
      <w:r>
        <w:rPr/>
        <w:t>règle</w:t>
      </w:r>
      <w:r>
        <w:rPr>
          <w:spacing w:val="-5"/>
        </w:rPr>
        <w:t> </w:t>
      </w:r>
      <w:r>
        <w:rPr/>
        <w:t>générale</w:t>
      </w:r>
      <w:r>
        <w:rPr>
          <w:spacing w:val="-3"/>
        </w:rPr>
        <w:t> </w:t>
      </w:r>
      <w:r>
        <w:rPr/>
        <w:t>sur</w:t>
      </w:r>
      <w:r>
        <w:rPr>
          <w:spacing w:val="-3"/>
        </w:rPr>
        <w:t> </w:t>
      </w:r>
      <w:r>
        <w:rPr/>
        <w:t>la</w:t>
      </w:r>
      <w:r>
        <w:rPr>
          <w:spacing w:val="-3"/>
        </w:rPr>
        <w:t> </w:t>
      </w:r>
      <w:r>
        <w:rPr/>
        <w:t>base</w:t>
      </w:r>
      <w:r>
        <w:rPr>
          <w:spacing w:val="-3"/>
        </w:rPr>
        <w:t> </w:t>
      </w:r>
      <w:r>
        <w:rPr/>
        <w:t>du</w:t>
      </w:r>
      <w:r>
        <w:rPr>
          <w:spacing w:val="-3"/>
        </w:rPr>
        <w:t> </w:t>
      </w:r>
      <w:r>
        <w:rPr/>
        <w:t>rendement</w:t>
      </w:r>
      <w:r>
        <w:rPr>
          <w:spacing w:val="-3"/>
        </w:rPr>
        <w:t> </w:t>
      </w:r>
      <w:r>
        <w:rPr/>
        <w:t>locatif</w:t>
      </w:r>
      <w:r>
        <w:rPr>
          <w:spacing w:val="-3"/>
        </w:rPr>
        <w:t> </w:t>
      </w:r>
      <w:r>
        <w:rPr/>
        <w:t>brut</w:t>
      </w:r>
      <w:r>
        <w:rPr>
          <w:spacing w:val="-3"/>
        </w:rPr>
        <w:t> </w:t>
      </w:r>
      <w:r>
        <w:rPr/>
        <w:t>en</w:t>
      </w:r>
      <w:r>
        <w:rPr>
          <w:spacing w:val="-3"/>
        </w:rPr>
        <w:t> </w:t>
      </w:r>
      <w:r>
        <w:rPr/>
        <w:t>fonction</w:t>
      </w:r>
      <w:r>
        <w:rPr>
          <w:spacing w:val="-3"/>
        </w:rPr>
        <w:t> </w:t>
      </w:r>
      <w:r>
        <w:rPr/>
        <w:t>de</w:t>
      </w:r>
      <w:r>
        <w:rPr>
          <w:spacing w:val="-5"/>
        </w:rPr>
        <w:t> </w:t>
      </w:r>
      <w:r>
        <w:rPr/>
        <w:t>l'estimation </w:t>
      </w:r>
      <w:r>
        <w:rPr>
          <w:spacing w:val="-2"/>
        </w:rPr>
        <w:t>cadastrale.</w:t>
      </w:r>
    </w:p>
    <w:p>
      <w:pPr>
        <w:pStyle w:val="BodyText"/>
        <w:spacing w:before="35"/>
        <w:ind w:left="1134" w:right="703"/>
        <w:jc w:val="both"/>
      </w:pPr>
      <w:r>
        <w:rPr>
          <w:position w:val="6"/>
          <w:sz w:val="12"/>
        </w:rPr>
        <w:t>2</w:t>
      </w:r>
      <w:r>
        <w:rPr>
          <w:spacing w:val="14"/>
          <w:position w:val="6"/>
          <w:sz w:val="12"/>
        </w:rPr>
        <w:t> </w:t>
      </w:r>
      <w:r>
        <w:rPr/>
        <w:t>La</w:t>
      </w:r>
      <w:r>
        <w:rPr>
          <w:spacing w:val="-5"/>
        </w:rPr>
        <w:t> </w:t>
      </w:r>
      <w:r>
        <w:rPr/>
        <w:t>valeur</w:t>
      </w:r>
      <w:r>
        <w:rPr>
          <w:spacing w:val="-6"/>
        </w:rPr>
        <w:t> </w:t>
      </w:r>
      <w:r>
        <w:rPr/>
        <w:t>locative</w:t>
      </w:r>
      <w:r>
        <w:rPr>
          <w:spacing w:val="-5"/>
        </w:rPr>
        <w:t> </w:t>
      </w:r>
      <w:r>
        <w:rPr/>
        <w:t>brute</w:t>
      </w:r>
      <w:r>
        <w:rPr>
          <w:spacing w:val="-3"/>
        </w:rPr>
        <w:t> </w:t>
      </w:r>
      <w:r>
        <w:rPr/>
        <w:t>définie</w:t>
      </w:r>
      <w:r>
        <w:rPr>
          <w:spacing w:val="-3"/>
        </w:rPr>
        <w:t> </w:t>
      </w:r>
      <w:r>
        <w:rPr/>
        <w:t>à</w:t>
      </w:r>
      <w:r>
        <w:rPr>
          <w:spacing w:val="-5"/>
        </w:rPr>
        <w:t> </w:t>
      </w:r>
      <w:r>
        <w:rPr/>
        <w:t>l'alinéa</w:t>
      </w:r>
      <w:r>
        <w:rPr>
          <w:spacing w:val="-5"/>
        </w:rPr>
        <w:t> </w:t>
      </w:r>
      <w:r>
        <w:rPr/>
        <w:t>1</w:t>
      </w:r>
      <w:r>
        <w:rPr>
          <w:spacing w:val="-5"/>
        </w:rPr>
        <w:t> </w:t>
      </w:r>
      <w:r>
        <w:rPr/>
        <w:t>est</w:t>
      </w:r>
      <w:r>
        <w:rPr>
          <w:spacing w:val="-5"/>
        </w:rPr>
        <w:t> </w:t>
      </w:r>
      <w:r>
        <w:rPr/>
        <w:t>calculée</w:t>
      </w:r>
      <w:r>
        <w:rPr>
          <w:spacing w:val="-5"/>
        </w:rPr>
        <w:t> </w:t>
      </w:r>
      <w:r>
        <w:rPr/>
        <w:t>en</w:t>
      </w:r>
      <w:r>
        <w:rPr>
          <w:spacing w:val="-5"/>
        </w:rPr>
        <w:t> </w:t>
      </w:r>
      <w:r>
        <w:rPr/>
        <w:t>pour-cent</w:t>
      </w:r>
      <w:r>
        <w:rPr>
          <w:spacing w:val="-6"/>
        </w:rPr>
        <w:t> </w:t>
      </w:r>
      <w:r>
        <w:rPr/>
        <w:t>de</w:t>
      </w:r>
      <w:r>
        <w:rPr>
          <w:spacing w:val="-5"/>
        </w:rPr>
        <w:t> </w:t>
      </w:r>
      <w:r>
        <w:rPr/>
        <w:t>l'estimation</w:t>
      </w:r>
      <w:r>
        <w:rPr>
          <w:spacing w:val="-5"/>
        </w:rPr>
        <w:t> </w:t>
      </w:r>
      <w:r>
        <w:rPr/>
        <w:t>cadastrale</w:t>
      </w:r>
      <w:r>
        <w:rPr>
          <w:spacing w:val="-5"/>
        </w:rPr>
        <w:t> </w:t>
      </w:r>
      <w:r>
        <w:rPr/>
        <w:t>selon</w:t>
      </w:r>
      <w:r>
        <w:rPr>
          <w:spacing w:val="-5"/>
        </w:rPr>
        <w:t> </w:t>
      </w:r>
      <w:r>
        <w:rPr/>
        <w:t>le barème suivant:</w:t>
      </w:r>
    </w:p>
    <w:p>
      <w:pPr>
        <w:pStyle w:val="BodyText"/>
        <w:spacing w:before="6"/>
        <w:rPr>
          <w:sz w:val="7"/>
        </w:rPr>
      </w:pP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9"/>
        <w:gridCol w:w="1859"/>
        <w:gridCol w:w="1139"/>
        <w:gridCol w:w="2140"/>
        <w:gridCol w:w="1056"/>
      </w:tblGrid>
      <w:tr>
        <w:trPr>
          <w:trHeight w:val="244" w:hRule="atLeast"/>
        </w:trPr>
        <w:tc>
          <w:tcPr>
            <w:tcW w:w="2968" w:type="dxa"/>
            <w:gridSpan w:val="2"/>
          </w:tcPr>
          <w:p>
            <w:pPr>
              <w:pStyle w:val="TableParagraph"/>
              <w:spacing w:line="201" w:lineRule="exact"/>
              <w:ind w:left="50"/>
              <w:jc w:val="left"/>
              <w:rPr>
                <w:sz w:val="18"/>
              </w:rPr>
            </w:pPr>
            <w:r>
              <w:rPr>
                <w:sz w:val="18"/>
              </w:rPr>
              <w:t>Part</w:t>
            </w:r>
            <w:r>
              <w:rPr>
                <w:spacing w:val="-2"/>
                <w:sz w:val="18"/>
              </w:rPr>
              <w:t> </w:t>
            </w:r>
            <w:r>
              <w:rPr>
                <w:sz w:val="18"/>
              </w:rPr>
              <w:t>de</w:t>
            </w:r>
            <w:r>
              <w:rPr>
                <w:spacing w:val="-4"/>
                <w:sz w:val="18"/>
              </w:rPr>
              <w:t> </w:t>
            </w:r>
            <w:r>
              <w:rPr>
                <w:sz w:val="18"/>
              </w:rPr>
              <w:t>l’estimation</w:t>
            </w:r>
            <w:r>
              <w:rPr>
                <w:spacing w:val="-3"/>
                <w:sz w:val="18"/>
              </w:rPr>
              <w:t> </w:t>
            </w:r>
            <w:r>
              <w:rPr>
                <w:spacing w:val="-2"/>
                <w:sz w:val="18"/>
              </w:rPr>
              <w:t>cadastrale</w:t>
            </w:r>
          </w:p>
        </w:tc>
        <w:tc>
          <w:tcPr>
            <w:tcW w:w="1139" w:type="dxa"/>
          </w:tcPr>
          <w:p>
            <w:pPr>
              <w:pStyle w:val="TableParagraph"/>
              <w:spacing w:line="240" w:lineRule="auto"/>
              <w:jc w:val="left"/>
              <w:rPr>
                <w:rFonts w:ascii="Times New Roman"/>
                <w:sz w:val="16"/>
              </w:rPr>
            </w:pPr>
          </w:p>
        </w:tc>
        <w:tc>
          <w:tcPr>
            <w:tcW w:w="2140" w:type="dxa"/>
          </w:tcPr>
          <w:p>
            <w:pPr>
              <w:pStyle w:val="TableParagraph"/>
              <w:spacing w:line="240" w:lineRule="auto"/>
              <w:jc w:val="left"/>
              <w:rPr>
                <w:rFonts w:ascii="Times New Roman"/>
                <w:sz w:val="16"/>
              </w:rPr>
            </w:pPr>
          </w:p>
        </w:tc>
        <w:tc>
          <w:tcPr>
            <w:tcW w:w="1056" w:type="dxa"/>
          </w:tcPr>
          <w:p>
            <w:pPr>
              <w:pStyle w:val="TableParagraph"/>
              <w:spacing w:line="201" w:lineRule="exact"/>
              <w:ind w:left="652"/>
              <w:jc w:val="left"/>
              <w:rPr>
                <w:sz w:val="18"/>
              </w:rPr>
            </w:pPr>
            <w:r>
              <w:rPr>
                <w:spacing w:val="-10"/>
                <w:sz w:val="18"/>
              </w:rPr>
              <w:t>%</w:t>
            </w:r>
          </w:p>
        </w:tc>
      </w:tr>
      <w:tr>
        <w:trPr>
          <w:trHeight w:val="286" w:hRule="atLeast"/>
        </w:trPr>
        <w:tc>
          <w:tcPr>
            <w:tcW w:w="1109" w:type="dxa"/>
          </w:tcPr>
          <w:p>
            <w:pPr>
              <w:pStyle w:val="TableParagraph"/>
              <w:spacing w:line="240" w:lineRule="auto" w:before="37"/>
              <w:ind w:left="50"/>
              <w:jc w:val="left"/>
              <w:rPr>
                <w:sz w:val="18"/>
              </w:rPr>
            </w:pPr>
            <w:r>
              <w:rPr>
                <w:spacing w:val="-5"/>
                <w:sz w:val="18"/>
              </w:rPr>
              <w:t>de</w:t>
            </w:r>
          </w:p>
        </w:tc>
        <w:tc>
          <w:tcPr>
            <w:tcW w:w="1859" w:type="dxa"/>
          </w:tcPr>
          <w:p>
            <w:pPr>
              <w:pStyle w:val="TableParagraph"/>
              <w:spacing w:line="240" w:lineRule="auto" w:before="37"/>
              <w:ind w:left="208"/>
              <w:jc w:val="left"/>
              <w:rPr>
                <w:sz w:val="18"/>
              </w:rPr>
            </w:pPr>
            <w:r>
              <w:rPr>
                <w:sz w:val="18"/>
              </w:rPr>
              <w:t>0.–</w:t>
            </w:r>
          </w:p>
        </w:tc>
        <w:tc>
          <w:tcPr>
            <w:tcW w:w="1139" w:type="dxa"/>
          </w:tcPr>
          <w:p>
            <w:pPr>
              <w:pStyle w:val="TableParagraph"/>
              <w:spacing w:line="240" w:lineRule="auto" w:before="37"/>
              <w:ind w:right="28"/>
              <w:jc w:val="center"/>
              <w:rPr>
                <w:sz w:val="18"/>
              </w:rPr>
            </w:pPr>
            <w:r>
              <w:rPr>
                <w:spacing w:val="-10"/>
                <w:sz w:val="18"/>
              </w:rPr>
              <w:t>à</w:t>
            </w:r>
          </w:p>
        </w:tc>
        <w:tc>
          <w:tcPr>
            <w:tcW w:w="2140" w:type="dxa"/>
          </w:tcPr>
          <w:p>
            <w:pPr>
              <w:pStyle w:val="TableParagraph"/>
              <w:spacing w:line="240" w:lineRule="auto" w:before="37"/>
              <w:ind w:left="534"/>
              <w:jc w:val="left"/>
              <w:rPr>
                <w:sz w:val="18"/>
              </w:rPr>
            </w:pPr>
            <w:r>
              <w:rPr>
                <w:sz w:val="18"/>
              </w:rPr>
              <w:t>500.000.–</w:t>
            </w:r>
          </w:p>
        </w:tc>
        <w:tc>
          <w:tcPr>
            <w:tcW w:w="1056" w:type="dxa"/>
          </w:tcPr>
          <w:p>
            <w:pPr>
              <w:pStyle w:val="TableParagraph"/>
              <w:spacing w:line="240" w:lineRule="auto" w:before="37"/>
              <w:ind w:left="652"/>
              <w:jc w:val="left"/>
              <w:rPr>
                <w:sz w:val="18"/>
              </w:rPr>
            </w:pPr>
            <w:r>
              <w:rPr>
                <w:spacing w:val="-4"/>
                <w:sz w:val="18"/>
              </w:rPr>
              <w:t>3,50</w:t>
            </w:r>
          </w:p>
        </w:tc>
      </w:tr>
      <w:tr>
        <w:trPr>
          <w:trHeight w:val="286" w:hRule="atLeast"/>
        </w:trPr>
        <w:tc>
          <w:tcPr>
            <w:tcW w:w="1109" w:type="dxa"/>
          </w:tcPr>
          <w:p>
            <w:pPr>
              <w:pStyle w:val="TableParagraph"/>
              <w:spacing w:line="240" w:lineRule="auto" w:before="36"/>
              <w:ind w:left="50"/>
              <w:jc w:val="left"/>
              <w:rPr>
                <w:sz w:val="18"/>
              </w:rPr>
            </w:pPr>
            <w:r>
              <w:rPr>
                <w:spacing w:val="-5"/>
                <w:sz w:val="18"/>
              </w:rPr>
              <w:t>de</w:t>
            </w:r>
          </w:p>
        </w:tc>
        <w:tc>
          <w:tcPr>
            <w:tcW w:w="1859" w:type="dxa"/>
          </w:tcPr>
          <w:p>
            <w:pPr>
              <w:pStyle w:val="TableParagraph"/>
              <w:spacing w:line="240" w:lineRule="auto" w:before="36"/>
              <w:ind w:left="208"/>
              <w:jc w:val="left"/>
              <w:rPr>
                <w:sz w:val="18"/>
              </w:rPr>
            </w:pPr>
            <w:r>
              <w:rPr>
                <w:sz w:val="18"/>
              </w:rPr>
              <w:t>500.001.–</w:t>
            </w:r>
          </w:p>
        </w:tc>
        <w:tc>
          <w:tcPr>
            <w:tcW w:w="1139" w:type="dxa"/>
          </w:tcPr>
          <w:p>
            <w:pPr>
              <w:pStyle w:val="TableParagraph"/>
              <w:spacing w:line="240" w:lineRule="auto" w:before="36"/>
              <w:ind w:right="28"/>
              <w:jc w:val="center"/>
              <w:rPr>
                <w:sz w:val="18"/>
              </w:rPr>
            </w:pPr>
            <w:r>
              <w:rPr>
                <w:spacing w:val="-10"/>
                <w:sz w:val="18"/>
              </w:rPr>
              <w:t>à</w:t>
            </w:r>
          </w:p>
        </w:tc>
        <w:tc>
          <w:tcPr>
            <w:tcW w:w="2140" w:type="dxa"/>
          </w:tcPr>
          <w:p>
            <w:pPr>
              <w:pStyle w:val="TableParagraph"/>
              <w:spacing w:line="240" w:lineRule="auto" w:before="36"/>
              <w:ind w:left="534"/>
              <w:jc w:val="left"/>
              <w:rPr>
                <w:sz w:val="18"/>
              </w:rPr>
            </w:pPr>
            <w:r>
              <w:rPr>
                <w:sz w:val="18"/>
              </w:rPr>
              <w:t>1.000.000.–</w:t>
            </w:r>
          </w:p>
        </w:tc>
        <w:tc>
          <w:tcPr>
            <w:tcW w:w="1056" w:type="dxa"/>
          </w:tcPr>
          <w:p>
            <w:pPr>
              <w:pStyle w:val="TableParagraph"/>
              <w:spacing w:line="240" w:lineRule="auto" w:before="36"/>
              <w:ind w:left="652"/>
              <w:jc w:val="left"/>
              <w:rPr>
                <w:sz w:val="18"/>
              </w:rPr>
            </w:pPr>
            <w:r>
              <w:rPr>
                <w:spacing w:val="-4"/>
                <w:sz w:val="18"/>
              </w:rPr>
              <w:t>3,30</w:t>
            </w:r>
          </w:p>
        </w:tc>
      </w:tr>
      <w:tr>
        <w:trPr>
          <w:trHeight w:val="288" w:hRule="atLeast"/>
        </w:trPr>
        <w:tc>
          <w:tcPr>
            <w:tcW w:w="1109" w:type="dxa"/>
          </w:tcPr>
          <w:p>
            <w:pPr>
              <w:pStyle w:val="TableParagraph"/>
              <w:spacing w:line="240" w:lineRule="auto" w:before="37"/>
              <w:ind w:left="50"/>
              <w:jc w:val="left"/>
              <w:rPr>
                <w:sz w:val="18"/>
              </w:rPr>
            </w:pPr>
            <w:r>
              <w:rPr>
                <w:spacing w:val="-5"/>
                <w:sz w:val="18"/>
              </w:rPr>
              <w:t>de</w:t>
            </w:r>
          </w:p>
        </w:tc>
        <w:tc>
          <w:tcPr>
            <w:tcW w:w="1859" w:type="dxa"/>
          </w:tcPr>
          <w:p>
            <w:pPr>
              <w:pStyle w:val="TableParagraph"/>
              <w:spacing w:line="240" w:lineRule="auto" w:before="37"/>
              <w:ind w:left="208"/>
              <w:jc w:val="left"/>
              <w:rPr>
                <w:sz w:val="18"/>
              </w:rPr>
            </w:pPr>
            <w:r>
              <w:rPr>
                <w:sz w:val="18"/>
              </w:rPr>
              <w:t>1.000.001.–</w:t>
            </w:r>
          </w:p>
        </w:tc>
        <w:tc>
          <w:tcPr>
            <w:tcW w:w="1139" w:type="dxa"/>
          </w:tcPr>
          <w:p>
            <w:pPr>
              <w:pStyle w:val="TableParagraph"/>
              <w:spacing w:line="240" w:lineRule="auto" w:before="37"/>
              <w:ind w:right="28"/>
              <w:jc w:val="center"/>
              <w:rPr>
                <w:sz w:val="18"/>
              </w:rPr>
            </w:pPr>
            <w:r>
              <w:rPr>
                <w:spacing w:val="-10"/>
                <w:sz w:val="18"/>
              </w:rPr>
              <w:t>à</w:t>
            </w:r>
          </w:p>
        </w:tc>
        <w:tc>
          <w:tcPr>
            <w:tcW w:w="2140" w:type="dxa"/>
          </w:tcPr>
          <w:p>
            <w:pPr>
              <w:pStyle w:val="TableParagraph"/>
              <w:spacing w:line="240" w:lineRule="auto" w:before="37"/>
              <w:ind w:left="534"/>
              <w:jc w:val="left"/>
              <w:rPr>
                <w:sz w:val="18"/>
              </w:rPr>
            </w:pPr>
            <w:r>
              <w:rPr>
                <w:sz w:val="18"/>
              </w:rPr>
              <w:t>1.500.000.–</w:t>
            </w:r>
          </w:p>
        </w:tc>
        <w:tc>
          <w:tcPr>
            <w:tcW w:w="1056" w:type="dxa"/>
          </w:tcPr>
          <w:p>
            <w:pPr>
              <w:pStyle w:val="TableParagraph"/>
              <w:spacing w:line="240" w:lineRule="auto" w:before="37"/>
              <w:ind w:left="652"/>
              <w:jc w:val="left"/>
              <w:rPr>
                <w:sz w:val="18"/>
              </w:rPr>
            </w:pPr>
            <w:r>
              <w:rPr>
                <w:spacing w:val="-4"/>
                <w:sz w:val="18"/>
              </w:rPr>
              <w:t>2,70</w:t>
            </w:r>
          </w:p>
        </w:tc>
      </w:tr>
      <w:tr>
        <w:trPr>
          <w:trHeight w:val="286" w:hRule="atLeast"/>
        </w:trPr>
        <w:tc>
          <w:tcPr>
            <w:tcW w:w="1109" w:type="dxa"/>
          </w:tcPr>
          <w:p>
            <w:pPr>
              <w:pStyle w:val="TableParagraph"/>
              <w:spacing w:line="240" w:lineRule="auto" w:before="37"/>
              <w:ind w:left="50"/>
              <w:jc w:val="left"/>
              <w:rPr>
                <w:sz w:val="18"/>
              </w:rPr>
            </w:pPr>
            <w:r>
              <w:rPr>
                <w:spacing w:val="-5"/>
                <w:sz w:val="18"/>
              </w:rPr>
              <w:t>de</w:t>
            </w:r>
          </w:p>
        </w:tc>
        <w:tc>
          <w:tcPr>
            <w:tcW w:w="1859" w:type="dxa"/>
          </w:tcPr>
          <w:p>
            <w:pPr>
              <w:pStyle w:val="TableParagraph"/>
              <w:spacing w:line="240" w:lineRule="auto" w:before="37"/>
              <w:ind w:left="208"/>
              <w:jc w:val="left"/>
              <w:rPr>
                <w:sz w:val="18"/>
              </w:rPr>
            </w:pPr>
            <w:r>
              <w:rPr>
                <w:sz w:val="18"/>
              </w:rPr>
              <w:t>1.500.001.–</w:t>
            </w:r>
          </w:p>
        </w:tc>
        <w:tc>
          <w:tcPr>
            <w:tcW w:w="1139" w:type="dxa"/>
          </w:tcPr>
          <w:p>
            <w:pPr>
              <w:pStyle w:val="TableParagraph"/>
              <w:spacing w:line="240" w:lineRule="auto" w:before="37"/>
              <w:ind w:right="28"/>
              <w:jc w:val="center"/>
              <w:rPr>
                <w:sz w:val="18"/>
              </w:rPr>
            </w:pPr>
            <w:r>
              <w:rPr>
                <w:spacing w:val="-10"/>
                <w:sz w:val="18"/>
              </w:rPr>
              <w:t>à</w:t>
            </w:r>
          </w:p>
        </w:tc>
        <w:tc>
          <w:tcPr>
            <w:tcW w:w="2140" w:type="dxa"/>
          </w:tcPr>
          <w:p>
            <w:pPr>
              <w:pStyle w:val="TableParagraph"/>
              <w:spacing w:line="240" w:lineRule="auto" w:before="37"/>
              <w:ind w:left="534"/>
              <w:jc w:val="left"/>
              <w:rPr>
                <w:sz w:val="18"/>
              </w:rPr>
            </w:pPr>
            <w:r>
              <w:rPr>
                <w:sz w:val="18"/>
              </w:rPr>
              <w:t>2.000.000.–</w:t>
            </w:r>
          </w:p>
        </w:tc>
        <w:tc>
          <w:tcPr>
            <w:tcW w:w="1056" w:type="dxa"/>
          </w:tcPr>
          <w:p>
            <w:pPr>
              <w:pStyle w:val="TableParagraph"/>
              <w:spacing w:line="240" w:lineRule="auto" w:before="37"/>
              <w:ind w:left="652"/>
              <w:jc w:val="left"/>
              <w:rPr>
                <w:sz w:val="18"/>
              </w:rPr>
            </w:pPr>
            <w:r>
              <w:rPr>
                <w:spacing w:val="-4"/>
                <w:sz w:val="18"/>
              </w:rPr>
              <w:t>1,80</w:t>
            </w:r>
          </w:p>
        </w:tc>
      </w:tr>
      <w:tr>
        <w:trPr>
          <w:trHeight w:val="243" w:hRule="atLeast"/>
        </w:trPr>
        <w:tc>
          <w:tcPr>
            <w:tcW w:w="1109" w:type="dxa"/>
          </w:tcPr>
          <w:p>
            <w:pPr>
              <w:pStyle w:val="TableParagraph"/>
              <w:spacing w:line="187" w:lineRule="exact" w:before="36"/>
              <w:ind w:left="50"/>
              <w:jc w:val="left"/>
              <w:rPr>
                <w:sz w:val="18"/>
              </w:rPr>
            </w:pPr>
            <w:r>
              <w:rPr>
                <w:spacing w:val="-2"/>
                <w:sz w:val="18"/>
              </w:rPr>
              <w:t>supérieure</w:t>
            </w:r>
          </w:p>
        </w:tc>
        <w:tc>
          <w:tcPr>
            <w:tcW w:w="1859" w:type="dxa"/>
          </w:tcPr>
          <w:p>
            <w:pPr>
              <w:pStyle w:val="TableParagraph"/>
              <w:spacing w:line="240" w:lineRule="auto"/>
              <w:jc w:val="left"/>
              <w:rPr>
                <w:rFonts w:ascii="Times New Roman"/>
                <w:sz w:val="16"/>
              </w:rPr>
            </w:pPr>
          </w:p>
        </w:tc>
        <w:tc>
          <w:tcPr>
            <w:tcW w:w="1139" w:type="dxa"/>
          </w:tcPr>
          <w:p>
            <w:pPr>
              <w:pStyle w:val="TableParagraph"/>
              <w:spacing w:line="240" w:lineRule="auto"/>
              <w:jc w:val="left"/>
              <w:rPr>
                <w:rFonts w:ascii="Times New Roman"/>
                <w:sz w:val="16"/>
              </w:rPr>
            </w:pPr>
          </w:p>
        </w:tc>
        <w:tc>
          <w:tcPr>
            <w:tcW w:w="2140" w:type="dxa"/>
          </w:tcPr>
          <w:p>
            <w:pPr>
              <w:pStyle w:val="TableParagraph"/>
              <w:spacing w:line="187" w:lineRule="exact" w:before="36"/>
              <w:ind w:left="534"/>
              <w:jc w:val="left"/>
              <w:rPr>
                <w:sz w:val="18"/>
              </w:rPr>
            </w:pPr>
            <w:r>
              <w:rPr>
                <w:sz w:val="18"/>
              </w:rPr>
              <w:t>2.000.000.–</w:t>
            </w:r>
          </w:p>
        </w:tc>
        <w:tc>
          <w:tcPr>
            <w:tcW w:w="1056" w:type="dxa"/>
          </w:tcPr>
          <w:p>
            <w:pPr>
              <w:pStyle w:val="TableParagraph"/>
              <w:spacing w:line="187" w:lineRule="exact" w:before="36"/>
              <w:ind w:left="652"/>
              <w:jc w:val="left"/>
              <w:rPr>
                <w:sz w:val="18"/>
              </w:rPr>
            </w:pPr>
            <w:r>
              <w:rPr>
                <w:spacing w:val="-4"/>
                <w:sz w:val="18"/>
              </w:rPr>
              <w:t>0,80</w:t>
            </w:r>
          </w:p>
        </w:tc>
      </w:tr>
    </w:tbl>
    <w:p>
      <w:pPr>
        <w:pStyle w:val="BodyText"/>
        <w:spacing w:before="196"/>
      </w:pPr>
    </w:p>
    <w:p>
      <w:pPr>
        <w:pStyle w:val="Heading7"/>
        <w:spacing w:before="1"/>
        <w:jc w:val="both"/>
      </w:pPr>
      <w:r>
        <w:rPr>
          <w:color w:val="950000"/>
        </w:rPr>
        <w:t>Revenus provenant de la prévoyance</w:t>
      </w:r>
      <w:r>
        <w:rPr>
          <w:color w:val="950000"/>
          <w:spacing w:val="80"/>
        </w:rPr>
        <w:t> </w:t>
      </w:r>
      <w:r>
        <w:rPr>
          <w:color w:val="950000"/>
        </w:rPr>
        <w:drawing>
          <wp:inline distT="0" distB="0" distL="0" distR="0">
            <wp:extent cx="201289" cy="114884"/>
            <wp:effectExtent l="0" t="0" r="0" b="0"/>
            <wp:docPr id="28" name="Image 28" descr="">
              <a:hlinkClick r:id="rId34"/>
            </wp:docPr>
            <wp:cNvGraphicFramePr>
              <a:graphicFrameLocks/>
            </wp:cNvGraphicFramePr>
            <a:graphic>
              <a:graphicData uri="http://schemas.openxmlformats.org/drawingml/2006/picture">
                <pic:pic>
                  <pic:nvPicPr>
                    <pic:cNvPr id="28" name="Image 28" descr="">
                      <a:hlinkClick r:id="rId34"/>
                    </pic:cNvPr>
                    <pic:cNvPicPr/>
                  </pic:nvPicPr>
                  <pic:blipFill>
                    <a:blip r:embed="rId11" cstate="print"/>
                    <a:stretch>
                      <a:fillRect/>
                    </a:stretch>
                  </pic:blipFill>
                  <pic:spPr>
                    <a:xfrm>
                      <a:off x="0" y="0"/>
                      <a:ext cx="201289" cy="114884"/>
                    </a:xfrm>
                    <a:prstGeom prst="rect">
                      <a:avLst/>
                    </a:prstGeom>
                  </pic:spPr>
                </pic:pic>
              </a:graphicData>
            </a:graphic>
          </wp:inline>
        </w:drawing>
      </w:r>
      <w:r>
        <w:rPr>
          <w:color w:val="950000"/>
        </w:rPr>
      </w:r>
    </w:p>
    <w:p>
      <w:pPr>
        <w:pStyle w:val="Heading8"/>
        <w:spacing w:before="93"/>
      </w:pPr>
      <w:r>
        <w:rPr/>
        <w:t>Art.</w:t>
      </w:r>
      <w:r>
        <w:rPr>
          <w:spacing w:val="-1"/>
        </w:rPr>
        <w:t> </w:t>
      </w:r>
      <w:r>
        <w:rPr/>
        <w:t>25, al.</w:t>
      </w:r>
      <w:r>
        <w:rPr>
          <w:spacing w:val="-2"/>
        </w:rPr>
        <w:t> </w:t>
      </w:r>
      <w:r>
        <w:rPr/>
        <w:t>1 à</w:t>
      </w:r>
      <w:r>
        <w:rPr>
          <w:spacing w:val="-2"/>
        </w:rPr>
        <w:t> </w:t>
      </w:r>
      <w:r>
        <w:rPr/>
        <w:t>3</w:t>
      </w:r>
      <w:r>
        <w:rPr>
          <w:spacing w:val="1"/>
        </w:rPr>
        <w:t> </w:t>
      </w:r>
      <w:r>
        <w:rPr>
          <w:spacing w:val="-4"/>
        </w:rPr>
        <w:t>LCdir</w:t>
      </w:r>
    </w:p>
    <w:p>
      <w:pPr>
        <w:pStyle w:val="BodyText"/>
        <w:spacing w:before="56"/>
        <w:ind w:left="1134" w:right="703"/>
        <w:jc w:val="both"/>
      </w:pPr>
      <w:r>
        <w:rPr>
          <w:position w:val="6"/>
          <w:sz w:val="12"/>
        </w:rPr>
        <w:t>1</w:t>
      </w:r>
      <w:r>
        <w:rPr>
          <w:spacing w:val="31"/>
          <w:position w:val="6"/>
          <w:sz w:val="12"/>
        </w:rPr>
        <w:t> </w:t>
      </w:r>
      <w:r>
        <w:rPr/>
        <w:t>Sont imposables tous les revenus provenant de l'assurance-vieillesse et survivants, de l'assurance-invalidité, ainsi que tous ceux provenant d'institutions de prévoyance professionnelle ou fournis selon des formes reconnues de prévoyance individuelle liée, y compris les prestations en capital et le rem-boursement des versements, primes et cotisations.</w:t>
      </w:r>
    </w:p>
    <w:p>
      <w:pPr>
        <w:pStyle w:val="BodyText"/>
        <w:spacing w:before="35"/>
        <w:ind w:left="1134" w:right="700"/>
        <w:jc w:val="both"/>
      </w:pPr>
      <w:r>
        <w:rPr>
          <w:position w:val="6"/>
          <w:sz w:val="12"/>
        </w:rPr>
        <w:t>2</w:t>
      </w:r>
      <w:r>
        <w:rPr>
          <w:spacing w:val="18"/>
          <w:position w:val="6"/>
          <w:sz w:val="12"/>
        </w:rPr>
        <w:t> </w:t>
      </w:r>
      <w:r>
        <w:rPr/>
        <w:t>Sont notamment considérées comme revenus provenant d'institutions de prévoyance professionnelle les prestations des caisses de prévoyance, des assurances d'épargne et de groupe, ainsi que des po-lices de libre passage.</w:t>
      </w:r>
    </w:p>
    <w:p>
      <w:pPr>
        <w:pStyle w:val="BodyText"/>
        <w:spacing w:before="37"/>
        <w:ind w:left="1134" w:right="704"/>
        <w:jc w:val="both"/>
      </w:pPr>
      <w:r>
        <w:rPr>
          <w:position w:val="6"/>
          <w:sz w:val="12"/>
        </w:rPr>
        <w:t>3</w:t>
      </w:r>
      <w:r>
        <w:rPr>
          <w:spacing w:val="24"/>
          <w:position w:val="6"/>
          <w:sz w:val="12"/>
        </w:rPr>
        <w:t> </w:t>
      </w:r>
      <w:r>
        <w:rPr/>
        <w:t>Les revenus provenant de rentes viagères et de contrats d'entretien viager sont imposables à raison de 40%.*</w:t>
      </w:r>
    </w:p>
    <w:p>
      <w:pPr>
        <w:spacing w:before="40"/>
        <w:ind w:left="1134" w:right="702" w:firstLine="0"/>
        <w:jc w:val="both"/>
        <w:rPr>
          <w:sz w:val="18"/>
        </w:rPr>
      </w:pPr>
      <w:r>
        <w:rPr>
          <w:sz w:val="18"/>
        </w:rPr>
        <w:t>*À partir de la période fiscale 2025, les dispositions suivantes s'appliquent : </w:t>
      </w:r>
      <w:hyperlink r:id="rId35">
        <w:r>
          <w:rPr>
            <w:rFonts w:ascii="Arial" w:hAnsi="Arial"/>
            <w:b/>
            <w:color w:val="0462C0"/>
            <w:sz w:val="18"/>
            <w:u w:val="single" w:color="0462C0"/>
          </w:rPr>
          <w:t>Art. 7, al. 2, de la loi sur</w:t>
        </w:r>
      </w:hyperlink>
      <w:r>
        <w:rPr>
          <w:rFonts w:ascii="Arial" w:hAnsi="Arial"/>
          <w:b/>
          <w:color w:val="0462C0"/>
          <w:sz w:val="18"/>
        </w:rPr>
        <w:t> </w:t>
      </w:r>
      <w:hyperlink r:id="rId35">
        <w:r>
          <w:rPr>
            <w:rFonts w:ascii="Arial" w:hAnsi="Arial"/>
            <w:b/>
            <w:color w:val="0462C0"/>
            <w:sz w:val="18"/>
            <w:u w:val="single" w:color="0462C0"/>
          </w:rPr>
          <w:t>l'harmonisation fiscale</w:t>
        </w:r>
      </w:hyperlink>
      <w:r>
        <w:rPr>
          <w:rFonts w:ascii="Arial" w:hAnsi="Arial"/>
          <w:b/>
          <w:color w:val="0462C0"/>
          <w:sz w:val="18"/>
        </w:rPr>
        <w:t> </w:t>
      </w:r>
      <w:r>
        <w:rPr>
          <w:sz w:val="18"/>
        </w:rPr>
        <w:t>:</w:t>
      </w:r>
    </w:p>
    <w:p>
      <w:pPr>
        <w:pStyle w:val="BodyText"/>
        <w:spacing w:before="36"/>
        <w:ind w:left="1134" w:right="704"/>
        <w:jc w:val="both"/>
      </w:pPr>
      <w:r>
        <w:rPr>
          <w:position w:val="6"/>
          <w:sz w:val="12"/>
        </w:rPr>
        <w:t>2</w:t>
      </w:r>
      <w:r>
        <w:rPr>
          <w:spacing w:val="13"/>
          <w:position w:val="6"/>
          <w:sz w:val="12"/>
        </w:rPr>
        <w:t> </w:t>
      </w:r>
      <w:r>
        <w:rPr/>
        <w:t>Les</w:t>
      </w:r>
      <w:r>
        <w:rPr>
          <w:spacing w:val="-6"/>
        </w:rPr>
        <w:t> </w:t>
      </w:r>
      <w:r>
        <w:rPr/>
        <w:t>assurances</w:t>
      </w:r>
      <w:r>
        <w:rPr>
          <w:spacing w:val="-3"/>
        </w:rPr>
        <w:t> </w:t>
      </w:r>
      <w:r>
        <w:rPr/>
        <w:t>de</w:t>
      </w:r>
      <w:r>
        <w:rPr>
          <w:spacing w:val="-4"/>
        </w:rPr>
        <w:t> </w:t>
      </w:r>
      <w:r>
        <w:rPr/>
        <w:t>rente</w:t>
      </w:r>
      <w:r>
        <w:rPr>
          <w:spacing w:val="-4"/>
        </w:rPr>
        <w:t> </w:t>
      </w:r>
      <w:r>
        <w:rPr/>
        <w:t>viagère</w:t>
      </w:r>
      <w:r>
        <w:rPr>
          <w:spacing w:val="-4"/>
        </w:rPr>
        <w:t> </w:t>
      </w:r>
      <w:r>
        <w:rPr/>
        <w:t>ainsi</w:t>
      </w:r>
      <w:r>
        <w:rPr>
          <w:spacing w:val="-4"/>
        </w:rPr>
        <w:t> </w:t>
      </w:r>
      <w:r>
        <w:rPr/>
        <w:t>que</w:t>
      </w:r>
      <w:r>
        <w:rPr>
          <w:spacing w:val="-4"/>
        </w:rPr>
        <w:t> </w:t>
      </w:r>
      <w:r>
        <w:rPr/>
        <w:t>les</w:t>
      </w:r>
      <w:r>
        <w:rPr>
          <w:spacing w:val="-3"/>
        </w:rPr>
        <w:t> </w:t>
      </w:r>
      <w:r>
        <w:rPr/>
        <w:t>contrats</w:t>
      </w:r>
      <w:r>
        <w:rPr>
          <w:spacing w:val="-6"/>
        </w:rPr>
        <w:t> </w:t>
      </w:r>
      <w:r>
        <w:rPr/>
        <w:t>de</w:t>
      </w:r>
      <w:r>
        <w:rPr>
          <w:spacing w:val="-4"/>
        </w:rPr>
        <w:t> </w:t>
      </w:r>
      <w:r>
        <w:rPr/>
        <w:t>rente</w:t>
      </w:r>
      <w:r>
        <w:rPr>
          <w:spacing w:val="-6"/>
        </w:rPr>
        <w:t> </w:t>
      </w:r>
      <w:r>
        <w:rPr/>
        <w:t>viagère</w:t>
      </w:r>
      <w:r>
        <w:rPr>
          <w:spacing w:val="-4"/>
        </w:rPr>
        <w:t> </w:t>
      </w:r>
      <w:r>
        <w:rPr/>
        <w:t>et</w:t>
      </w:r>
      <w:r>
        <w:rPr>
          <w:spacing w:val="-4"/>
        </w:rPr>
        <w:t> </w:t>
      </w:r>
      <w:r>
        <w:rPr/>
        <w:t>d'entretien</w:t>
      </w:r>
      <w:r>
        <w:rPr>
          <w:spacing w:val="-4"/>
        </w:rPr>
        <w:t> </w:t>
      </w:r>
      <w:r>
        <w:rPr/>
        <w:t>sont</w:t>
      </w:r>
      <w:r>
        <w:rPr>
          <w:spacing w:val="-4"/>
        </w:rPr>
        <w:t> </w:t>
      </w:r>
      <w:r>
        <w:rPr/>
        <w:t>imposables à hauteur de leur part de revenu. […].</w:t>
      </w:r>
    </w:p>
    <w:p>
      <w:pPr>
        <w:pStyle w:val="Heading8"/>
      </w:pPr>
      <w:r>
        <w:rPr/>
        <w:t>Art.</w:t>
      </w:r>
      <w:r>
        <w:rPr>
          <w:spacing w:val="-4"/>
        </w:rPr>
        <w:t> </w:t>
      </w:r>
      <w:r>
        <w:rPr/>
        <w:t>282,</w:t>
      </w:r>
      <w:r>
        <w:rPr>
          <w:spacing w:val="-1"/>
        </w:rPr>
        <w:t> </w:t>
      </w:r>
      <w:r>
        <w:rPr/>
        <w:t>al.</w:t>
      </w:r>
      <w:r>
        <w:rPr>
          <w:spacing w:val="-1"/>
        </w:rPr>
        <w:t> </w:t>
      </w:r>
      <w:r>
        <w:rPr/>
        <w:t>1</w:t>
      </w:r>
      <w:r>
        <w:rPr>
          <w:spacing w:val="-2"/>
        </w:rPr>
        <w:t> LCdir</w:t>
      </w:r>
    </w:p>
    <w:p>
      <w:pPr>
        <w:pStyle w:val="BodyText"/>
        <w:spacing w:before="56"/>
        <w:ind w:left="1134" w:right="701"/>
        <w:jc w:val="both"/>
      </w:pPr>
      <w:r>
        <w:rPr>
          <w:position w:val="6"/>
          <w:sz w:val="12"/>
        </w:rPr>
        <w:t>1</w:t>
      </w:r>
      <w:r>
        <w:rPr>
          <w:spacing w:val="19"/>
          <w:position w:val="6"/>
          <w:sz w:val="12"/>
        </w:rPr>
        <w:t> </w:t>
      </w:r>
      <w:r>
        <w:rPr/>
        <w:t>Les rentes et prestations en capital provenant de la prévoyance professionnelle, qui ont commencé à courir ou sont devenues exigibles avant le 1er janvier 1987 ou qui reposaient sur un rapport de pré-voyance</w:t>
      </w:r>
      <w:r>
        <w:rPr>
          <w:spacing w:val="-9"/>
        </w:rPr>
        <w:t> </w:t>
      </w:r>
      <w:r>
        <w:rPr/>
        <w:t>existant</w:t>
      </w:r>
      <w:r>
        <w:rPr>
          <w:spacing w:val="-9"/>
        </w:rPr>
        <w:t> </w:t>
      </w:r>
      <w:r>
        <w:rPr/>
        <w:t>déjà</w:t>
      </w:r>
      <w:r>
        <w:rPr>
          <w:spacing w:val="-9"/>
        </w:rPr>
        <w:t> </w:t>
      </w:r>
      <w:r>
        <w:rPr/>
        <w:t>au</w:t>
      </w:r>
      <w:r>
        <w:rPr>
          <w:spacing w:val="-9"/>
        </w:rPr>
        <w:t> </w:t>
      </w:r>
      <w:r>
        <w:rPr/>
        <w:t>31</w:t>
      </w:r>
      <w:r>
        <w:rPr>
          <w:spacing w:val="-9"/>
        </w:rPr>
        <w:t> </w:t>
      </w:r>
      <w:r>
        <w:rPr/>
        <w:t>décembre</w:t>
      </w:r>
      <w:r>
        <w:rPr>
          <w:spacing w:val="-9"/>
        </w:rPr>
        <w:t> </w:t>
      </w:r>
      <w:r>
        <w:rPr/>
        <w:t>1986</w:t>
      </w:r>
      <w:r>
        <w:rPr>
          <w:spacing w:val="-9"/>
        </w:rPr>
        <w:t> </w:t>
      </w:r>
      <w:r>
        <w:rPr/>
        <w:t>et</w:t>
      </w:r>
      <w:r>
        <w:rPr>
          <w:spacing w:val="-9"/>
        </w:rPr>
        <w:t> </w:t>
      </w:r>
      <w:r>
        <w:rPr/>
        <w:t>ont</w:t>
      </w:r>
      <w:r>
        <w:rPr>
          <w:spacing w:val="-9"/>
        </w:rPr>
        <w:t> </w:t>
      </w:r>
      <w:r>
        <w:rPr/>
        <w:t>commencé</w:t>
      </w:r>
      <w:r>
        <w:rPr>
          <w:spacing w:val="-11"/>
        </w:rPr>
        <w:t> </w:t>
      </w:r>
      <w:r>
        <w:rPr/>
        <w:t>à</w:t>
      </w:r>
      <w:r>
        <w:rPr>
          <w:spacing w:val="-9"/>
        </w:rPr>
        <w:t> </w:t>
      </w:r>
      <w:r>
        <w:rPr/>
        <w:t>courir</w:t>
      </w:r>
      <w:r>
        <w:rPr>
          <w:spacing w:val="-9"/>
        </w:rPr>
        <w:t> </w:t>
      </w:r>
      <w:r>
        <w:rPr/>
        <w:t>ou</w:t>
      </w:r>
      <w:r>
        <w:rPr>
          <w:spacing w:val="-9"/>
        </w:rPr>
        <w:t> </w:t>
      </w:r>
      <w:r>
        <w:rPr/>
        <w:t>sont</w:t>
      </w:r>
      <w:r>
        <w:rPr>
          <w:spacing w:val="-9"/>
        </w:rPr>
        <w:t> </w:t>
      </w:r>
      <w:r>
        <w:rPr/>
        <w:t>devenues</w:t>
      </w:r>
      <w:r>
        <w:rPr>
          <w:spacing w:val="-8"/>
        </w:rPr>
        <w:t> </w:t>
      </w:r>
      <w:r>
        <w:rPr/>
        <w:t>exigibles</w:t>
      </w:r>
      <w:r>
        <w:rPr>
          <w:spacing w:val="-8"/>
        </w:rPr>
        <w:t> </w:t>
      </w:r>
      <w:r>
        <w:rPr/>
        <w:t>avant le 1er janvier 2002, sont imposables comme il suit :</w:t>
      </w:r>
    </w:p>
    <w:p>
      <w:pPr>
        <w:pStyle w:val="ListParagraph"/>
        <w:numPr>
          <w:ilvl w:val="0"/>
          <w:numId w:val="3"/>
        </w:numPr>
        <w:tabs>
          <w:tab w:pos="1559" w:val="left" w:leader="none"/>
        </w:tabs>
        <w:spacing w:line="240" w:lineRule="auto" w:before="41" w:after="0"/>
        <w:ind w:left="1559" w:right="704" w:hanging="425"/>
        <w:jc w:val="both"/>
        <w:rPr>
          <w:sz w:val="18"/>
        </w:rPr>
      </w:pPr>
      <w:r>
        <w:rPr>
          <w:sz w:val="18"/>
        </w:rPr>
        <w:t>à</w:t>
      </w:r>
      <w:r>
        <w:rPr>
          <w:spacing w:val="-13"/>
          <w:sz w:val="18"/>
        </w:rPr>
        <w:t> </w:t>
      </w:r>
      <w:r>
        <w:rPr>
          <w:sz w:val="18"/>
        </w:rPr>
        <w:t>raison</w:t>
      </w:r>
      <w:r>
        <w:rPr>
          <w:spacing w:val="-12"/>
          <w:sz w:val="18"/>
        </w:rPr>
        <w:t> </w:t>
      </w:r>
      <w:r>
        <w:rPr>
          <w:sz w:val="18"/>
        </w:rPr>
        <w:t>de</w:t>
      </w:r>
      <w:r>
        <w:rPr>
          <w:spacing w:val="-13"/>
          <w:sz w:val="18"/>
        </w:rPr>
        <w:t> </w:t>
      </w:r>
      <w:r>
        <w:rPr>
          <w:sz w:val="18"/>
        </w:rPr>
        <w:t>trois</w:t>
      </w:r>
      <w:r>
        <w:rPr>
          <w:spacing w:val="-12"/>
          <w:sz w:val="18"/>
        </w:rPr>
        <w:t> </w:t>
      </w:r>
      <w:r>
        <w:rPr>
          <w:sz w:val="18"/>
        </w:rPr>
        <w:t>cinquièmes,</w:t>
      </w:r>
      <w:r>
        <w:rPr>
          <w:spacing w:val="-13"/>
          <w:sz w:val="18"/>
        </w:rPr>
        <w:t> </w:t>
      </w:r>
      <w:r>
        <w:rPr>
          <w:sz w:val="18"/>
        </w:rPr>
        <w:t>si</w:t>
      </w:r>
      <w:r>
        <w:rPr>
          <w:spacing w:val="-13"/>
          <w:sz w:val="18"/>
        </w:rPr>
        <w:t> </w:t>
      </w:r>
      <w:r>
        <w:rPr>
          <w:sz w:val="18"/>
        </w:rPr>
        <w:t>les</w:t>
      </w:r>
      <w:r>
        <w:rPr>
          <w:spacing w:val="-12"/>
          <w:sz w:val="18"/>
        </w:rPr>
        <w:t> </w:t>
      </w:r>
      <w:r>
        <w:rPr>
          <w:sz w:val="18"/>
        </w:rPr>
        <w:t>prestations</w:t>
      </w:r>
      <w:r>
        <w:rPr>
          <w:spacing w:val="-13"/>
          <w:sz w:val="18"/>
        </w:rPr>
        <w:t> </w:t>
      </w:r>
      <w:r>
        <w:rPr>
          <w:sz w:val="18"/>
        </w:rPr>
        <w:t>(telles</w:t>
      </w:r>
      <w:r>
        <w:rPr>
          <w:spacing w:val="-12"/>
          <w:sz w:val="18"/>
        </w:rPr>
        <w:t> </w:t>
      </w:r>
      <w:r>
        <w:rPr>
          <w:sz w:val="18"/>
        </w:rPr>
        <w:t>que</w:t>
      </w:r>
      <w:r>
        <w:rPr>
          <w:spacing w:val="-13"/>
          <w:sz w:val="18"/>
        </w:rPr>
        <w:t> </w:t>
      </w:r>
      <w:r>
        <w:rPr>
          <w:sz w:val="18"/>
        </w:rPr>
        <w:t>dépôts,</w:t>
      </w:r>
      <w:r>
        <w:rPr>
          <w:spacing w:val="-12"/>
          <w:sz w:val="18"/>
        </w:rPr>
        <w:t> </w:t>
      </w:r>
      <w:r>
        <w:rPr>
          <w:sz w:val="18"/>
        </w:rPr>
        <w:t>cotisations,</w:t>
      </w:r>
      <w:r>
        <w:rPr>
          <w:spacing w:val="-13"/>
          <w:sz w:val="18"/>
        </w:rPr>
        <w:t> </w:t>
      </w:r>
      <w:r>
        <w:rPr>
          <w:sz w:val="18"/>
        </w:rPr>
        <w:t>primes)</w:t>
      </w:r>
      <w:r>
        <w:rPr>
          <w:spacing w:val="-12"/>
          <w:sz w:val="18"/>
        </w:rPr>
        <w:t> </w:t>
      </w:r>
      <w:r>
        <w:rPr>
          <w:sz w:val="18"/>
        </w:rPr>
        <w:t>sur</w:t>
      </w:r>
      <w:r>
        <w:rPr>
          <w:spacing w:val="-13"/>
          <w:sz w:val="18"/>
        </w:rPr>
        <w:t> </w:t>
      </w:r>
      <w:r>
        <w:rPr>
          <w:sz w:val="18"/>
        </w:rPr>
        <w:t>lesquelles se fonde la prétention du contribuable ont été faites exclusivement par ce dernier;</w:t>
      </w:r>
    </w:p>
    <w:p>
      <w:pPr>
        <w:pStyle w:val="ListParagraph"/>
        <w:numPr>
          <w:ilvl w:val="0"/>
          <w:numId w:val="3"/>
        </w:numPr>
        <w:tabs>
          <w:tab w:pos="1559" w:val="left" w:leader="none"/>
        </w:tabs>
        <w:spacing w:line="240" w:lineRule="auto" w:before="40" w:after="0"/>
        <w:ind w:left="1559" w:right="703" w:hanging="425"/>
        <w:jc w:val="both"/>
        <w:rPr>
          <w:sz w:val="18"/>
        </w:rPr>
      </w:pPr>
      <w:r>
        <w:rPr>
          <w:sz w:val="18"/>
        </w:rPr>
        <w:t>à raison de quatre cinquièmes, si les prestations sur lesquelles se fonde la prétention du contri-buable n'ont été faites qu'en partie par ce dernier, mais que cette partie forme au moins 20% des prestations totales;</w:t>
      </w:r>
    </w:p>
    <w:p>
      <w:pPr>
        <w:pStyle w:val="ListParagraph"/>
        <w:numPr>
          <w:ilvl w:val="0"/>
          <w:numId w:val="3"/>
        </w:numPr>
        <w:tabs>
          <w:tab w:pos="1558" w:val="left" w:leader="none"/>
        </w:tabs>
        <w:spacing w:line="240" w:lineRule="auto" w:before="41" w:after="0"/>
        <w:ind w:left="1558" w:right="0" w:hanging="424"/>
        <w:jc w:val="both"/>
        <w:rPr>
          <w:sz w:val="18"/>
        </w:rPr>
      </w:pPr>
      <w:r>
        <w:rPr>
          <w:sz w:val="18"/>
        </w:rPr>
        <w:t>entièrement,</w:t>
      </w:r>
      <w:r>
        <w:rPr>
          <w:spacing w:val="-8"/>
          <w:sz w:val="18"/>
        </w:rPr>
        <w:t> </w:t>
      </w:r>
      <w:r>
        <w:rPr>
          <w:sz w:val="18"/>
        </w:rPr>
        <w:t>dans</w:t>
      </w:r>
      <w:r>
        <w:rPr>
          <w:spacing w:val="-2"/>
          <w:sz w:val="18"/>
        </w:rPr>
        <w:t> </w:t>
      </w:r>
      <w:r>
        <w:rPr>
          <w:sz w:val="18"/>
        </w:rPr>
        <w:t>les</w:t>
      </w:r>
      <w:r>
        <w:rPr>
          <w:spacing w:val="-2"/>
          <w:sz w:val="18"/>
        </w:rPr>
        <w:t> </w:t>
      </w:r>
      <w:r>
        <w:rPr>
          <w:sz w:val="18"/>
        </w:rPr>
        <w:t>autres</w:t>
      </w:r>
      <w:r>
        <w:rPr>
          <w:spacing w:val="-2"/>
          <w:sz w:val="18"/>
        </w:rPr>
        <w:t> </w:t>
      </w:r>
      <w:r>
        <w:rPr>
          <w:spacing w:val="-4"/>
          <w:sz w:val="18"/>
        </w:rPr>
        <w:t>cas.</w:t>
      </w:r>
    </w:p>
    <w:p>
      <w:pPr>
        <w:pStyle w:val="ListParagraph"/>
        <w:spacing w:after="0" w:line="240" w:lineRule="auto"/>
        <w:jc w:val="both"/>
        <w:rPr>
          <w:sz w:val="18"/>
        </w:rPr>
        <w:sectPr>
          <w:pgSz w:w="11910" w:h="16840"/>
          <w:pgMar w:header="724" w:footer="687" w:top="960" w:bottom="880" w:left="850" w:right="992"/>
        </w:sectPr>
      </w:pPr>
    </w:p>
    <w:p>
      <w:pPr>
        <w:pStyle w:val="BodyText"/>
        <w:spacing w:before="141"/>
        <w:rPr>
          <w:sz w:val="26"/>
        </w:rPr>
      </w:pPr>
    </w:p>
    <w:p>
      <w:pPr>
        <w:pStyle w:val="Heading3"/>
      </w:pPr>
      <w:bookmarkStart w:name="Revenus exonérés" w:id="9"/>
      <w:bookmarkEnd w:id="9"/>
      <w:r>
        <w:rPr>
          <w:b w:val="0"/>
        </w:rPr>
      </w:r>
      <w:bookmarkStart w:name="_bookmark4" w:id="10"/>
      <w:bookmarkEnd w:id="10"/>
      <w:r>
        <w:rPr>
          <w:b w:val="0"/>
        </w:rPr>
      </w:r>
      <w:r>
        <w:rPr>
          <w:color w:val="2D73B4"/>
        </w:rPr>
        <w:t>Revenus</w:t>
      </w:r>
      <w:r>
        <w:rPr>
          <w:color w:val="2D73B4"/>
          <w:spacing w:val="-10"/>
        </w:rPr>
        <w:t> </w:t>
      </w:r>
      <w:r>
        <w:rPr>
          <w:color w:val="2D73B4"/>
          <w:spacing w:val="-2"/>
        </w:rPr>
        <w:t>exonérés</w:t>
      </w:r>
    </w:p>
    <w:p>
      <w:pPr>
        <w:pStyle w:val="BodyText"/>
        <w:spacing w:before="59"/>
        <w:ind w:left="851"/>
      </w:pPr>
      <w:r>
        <w:rPr/>
        <w:t>(Art.</w:t>
      </w:r>
      <w:r>
        <w:rPr>
          <w:spacing w:val="-1"/>
        </w:rPr>
        <w:t> </w:t>
      </w:r>
      <w:r>
        <w:rPr/>
        <w:t>27</w:t>
      </w:r>
      <w:r>
        <w:rPr>
          <w:spacing w:val="-2"/>
        </w:rPr>
        <w:t> LCdir)</w:t>
      </w:r>
    </w:p>
    <w:p>
      <w:pPr>
        <w:pStyle w:val="BodyText"/>
        <w:spacing w:before="155"/>
      </w:pPr>
    </w:p>
    <w:p>
      <w:pPr>
        <w:pStyle w:val="Heading7"/>
        <w:jc w:val="both"/>
      </w:pPr>
      <w:r>
        <w:rPr>
          <w:color w:val="950000"/>
        </w:rPr>
        <w:t>Solde versée aux sapeurs-pompiers</w:t>
      </w:r>
      <w:r>
        <w:rPr>
          <w:color w:val="950000"/>
          <w:spacing w:val="80"/>
        </w:rPr>
        <w:t> </w:t>
      </w:r>
      <w:r>
        <w:rPr>
          <w:color w:val="950000"/>
          <w:spacing w:val="3"/>
        </w:rPr>
        <w:drawing>
          <wp:inline distT="0" distB="0" distL="0" distR="0">
            <wp:extent cx="201274" cy="114930"/>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74" cy="114930"/>
                    </a:xfrm>
                    <a:prstGeom prst="rect">
                      <a:avLst/>
                    </a:prstGeom>
                  </pic:spPr>
                </pic:pic>
              </a:graphicData>
            </a:graphic>
          </wp:inline>
        </w:drawing>
      </w:r>
      <w:r>
        <w:rPr>
          <w:color w:val="950000"/>
          <w:spacing w:val="3"/>
        </w:rPr>
      </w:r>
    </w:p>
    <w:p>
      <w:pPr>
        <w:pStyle w:val="Heading8"/>
        <w:spacing w:before="88"/>
        <w:jc w:val="both"/>
      </w:pPr>
      <w:r>
        <w:rPr/>
        <w:t>Art.</w:t>
      </w:r>
      <w:r>
        <w:rPr>
          <w:spacing w:val="-3"/>
        </w:rPr>
        <w:t> </w:t>
      </w:r>
      <w:r>
        <w:rPr/>
        <w:t>27,</w:t>
      </w:r>
      <w:r>
        <w:rPr>
          <w:spacing w:val="-2"/>
        </w:rPr>
        <w:t> </w:t>
      </w:r>
      <w:r>
        <w:rPr/>
        <w:t>let.</w:t>
      </w:r>
      <w:r>
        <w:rPr>
          <w:spacing w:val="-1"/>
        </w:rPr>
        <w:t> </w:t>
      </w:r>
      <w:r>
        <w:rPr/>
        <w:t>f</w:t>
      </w:r>
      <w:r>
        <w:rPr>
          <w:position w:val="6"/>
          <w:sz w:val="12"/>
        </w:rPr>
        <w:t>bis</w:t>
      </w:r>
      <w:r>
        <w:rPr>
          <w:spacing w:val="15"/>
          <w:position w:val="6"/>
          <w:sz w:val="12"/>
        </w:rPr>
        <w:t> </w:t>
      </w:r>
      <w:r>
        <w:rPr>
          <w:spacing w:val="-4"/>
        </w:rPr>
        <w:t>LCdir</w:t>
      </w:r>
    </w:p>
    <w:p>
      <w:pPr>
        <w:pStyle w:val="BodyText"/>
        <w:spacing w:before="59"/>
        <w:ind w:left="1134"/>
        <w:jc w:val="both"/>
      </w:pPr>
      <w:r>
        <w:rPr/>
        <w:t>Sont</w:t>
      </w:r>
      <w:r>
        <w:rPr>
          <w:spacing w:val="-3"/>
        </w:rPr>
        <w:t> </w:t>
      </w:r>
      <w:r>
        <w:rPr/>
        <w:t>seuls</w:t>
      </w:r>
      <w:r>
        <w:rPr>
          <w:spacing w:val="-1"/>
        </w:rPr>
        <w:t> </w:t>
      </w:r>
      <w:r>
        <w:rPr/>
        <w:t>exonérés</w:t>
      </w:r>
      <w:r>
        <w:rPr>
          <w:spacing w:val="-4"/>
        </w:rPr>
        <w:t> </w:t>
      </w:r>
      <w:r>
        <w:rPr/>
        <w:t>de</w:t>
      </w:r>
      <w:r>
        <w:rPr>
          <w:spacing w:val="-4"/>
        </w:rPr>
        <w:t> </w:t>
      </w:r>
      <w:r>
        <w:rPr/>
        <w:t>l‘impôt</w:t>
      </w:r>
      <w:r>
        <w:rPr>
          <w:spacing w:val="-4"/>
        </w:rPr>
        <w:t> </w:t>
      </w:r>
      <w:r>
        <w:rPr>
          <w:spacing w:val="-10"/>
        </w:rPr>
        <w:t>:</w:t>
      </w:r>
    </w:p>
    <w:p>
      <w:pPr>
        <w:pStyle w:val="BodyText"/>
        <w:spacing w:before="37"/>
        <w:ind w:left="1559" w:right="703" w:hanging="425"/>
        <w:jc w:val="both"/>
      </w:pPr>
      <w:r>
        <w:rPr/>
        <w:t>f</w:t>
      </w:r>
      <w:r>
        <w:rPr>
          <w:position w:val="6"/>
          <w:sz w:val="12"/>
        </w:rPr>
        <w:t>bis</w:t>
      </w:r>
      <w:r>
        <w:rPr/>
        <w:t>)</w:t>
      </w:r>
      <w:r>
        <w:rPr>
          <w:spacing w:val="80"/>
        </w:rPr>
        <w:t> </w:t>
      </w:r>
      <w:r>
        <w:rPr/>
        <w:t>la</w:t>
      </w:r>
      <w:r>
        <w:rPr>
          <w:spacing w:val="-13"/>
        </w:rPr>
        <w:t> </w:t>
      </w:r>
      <w:r>
        <w:rPr/>
        <w:t>solde</w:t>
      </w:r>
      <w:r>
        <w:rPr>
          <w:spacing w:val="-12"/>
        </w:rPr>
        <w:t> </w:t>
      </w:r>
      <w:r>
        <w:rPr/>
        <w:t>des</w:t>
      </w:r>
      <w:r>
        <w:rPr>
          <w:spacing w:val="-13"/>
        </w:rPr>
        <w:t> </w:t>
      </w:r>
      <w:r>
        <w:rPr/>
        <w:t>sapeurs-pompiers</w:t>
      </w:r>
      <w:r>
        <w:rPr>
          <w:spacing w:val="-12"/>
        </w:rPr>
        <w:t> </w:t>
      </w:r>
      <w:r>
        <w:rPr/>
        <w:t>de</w:t>
      </w:r>
      <w:r>
        <w:rPr>
          <w:spacing w:val="-13"/>
        </w:rPr>
        <w:t> </w:t>
      </w:r>
      <w:r>
        <w:rPr/>
        <w:t>milice,</w:t>
      </w:r>
      <w:r>
        <w:rPr>
          <w:spacing w:val="-12"/>
        </w:rPr>
        <w:t> </w:t>
      </w:r>
      <w:r>
        <w:rPr/>
        <w:t>jusqu'à</w:t>
      </w:r>
      <w:r>
        <w:rPr>
          <w:spacing w:val="-13"/>
        </w:rPr>
        <w:t> </w:t>
      </w:r>
      <w:r>
        <w:rPr/>
        <w:t>concurrence</w:t>
      </w:r>
      <w:r>
        <w:rPr>
          <w:spacing w:val="-12"/>
        </w:rPr>
        <w:t> </w:t>
      </w:r>
      <w:r>
        <w:rPr/>
        <w:t>d'un</w:t>
      </w:r>
      <w:r>
        <w:rPr>
          <w:spacing w:val="-13"/>
        </w:rPr>
        <w:t> </w:t>
      </w:r>
      <w:r>
        <w:rPr/>
        <w:t>montant</w:t>
      </w:r>
      <w:r>
        <w:rPr>
          <w:spacing w:val="-12"/>
        </w:rPr>
        <w:t> </w:t>
      </w:r>
      <w:r>
        <w:rPr/>
        <w:t>annuel</w:t>
      </w:r>
      <w:r>
        <w:rPr>
          <w:spacing w:val="-13"/>
        </w:rPr>
        <w:t> </w:t>
      </w:r>
      <w:r>
        <w:rPr/>
        <w:t>de</w:t>
      </w:r>
      <w:r>
        <w:rPr>
          <w:spacing w:val="-12"/>
        </w:rPr>
        <w:t> </w:t>
      </w:r>
      <w:r>
        <w:rPr/>
        <w:t>8.200</w:t>
      </w:r>
      <w:r>
        <w:rPr>
          <w:spacing w:val="-13"/>
        </w:rPr>
        <w:t> </w:t>
      </w:r>
      <w:r>
        <w:rPr/>
        <w:t>francs, pour les activités liées à l'accomplissement de leurs tâches essentielles (exercices, service de pi-quet, cours, inspections et interventions, notamment pour le sauvetage, la lutte contre le feu, la lutte</w:t>
      </w:r>
      <w:r>
        <w:rPr>
          <w:spacing w:val="-8"/>
        </w:rPr>
        <w:t> </w:t>
      </w:r>
      <w:r>
        <w:rPr/>
        <w:t>contre</w:t>
      </w:r>
      <w:r>
        <w:rPr>
          <w:spacing w:val="-10"/>
        </w:rPr>
        <w:t> </w:t>
      </w:r>
      <w:r>
        <w:rPr/>
        <w:t>les</w:t>
      </w:r>
      <w:r>
        <w:rPr>
          <w:spacing w:val="-9"/>
        </w:rPr>
        <w:t> </w:t>
      </w:r>
      <w:r>
        <w:rPr/>
        <w:t>sinistres</w:t>
      </w:r>
      <w:r>
        <w:rPr>
          <w:spacing w:val="-8"/>
        </w:rPr>
        <w:t> </w:t>
      </w:r>
      <w:r>
        <w:rPr/>
        <w:t>en</w:t>
      </w:r>
      <w:r>
        <w:rPr>
          <w:spacing w:val="-8"/>
        </w:rPr>
        <w:t> </w:t>
      </w:r>
      <w:r>
        <w:rPr/>
        <w:t>général</w:t>
      </w:r>
      <w:r>
        <w:rPr>
          <w:spacing w:val="-8"/>
        </w:rPr>
        <w:t> </w:t>
      </w:r>
      <w:r>
        <w:rPr/>
        <w:t>et</w:t>
      </w:r>
      <w:r>
        <w:rPr>
          <w:spacing w:val="-8"/>
        </w:rPr>
        <w:t> </w:t>
      </w:r>
      <w:r>
        <w:rPr/>
        <w:t>la</w:t>
      </w:r>
      <w:r>
        <w:rPr>
          <w:spacing w:val="-10"/>
        </w:rPr>
        <w:t> </w:t>
      </w:r>
      <w:r>
        <w:rPr/>
        <w:t>lutte</w:t>
      </w:r>
      <w:r>
        <w:rPr>
          <w:spacing w:val="-10"/>
        </w:rPr>
        <w:t> </w:t>
      </w:r>
      <w:r>
        <w:rPr/>
        <w:t>contre</w:t>
      </w:r>
      <w:r>
        <w:rPr>
          <w:spacing w:val="-8"/>
        </w:rPr>
        <w:t> </w:t>
      </w:r>
      <w:r>
        <w:rPr/>
        <w:t>les</w:t>
      </w:r>
      <w:r>
        <w:rPr>
          <w:spacing w:val="-8"/>
        </w:rPr>
        <w:t> </w:t>
      </w:r>
      <w:r>
        <w:rPr/>
        <w:t>sinistres</w:t>
      </w:r>
      <w:r>
        <w:rPr>
          <w:spacing w:val="-8"/>
        </w:rPr>
        <w:t> </w:t>
      </w:r>
      <w:r>
        <w:rPr/>
        <w:t>causés</w:t>
      </w:r>
      <w:r>
        <w:rPr>
          <w:spacing w:val="-8"/>
        </w:rPr>
        <w:t> </w:t>
      </w:r>
      <w:r>
        <w:rPr/>
        <w:t>par</w:t>
      </w:r>
      <w:r>
        <w:rPr>
          <w:spacing w:val="-8"/>
        </w:rPr>
        <w:t> </w:t>
      </w:r>
      <w:r>
        <w:rPr/>
        <w:t>les</w:t>
      </w:r>
      <w:r>
        <w:rPr>
          <w:spacing w:val="-8"/>
        </w:rPr>
        <w:t> </w:t>
      </w:r>
      <w:r>
        <w:rPr/>
        <w:t>éléments</w:t>
      </w:r>
      <w:r>
        <w:rPr>
          <w:spacing w:val="-8"/>
        </w:rPr>
        <w:t> </w:t>
      </w:r>
      <w:r>
        <w:rPr/>
        <w:t>naturels); les indemnités supplémentaires forfaitaires pour les cadres, les indemnités supplémentaires de fonction,</w:t>
      </w:r>
      <w:r>
        <w:rPr>
          <w:spacing w:val="-2"/>
        </w:rPr>
        <w:t> </w:t>
      </w:r>
      <w:r>
        <w:rPr/>
        <w:t>les indemnités</w:t>
      </w:r>
      <w:r>
        <w:rPr>
          <w:spacing w:val="-1"/>
        </w:rPr>
        <w:t> </w:t>
      </w:r>
      <w:r>
        <w:rPr/>
        <w:t>pour</w:t>
      </w:r>
      <w:r>
        <w:rPr>
          <w:spacing w:val="-2"/>
        </w:rPr>
        <w:t> </w:t>
      </w:r>
      <w:r>
        <w:rPr/>
        <w:t>les travaux administratifs</w:t>
      </w:r>
      <w:r>
        <w:rPr>
          <w:spacing w:val="-1"/>
        </w:rPr>
        <w:t> </w:t>
      </w:r>
      <w:r>
        <w:rPr/>
        <w:t>et les</w:t>
      </w:r>
      <w:r>
        <w:rPr>
          <w:spacing w:val="-1"/>
        </w:rPr>
        <w:t> </w:t>
      </w:r>
      <w:r>
        <w:rPr/>
        <w:t>indemnités</w:t>
      </w:r>
      <w:r>
        <w:rPr>
          <w:spacing w:val="-1"/>
        </w:rPr>
        <w:t> </w:t>
      </w:r>
      <w:r>
        <w:rPr/>
        <w:t>pour</w:t>
      </w:r>
      <w:r>
        <w:rPr>
          <w:spacing w:val="-2"/>
        </w:rPr>
        <w:t> </w:t>
      </w:r>
      <w:r>
        <w:rPr/>
        <w:t>les prestations four-nies volontairement ne sont pas exonérées;</w:t>
      </w:r>
    </w:p>
    <w:p>
      <w:pPr>
        <w:pStyle w:val="BodyText"/>
        <w:spacing w:before="154"/>
      </w:pPr>
    </w:p>
    <w:p>
      <w:pPr>
        <w:pStyle w:val="Heading7"/>
        <w:jc w:val="both"/>
      </w:pPr>
      <w:r>
        <w:rPr>
          <w:color w:val="950000"/>
        </w:rPr>
        <w:t>Gains provenant des jeux d’argent</w:t>
      </w:r>
      <w:r>
        <w:rPr>
          <w:color w:val="950000"/>
          <w:spacing w:val="80"/>
        </w:rPr>
        <w:t> </w:t>
      </w:r>
      <w:r>
        <w:rPr>
          <w:color w:val="950000"/>
        </w:rPr>
        <w:drawing>
          <wp:inline distT="0" distB="0" distL="0" distR="0">
            <wp:extent cx="201234" cy="114902"/>
            <wp:effectExtent l="0" t="0" r="0" b="0"/>
            <wp:docPr id="30" name="Image 30" descr="">
              <a:hlinkClick r:id="rId37"/>
            </wp:docPr>
            <wp:cNvGraphicFramePr>
              <a:graphicFrameLocks/>
            </wp:cNvGraphicFramePr>
            <a:graphic>
              <a:graphicData uri="http://schemas.openxmlformats.org/drawingml/2006/picture">
                <pic:pic>
                  <pic:nvPicPr>
                    <pic:cNvPr id="30" name="Image 30" descr="">
                      <a:hlinkClick r:id="rId37"/>
                    </pic:cNvPr>
                    <pic:cNvPicPr/>
                  </pic:nvPicPr>
                  <pic:blipFill>
                    <a:blip r:embed="rId11" cstate="print"/>
                    <a:stretch>
                      <a:fillRect/>
                    </a:stretch>
                  </pic:blipFill>
                  <pic:spPr>
                    <a:xfrm>
                      <a:off x="0" y="0"/>
                      <a:ext cx="201234" cy="114902"/>
                    </a:xfrm>
                    <a:prstGeom prst="rect">
                      <a:avLst/>
                    </a:prstGeom>
                  </pic:spPr>
                </pic:pic>
              </a:graphicData>
            </a:graphic>
          </wp:inline>
        </w:drawing>
      </w:r>
      <w:r>
        <w:rPr>
          <w:color w:val="950000"/>
        </w:rPr>
      </w:r>
    </w:p>
    <w:p>
      <w:pPr>
        <w:pStyle w:val="Heading8"/>
        <w:spacing w:before="94"/>
        <w:jc w:val="both"/>
      </w:pPr>
      <w:r>
        <w:rPr/>
        <w:t>Art.</w:t>
      </w:r>
      <w:r>
        <w:rPr>
          <w:spacing w:val="-1"/>
        </w:rPr>
        <w:t> </w:t>
      </w:r>
      <w:r>
        <w:rPr/>
        <w:t>27,</w:t>
      </w:r>
      <w:r>
        <w:rPr>
          <w:spacing w:val="-1"/>
        </w:rPr>
        <w:t> </w:t>
      </w:r>
      <w:r>
        <w:rPr/>
        <w:t>let.</w:t>
      </w:r>
      <w:r>
        <w:rPr>
          <w:spacing w:val="-1"/>
        </w:rPr>
        <w:t> </w:t>
      </w:r>
      <w:r>
        <w:rPr/>
        <w:t>i</w:t>
      </w:r>
      <w:r>
        <w:rPr>
          <w:spacing w:val="-1"/>
        </w:rPr>
        <w:t> </w:t>
      </w:r>
      <w:r>
        <w:rPr/>
        <w:t>–</w:t>
      </w:r>
      <w:r>
        <w:rPr>
          <w:spacing w:val="-3"/>
        </w:rPr>
        <w:t> </w:t>
      </w:r>
      <w:r>
        <w:rPr/>
        <w:t>j </w:t>
      </w:r>
      <w:r>
        <w:rPr>
          <w:spacing w:val="-4"/>
        </w:rPr>
        <w:t>LCdir</w:t>
      </w:r>
    </w:p>
    <w:p>
      <w:pPr>
        <w:pStyle w:val="BodyText"/>
        <w:spacing w:before="59"/>
        <w:ind w:left="1134"/>
        <w:jc w:val="both"/>
      </w:pPr>
      <w:r>
        <w:rPr/>
        <w:t>Sont</w:t>
      </w:r>
      <w:r>
        <w:rPr>
          <w:spacing w:val="-2"/>
        </w:rPr>
        <w:t> </w:t>
      </w:r>
      <w:r>
        <w:rPr/>
        <w:t>exonérés</w:t>
      </w:r>
      <w:r>
        <w:rPr>
          <w:spacing w:val="-3"/>
        </w:rPr>
        <w:t> </w:t>
      </w:r>
      <w:r>
        <w:rPr/>
        <w:t>de</w:t>
      </w:r>
      <w:r>
        <w:rPr>
          <w:spacing w:val="-3"/>
        </w:rPr>
        <w:t> </w:t>
      </w:r>
      <w:r>
        <w:rPr>
          <w:spacing w:val="-2"/>
        </w:rPr>
        <w:t>l’impôt:</w:t>
      </w:r>
    </w:p>
    <w:p>
      <w:pPr>
        <w:pStyle w:val="ListParagraph"/>
        <w:numPr>
          <w:ilvl w:val="1"/>
          <w:numId w:val="3"/>
        </w:numPr>
        <w:tabs>
          <w:tab w:pos="1559" w:val="left" w:leader="none"/>
        </w:tabs>
        <w:spacing w:line="240" w:lineRule="auto" w:before="40" w:after="0"/>
        <w:ind w:left="1559" w:right="703" w:hanging="425"/>
        <w:jc w:val="both"/>
        <w:rPr>
          <w:sz w:val="18"/>
        </w:rPr>
      </w:pPr>
      <w:r>
        <w:rPr>
          <w:sz w:val="18"/>
        </w:rPr>
        <w:t>les gains provenant des jeux de casino exploités dans les maisons de jeu et autorisés par la </w:t>
      </w:r>
      <w:hyperlink r:id="rId38">
        <w:r>
          <w:rPr>
            <w:color w:val="0462C0"/>
            <w:sz w:val="18"/>
            <w:u w:val="single" w:color="0462C0"/>
          </w:rPr>
          <w:t>lo</w:t>
        </w:r>
        <w:r>
          <w:rPr>
            <w:color w:val="0462C0"/>
            <w:sz w:val="18"/>
          </w:rPr>
          <w:t>i</w:t>
        </w:r>
      </w:hyperlink>
      <w:r>
        <w:rPr>
          <w:color w:val="0462C0"/>
          <w:sz w:val="18"/>
        </w:rPr>
        <w:t> </w:t>
      </w:r>
      <w:hyperlink r:id="rId38">
        <w:r>
          <w:rPr>
            <w:color w:val="0462C0"/>
            <w:sz w:val="18"/>
            <w:u w:val="single" w:color="0462C0"/>
          </w:rPr>
          <w:t>fédérale du</w:t>
        </w:r>
        <w:r>
          <w:rPr>
            <w:color w:val="0462C0"/>
            <w:spacing w:val="-1"/>
            <w:sz w:val="18"/>
            <w:u w:val="single" w:color="0462C0"/>
          </w:rPr>
          <w:t> </w:t>
        </w:r>
        <w:r>
          <w:rPr>
            <w:color w:val="0462C0"/>
            <w:sz w:val="18"/>
            <w:u w:val="single" w:color="0462C0"/>
          </w:rPr>
          <w:t>29 septembre 2017 sur les jeux d’argents (LJAr)</w:t>
        </w:r>
        <w:r>
          <w:rPr>
            <w:sz w:val="18"/>
          </w:rPr>
          <w:t>,</w:t>
        </w:r>
      </w:hyperlink>
      <w:r>
        <w:rPr>
          <w:sz w:val="18"/>
        </w:rPr>
        <w:t> pour autant que ces gains ne</w:t>
      </w:r>
      <w:r>
        <w:rPr>
          <w:spacing w:val="-1"/>
          <w:sz w:val="18"/>
        </w:rPr>
        <w:t> </w:t>
      </w:r>
      <w:r>
        <w:rPr>
          <w:sz w:val="18"/>
        </w:rPr>
        <w:t>soient pas issus d’une activité lucrative indépendante;</w:t>
      </w:r>
    </w:p>
    <w:p>
      <w:pPr>
        <w:pStyle w:val="BodyText"/>
        <w:spacing w:before="35"/>
        <w:ind w:left="1559" w:right="703" w:hanging="425"/>
        <w:jc w:val="both"/>
      </w:pPr>
      <w:r>
        <w:rPr/>
        <w:t>i</w:t>
      </w:r>
      <w:r>
        <w:rPr>
          <w:position w:val="6"/>
          <w:sz w:val="12"/>
        </w:rPr>
        <w:t>bis</w:t>
      </w:r>
      <w:r>
        <w:rPr/>
        <w:t>)</w:t>
      </w:r>
      <w:r>
        <w:rPr>
          <w:spacing w:val="80"/>
        </w:rPr>
        <w:t> </w:t>
      </w:r>
      <w:r>
        <w:rPr/>
        <w:t>les gains unitaires jusqu’à concurrence d’un montant de 1.030.000 francs provenant de la partici-pation à un jeu de grande envergure autorisé par la LJAr et</w:t>
      </w:r>
      <w:r>
        <w:rPr>
          <w:spacing w:val="-1"/>
        </w:rPr>
        <w:t> </w:t>
      </w:r>
      <w:r>
        <w:rPr/>
        <w:t>de la participation en ligne à des jeux de casino autorisés par la LJAr;</w:t>
      </w:r>
    </w:p>
    <w:p>
      <w:pPr>
        <w:pStyle w:val="BodyText"/>
        <w:spacing w:before="38"/>
        <w:ind w:left="1134"/>
        <w:jc w:val="both"/>
      </w:pPr>
      <w:r>
        <w:rPr/>
        <w:t>i</w:t>
      </w:r>
      <w:r>
        <w:rPr>
          <w:position w:val="6"/>
          <w:sz w:val="12"/>
        </w:rPr>
        <w:t>ter</w:t>
      </w:r>
      <w:r>
        <w:rPr/>
        <w:t>)</w:t>
      </w:r>
      <w:r>
        <w:rPr>
          <w:spacing w:val="35"/>
        </w:rPr>
        <w:t>  </w:t>
      </w:r>
      <w:r>
        <w:rPr/>
        <w:t>les</w:t>
      </w:r>
      <w:r>
        <w:rPr>
          <w:spacing w:val="-2"/>
        </w:rPr>
        <w:t> </w:t>
      </w:r>
      <w:r>
        <w:rPr/>
        <w:t>gains</w:t>
      </w:r>
      <w:r>
        <w:rPr>
          <w:spacing w:val="-1"/>
        </w:rPr>
        <w:t> </w:t>
      </w:r>
      <w:r>
        <w:rPr/>
        <w:t>provenant</w:t>
      </w:r>
      <w:r>
        <w:rPr>
          <w:spacing w:val="-2"/>
        </w:rPr>
        <w:t> </w:t>
      </w:r>
      <w:r>
        <w:rPr/>
        <w:t>d’un</w:t>
      </w:r>
      <w:r>
        <w:rPr>
          <w:spacing w:val="-1"/>
        </w:rPr>
        <w:t> </w:t>
      </w:r>
      <w:r>
        <w:rPr/>
        <w:t>jeu de</w:t>
      </w:r>
      <w:r>
        <w:rPr>
          <w:spacing w:val="-1"/>
        </w:rPr>
        <w:t> </w:t>
      </w:r>
      <w:r>
        <w:rPr/>
        <w:t>petite</w:t>
      </w:r>
      <w:r>
        <w:rPr>
          <w:spacing w:val="-1"/>
        </w:rPr>
        <w:t> </w:t>
      </w:r>
      <w:r>
        <w:rPr/>
        <w:t>envergure</w:t>
      </w:r>
      <w:r>
        <w:rPr>
          <w:spacing w:val="-4"/>
        </w:rPr>
        <w:t> </w:t>
      </w:r>
      <w:r>
        <w:rPr/>
        <w:t>autorisé</w:t>
      </w:r>
      <w:r>
        <w:rPr>
          <w:spacing w:val="-1"/>
        </w:rPr>
        <w:t> </w:t>
      </w:r>
      <w:r>
        <w:rPr/>
        <w:t>par</w:t>
      </w:r>
      <w:r>
        <w:rPr>
          <w:spacing w:val="-4"/>
        </w:rPr>
        <w:t> </w:t>
      </w:r>
      <w:r>
        <w:rPr/>
        <w:t>la </w:t>
      </w:r>
      <w:r>
        <w:rPr>
          <w:spacing w:val="-2"/>
        </w:rPr>
        <w:t>LJAr;</w:t>
      </w:r>
    </w:p>
    <w:p>
      <w:pPr>
        <w:pStyle w:val="ListParagraph"/>
        <w:numPr>
          <w:ilvl w:val="1"/>
          <w:numId w:val="3"/>
        </w:numPr>
        <w:tabs>
          <w:tab w:pos="1559" w:val="left" w:leader="none"/>
        </w:tabs>
        <w:spacing w:line="240" w:lineRule="auto" w:before="40" w:after="0"/>
        <w:ind w:left="1559" w:right="703" w:hanging="425"/>
        <w:jc w:val="both"/>
        <w:rPr>
          <w:sz w:val="18"/>
        </w:rPr>
      </w:pPr>
      <w:r>
        <w:rPr>
          <w:sz w:val="18"/>
        </w:rPr>
        <w:t>les gains unitaires jusqu’à concurrence de 1.000 francs provenant d’un jeu d’adresse ou d’une loterie destinés à promouvoir</w:t>
      </w:r>
      <w:r>
        <w:rPr>
          <w:spacing w:val="-1"/>
          <w:sz w:val="18"/>
        </w:rPr>
        <w:t> </w:t>
      </w:r>
      <w:r>
        <w:rPr>
          <w:sz w:val="18"/>
        </w:rPr>
        <w:t>les ventes qui ne</w:t>
      </w:r>
      <w:r>
        <w:rPr>
          <w:spacing w:val="-3"/>
          <w:sz w:val="18"/>
        </w:rPr>
        <w:t> </w:t>
      </w:r>
      <w:r>
        <w:rPr>
          <w:sz w:val="18"/>
        </w:rPr>
        <w:t>sont</w:t>
      </w:r>
      <w:r>
        <w:rPr>
          <w:spacing w:val="-1"/>
          <w:sz w:val="18"/>
        </w:rPr>
        <w:t> </w:t>
      </w:r>
      <w:r>
        <w:rPr>
          <w:sz w:val="18"/>
        </w:rPr>
        <w:t>pas soumis à la LJAr</w:t>
      </w:r>
      <w:r>
        <w:rPr>
          <w:spacing w:val="-1"/>
          <w:sz w:val="18"/>
        </w:rPr>
        <w:t> </w:t>
      </w:r>
      <w:r>
        <w:rPr>
          <w:sz w:val="18"/>
        </w:rPr>
        <w:t>selon l’art.</w:t>
      </w:r>
      <w:r>
        <w:rPr>
          <w:spacing w:val="-1"/>
          <w:sz w:val="18"/>
        </w:rPr>
        <w:t> </w:t>
      </w:r>
      <w:r>
        <w:rPr>
          <w:sz w:val="18"/>
        </w:rPr>
        <w:t>1,</w:t>
      </w:r>
      <w:r>
        <w:rPr>
          <w:spacing w:val="-1"/>
          <w:sz w:val="18"/>
        </w:rPr>
        <w:t> </w:t>
      </w:r>
      <w:r>
        <w:rPr>
          <w:sz w:val="18"/>
        </w:rPr>
        <w:t>al.</w:t>
      </w:r>
      <w:r>
        <w:rPr>
          <w:spacing w:val="-3"/>
          <w:sz w:val="18"/>
        </w:rPr>
        <w:t> </w:t>
      </w:r>
      <w:r>
        <w:rPr>
          <w:sz w:val="18"/>
        </w:rPr>
        <w:t>2,</w:t>
      </w:r>
      <w:r>
        <w:rPr>
          <w:spacing w:val="-1"/>
          <w:sz w:val="18"/>
        </w:rPr>
        <w:t> </w:t>
      </w:r>
      <w:r>
        <w:rPr>
          <w:sz w:val="18"/>
        </w:rPr>
        <w:t>let.</w:t>
      </w:r>
      <w:r>
        <w:rPr>
          <w:spacing w:val="-1"/>
          <w:sz w:val="18"/>
        </w:rPr>
        <w:t> </w:t>
      </w:r>
      <w:r>
        <w:rPr>
          <w:sz w:val="18"/>
        </w:rPr>
        <w:t>d et e de cette loi.</w:t>
      </w:r>
    </w:p>
    <w:p>
      <w:pPr>
        <w:pStyle w:val="BodyText"/>
        <w:spacing w:before="153"/>
      </w:pPr>
    </w:p>
    <w:p>
      <w:pPr>
        <w:pStyle w:val="Heading3"/>
      </w:pPr>
      <w:bookmarkStart w:name="Détermination du revenu net" w:id="11"/>
      <w:bookmarkEnd w:id="11"/>
      <w:r>
        <w:rPr>
          <w:b w:val="0"/>
        </w:rPr>
      </w:r>
      <w:bookmarkStart w:name="_bookmark5" w:id="12"/>
      <w:bookmarkEnd w:id="12"/>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60"/>
        <w:ind w:left="851"/>
      </w:pPr>
      <w:r>
        <w:rPr/>
        <w:t>(Art.</w:t>
      </w:r>
      <w:r>
        <w:rPr>
          <w:spacing w:val="-1"/>
        </w:rPr>
        <w:t> </w:t>
      </w:r>
      <w:r>
        <w:rPr/>
        <w:t>28</w:t>
      </w:r>
      <w:r>
        <w:rPr>
          <w:spacing w:val="-2"/>
        </w:rPr>
        <w:t> </w:t>
      </w:r>
      <w:r>
        <w:rPr/>
        <w:t>à 37</w:t>
      </w:r>
      <w:r>
        <w:rPr>
          <w:spacing w:val="-2"/>
        </w:rPr>
        <w:t> </w:t>
      </w:r>
      <w:r>
        <w:rPr/>
        <w:t>LCdir</w:t>
      </w:r>
      <w:r>
        <w:rPr>
          <w:spacing w:val="-1"/>
        </w:rPr>
        <w:t> </w:t>
      </w:r>
      <w:r>
        <w:rPr/>
        <w:t>;</w:t>
      </w:r>
      <w:r>
        <w:rPr>
          <w:spacing w:val="-2"/>
        </w:rPr>
        <w:t> </w:t>
      </w:r>
      <w:r>
        <w:rPr/>
        <w:t>Art.</w:t>
      </w:r>
      <w:r>
        <w:rPr>
          <w:spacing w:val="-1"/>
        </w:rPr>
        <w:t> </w:t>
      </w:r>
      <w:r>
        <w:rPr/>
        <w:t>13</w:t>
      </w:r>
      <w:r>
        <w:rPr>
          <w:spacing w:val="1"/>
        </w:rPr>
        <w:t> </w:t>
      </w:r>
      <w:r>
        <w:rPr/>
        <w:t>à</w:t>
      </w:r>
      <w:r>
        <w:rPr>
          <w:spacing w:val="-3"/>
        </w:rPr>
        <w:t> </w:t>
      </w:r>
      <w:r>
        <w:rPr/>
        <w:t>33</w:t>
      </w:r>
      <w:r>
        <w:rPr>
          <w:spacing w:val="1"/>
        </w:rPr>
        <w:t> </w:t>
      </w:r>
      <w:r>
        <w:rPr>
          <w:spacing w:val="-2"/>
        </w:rPr>
        <w:t>RELCdir)</w:t>
      </w:r>
    </w:p>
    <w:p>
      <w:pPr>
        <w:pStyle w:val="Heading7"/>
        <w:spacing w:line="249" w:lineRule="auto" w:before="129"/>
        <w:ind w:left="851"/>
      </w:pPr>
      <w:r>
        <w:rPr/>
        <w:t>Le</w:t>
      </w:r>
      <w:r>
        <w:rPr>
          <w:spacing w:val="22"/>
        </w:rPr>
        <w:t> </w:t>
      </w:r>
      <w:r>
        <w:rPr/>
        <w:t>revenu</w:t>
      </w:r>
      <w:r>
        <w:rPr>
          <w:spacing w:val="24"/>
        </w:rPr>
        <w:t> </w:t>
      </w:r>
      <w:r>
        <w:rPr/>
        <w:t>net</w:t>
      </w:r>
      <w:r>
        <w:rPr>
          <w:spacing w:val="23"/>
        </w:rPr>
        <w:t> </w:t>
      </w:r>
      <w:r>
        <w:rPr/>
        <w:t>se</w:t>
      </w:r>
      <w:r>
        <w:rPr>
          <w:spacing w:val="22"/>
        </w:rPr>
        <w:t> </w:t>
      </w:r>
      <w:r>
        <w:rPr/>
        <w:t>calcule</w:t>
      </w:r>
      <w:r>
        <w:rPr>
          <w:spacing w:val="24"/>
        </w:rPr>
        <w:t> </w:t>
      </w:r>
      <w:r>
        <w:rPr/>
        <w:t>en</w:t>
      </w:r>
      <w:r>
        <w:rPr>
          <w:spacing w:val="22"/>
        </w:rPr>
        <w:t> </w:t>
      </w:r>
      <w:r>
        <w:rPr/>
        <w:t>défalquant</w:t>
      </w:r>
      <w:r>
        <w:rPr>
          <w:spacing w:val="23"/>
        </w:rPr>
        <w:t> </w:t>
      </w:r>
      <w:r>
        <w:rPr/>
        <w:t>du</w:t>
      </w:r>
      <w:r>
        <w:rPr>
          <w:spacing w:val="22"/>
        </w:rPr>
        <w:t> </w:t>
      </w:r>
      <w:r>
        <w:rPr/>
        <w:t>total</w:t>
      </w:r>
      <w:r>
        <w:rPr>
          <w:spacing w:val="21"/>
        </w:rPr>
        <w:t> </w:t>
      </w:r>
      <w:r>
        <w:rPr/>
        <w:t>des</w:t>
      </w:r>
      <w:r>
        <w:rPr>
          <w:spacing w:val="26"/>
        </w:rPr>
        <w:t> </w:t>
      </w:r>
      <w:r>
        <w:rPr/>
        <w:t>revenus</w:t>
      </w:r>
      <w:r>
        <w:rPr>
          <w:spacing w:val="24"/>
        </w:rPr>
        <w:t> </w:t>
      </w:r>
      <w:r>
        <w:rPr/>
        <w:t>imposables</w:t>
      </w:r>
      <w:r>
        <w:rPr>
          <w:spacing w:val="24"/>
        </w:rPr>
        <w:t> </w:t>
      </w:r>
      <w:r>
        <w:rPr/>
        <w:t>les</w:t>
      </w:r>
      <w:r>
        <w:rPr>
          <w:spacing w:val="24"/>
        </w:rPr>
        <w:t> </w:t>
      </w:r>
      <w:r>
        <w:rPr/>
        <w:t>frais</w:t>
      </w:r>
      <w:r>
        <w:rPr>
          <w:spacing w:val="24"/>
        </w:rPr>
        <w:t> </w:t>
      </w:r>
      <w:r>
        <w:rPr/>
        <w:t>et</w:t>
      </w:r>
      <w:r>
        <w:rPr>
          <w:spacing w:val="23"/>
        </w:rPr>
        <w:t> </w:t>
      </w:r>
      <w:r>
        <w:rPr/>
        <w:t>les</w:t>
      </w:r>
      <w:r>
        <w:rPr>
          <w:spacing w:val="24"/>
        </w:rPr>
        <w:t> </w:t>
      </w:r>
      <w:r>
        <w:rPr/>
        <w:t>déductions </w:t>
      </w:r>
      <w:r>
        <w:rPr>
          <w:spacing w:val="-2"/>
        </w:rPr>
        <w:t>générales.</w:t>
      </w:r>
    </w:p>
    <w:p>
      <w:pPr>
        <w:pStyle w:val="BodyText"/>
        <w:spacing w:before="3"/>
        <w:rPr>
          <w:sz w:val="20"/>
        </w:rPr>
      </w:pPr>
    </w:p>
    <w:p>
      <w:pPr>
        <w:pStyle w:val="Heading4"/>
      </w:pPr>
      <w:bookmarkStart w:name="Déductions" w:id="13"/>
      <w:bookmarkEnd w:id="13"/>
      <w:r>
        <w:rPr/>
      </w:r>
      <w:r>
        <w:rPr>
          <w:color w:val="2D73B4"/>
          <w:spacing w:val="-2"/>
        </w:rPr>
        <w:t>Déductions</w:t>
      </w:r>
    </w:p>
    <w:p>
      <w:pPr>
        <w:pStyle w:val="BodyText"/>
        <w:spacing w:before="59"/>
        <w:ind w:left="851"/>
      </w:pPr>
      <w:r>
        <w:rPr/>
        <w:t>(Art.</w:t>
      </w:r>
      <w:r>
        <w:rPr>
          <w:spacing w:val="-1"/>
        </w:rPr>
        <w:t> </w:t>
      </w:r>
      <w:r>
        <w:rPr/>
        <w:t>29</w:t>
      </w:r>
      <w:r>
        <w:rPr>
          <w:spacing w:val="-3"/>
        </w:rPr>
        <w:t> </w:t>
      </w:r>
      <w:r>
        <w:rPr/>
        <w:t>à 36</w:t>
      </w:r>
      <w:r>
        <w:rPr>
          <w:spacing w:val="-2"/>
        </w:rPr>
        <w:t> </w:t>
      </w:r>
      <w:r>
        <w:rPr/>
        <w:t>LCdir</w:t>
      </w:r>
      <w:r>
        <w:rPr>
          <w:spacing w:val="-1"/>
        </w:rPr>
        <w:t> </w:t>
      </w:r>
      <w:r>
        <w:rPr/>
        <w:t>;</w:t>
      </w:r>
      <w:r>
        <w:rPr>
          <w:spacing w:val="-3"/>
        </w:rPr>
        <w:t> </w:t>
      </w:r>
      <w:r>
        <w:rPr/>
        <w:t>Art. 13 à</w:t>
      </w:r>
      <w:r>
        <w:rPr>
          <w:spacing w:val="-3"/>
        </w:rPr>
        <w:t> </w:t>
      </w:r>
      <w:r>
        <w:rPr/>
        <w:t>32</w:t>
      </w:r>
      <w:r>
        <w:rPr>
          <w:spacing w:val="1"/>
        </w:rPr>
        <w:t> </w:t>
      </w:r>
      <w:r>
        <w:rPr>
          <w:spacing w:val="-2"/>
        </w:rPr>
        <w:t>RELCdir)</w:t>
      </w:r>
    </w:p>
    <w:p>
      <w:pPr>
        <w:pStyle w:val="BodyText"/>
        <w:spacing w:before="153"/>
      </w:pPr>
    </w:p>
    <w:p>
      <w:pPr>
        <w:pStyle w:val="Heading5"/>
      </w:pPr>
      <w:bookmarkStart w:name="Frais" w:id="14"/>
      <w:bookmarkEnd w:id="14"/>
      <w:r>
        <w:rPr/>
      </w:r>
      <w:r>
        <w:rPr>
          <w:color w:val="2D73B4"/>
          <w:spacing w:val="-2"/>
        </w:rPr>
        <w:t>Frais</w:t>
      </w:r>
    </w:p>
    <w:p>
      <w:pPr>
        <w:pStyle w:val="BodyText"/>
        <w:spacing w:before="61"/>
        <w:ind w:left="1134"/>
        <w:jc w:val="both"/>
      </w:pPr>
      <w:r>
        <w:rPr/>
        <w:t>(Art.</w:t>
      </w:r>
      <w:r>
        <w:rPr>
          <w:spacing w:val="-1"/>
        </w:rPr>
        <w:t> </w:t>
      </w:r>
      <w:r>
        <w:rPr/>
        <w:t>29</w:t>
      </w:r>
      <w:r>
        <w:rPr>
          <w:spacing w:val="-3"/>
        </w:rPr>
        <w:t> </w:t>
      </w:r>
      <w:r>
        <w:rPr/>
        <w:t>à</w:t>
      </w:r>
      <w:r>
        <w:rPr>
          <w:spacing w:val="1"/>
        </w:rPr>
        <w:t> </w:t>
      </w:r>
      <w:r>
        <w:rPr/>
        <w:t>35</w:t>
      </w:r>
      <w:r>
        <w:rPr>
          <w:spacing w:val="-3"/>
        </w:rPr>
        <w:t> </w:t>
      </w:r>
      <w:r>
        <w:rPr/>
        <w:t>LCdir ;</w:t>
      </w:r>
      <w:r>
        <w:rPr>
          <w:spacing w:val="-3"/>
        </w:rPr>
        <w:t> </w:t>
      </w:r>
      <w:r>
        <w:rPr/>
        <w:t>Art.</w:t>
      </w:r>
      <w:r>
        <w:rPr>
          <w:spacing w:val="-1"/>
        </w:rPr>
        <w:t> </w:t>
      </w:r>
      <w:r>
        <w:rPr/>
        <w:t>13</w:t>
      </w:r>
      <w:r>
        <w:rPr>
          <w:spacing w:val="1"/>
        </w:rPr>
        <w:t> </w:t>
      </w:r>
      <w:r>
        <w:rPr/>
        <w:t>à</w:t>
      </w:r>
      <w:r>
        <w:rPr>
          <w:spacing w:val="-3"/>
        </w:rPr>
        <w:t> </w:t>
      </w:r>
      <w:r>
        <w:rPr/>
        <w:t>32</w:t>
      </w:r>
      <w:r>
        <w:rPr>
          <w:spacing w:val="1"/>
        </w:rPr>
        <w:t> </w:t>
      </w:r>
      <w:r>
        <w:rPr>
          <w:spacing w:val="-2"/>
        </w:rPr>
        <w:t>RELCdir)</w:t>
      </w:r>
    </w:p>
    <w:p>
      <w:pPr>
        <w:pStyle w:val="BodyText"/>
        <w:spacing w:before="152"/>
      </w:pPr>
    </w:p>
    <w:p>
      <w:pPr>
        <w:pStyle w:val="Heading7"/>
        <w:spacing w:before="1"/>
        <w:jc w:val="both"/>
      </w:pPr>
      <w:r>
        <w:rPr>
          <w:color w:val="950000"/>
        </w:rPr>
        <w:t>Télétravail</w:t>
      </w:r>
      <w:r>
        <w:rPr>
          <w:color w:val="950000"/>
          <w:spacing w:val="-6"/>
        </w:rPr>
        <w:t> </w:t>
      </w:r>
      <w:r>
        <w:rPr>
          <w:color w:val="950000"/>
        </w:rPr>
        <w:t>relatif</w:t>
      </w:r>
      <w:r>
        <w:rPr>
          <w:color w:val="950000"/>
          <w:spacing w:val="-6"/>
        </w:rPr>
        <w:t> </w:t>
      </w:r>
      <w:r>
        <w:rPr>
          <w:color w:val="950000"/>
        </w:rPr>
        <w:t>à</w:t>
      </w:r>
      <w:r>
        <w:rPr>
          <w:color w:val="950000"/>
          <w:spacing w:val="-6"/>
        </w:rPr>
        <w:t> </w:t>
      </w:r>
      <w:r>
        <w:rPr>
          <w:color w:val="950000"/>
        </w:rPr>
        <w:t>la</w:t>
      </w:r>
      <w:r>
        <w:rPr>
          <w:color w:val="950000"/>
          <w:spacing w:val="-7"/>
        </w:rPr>
        <w:t> </w:t>
      </w:r>
      <w:r>
        <w:rPr>
          <w:color w:val="950000"/>
        </w:rPr>
        <w:t>déduction</w:t>
      </w:r>
      <w:r>
        <w:rPr>
          <w:color w:val="950000"/>
          <w:spacing w:val="-6"/>
        </w:rPr>
        <w:t> </w:t>
      </w:r>
      <w:r>
        <w:rPr>
          <w:color w:val="950000"/>
        </w:rPr>
        <w:t>des</w:t>
      </w:r>
      <w:r>
        <w:rPr>
          <w:color w:val="950000"/>
          <w:spacing w:val="-5"/>
        </w:rPr>
        <w:t> </w:t>
      </w:r>
      <w:r>
        <w:rPr>
          <w:color w:val="950000"/>
        </w:rPr>
        <w:t>frais</w:t>
      </w:r>
      <w:r>
        <w:rPr>
          <w:color w:val="950000"/>
          <w:spacing w:val="-6"/>
        </w:rPr>
        <w:t> </w:t>
      </w:r>
      <w:r>
        <w:rPr>
          <w:color w:val="950000"/>
          <w:spacing w:val="-2"/>
        </w:rPr>
        <w:t>professionnels</w:t>
      </w:r>
    </w:p>
    <w:p>
      <w:pPr>
        <w:pStyle w:val="BodyText"/>
        <w:spacing w:before="40"/>
        <w:ind w:left="1134" w:right="703"/>
        <w:jc w:val="both"/>
      </w:pPr>
      <w:r>
        <w:rPr/>
        <w:t>[…]</w:t>
      </w:r>
      <w:r>
        <w:rPr>
          <w:spacing w:val="-7"/>
        </w:rPr>
        <w:t> </w:t>
      </w:r>
      <w:r>
        <w:rPr/>
        <w:t>Les</w:t>
      </w:r>
      <w:r>
        <w:rPr>
          <w:spacing w:val="-6"/>
        </w:rPr>
        <w:t> </w:t>
      </w:r>
      <w:r>
        <w:rPr/>
        <w:t>personnes</w:t>
      </w:r>
      <w:r>
        <w:rPr>
          <w:spacing w:val="-6"/>
        </w:rPr>
        <w:t> </w:t>
      </w:r>
      <w:r>
        <w:rPr/>
        <w:t>qui</w:t>
      </w:r>
      <w:r>
        <w:rPr>
          <w:spacing w:val="-6"/>
        </w:rPr>
        <w:t> </w:t>
      </w:r>
      <w:r>
        <w:rPr/>
        <w:t>ont</w:t>
      </w:r>
      <w:r>
        <w:rPr>
          <w:spacing w:val="-7"/>
        </w:rPr>
        <w:t> </w:t>
      </w:r>
      <w:r>
        <w:rPr/>
        <w:t>effectué</w:t>
      </w:r>
      <w:r>
        <w:rPr>
          <w:spacing w:val="-6"/>
        </w:rPr>
        <w:t> </w:t>
      </w:r>
      <w:r>
        <w:rPr/>
        <w:t>du</w:t>
      </w:r>
      <w:r>
        <w:rPr>
          <w:spacing w:val="-6"/>
        </w:rPr>
        <w:t> </w:t>
      </w:r>
      <w:r>
        <w:rPr/>
        <w:t>télétravail</w:t>
      </w:r>
      <w:r>
        <w:rPr>
          <w:spacing w:val="-6"/>
        </w:rPr>
        <w:t> </w:t>
      </w:r>
      <w:r>
        <w:rPr/>
        <w:t>de</w:t>
      </w:r>
      <w:r>
        <w:rPr>
          <w:spacing w:val="-9"/>
        </w:rPr>
        <w:t> </w:t>
      </w:r>
      <w:r>
        <w:rPr/>
        <w:t>manière</w:t>
      </w:r>
      <w:r>
        <w:rPr>
          <w:spacing w:val="-6"/>
        </w:rPr>
        <w:t> </w:t>
      </w:r>
      <w:r>
        <w:rPr/>
        <w:t>régulière</w:t>
      </w:r>
      <w:r>
        <w:rPr>
          <w:spacing w:val="-6"/>
        </w:rPr>
        <w:t> </w:t>
      </w:r>
      <w:r>
        <w:rPr/>
        <w:t>durant</w:t>
      </w:r>
      <w:r>
        <w:rPr>
          <w:spacing w:val="-7"/>
        </w:rPr>
        <w:t> </w:t>
      </w:r>
      <w:r>
        <w:rPr/>
        <w:t>l’année</w:t>
      </w:r>
      <w:r>
        <w:rPr>
          <w:spacing w:val="-6"/>
        </w:rPr>
        <w:t> </w:t>
      </w:r>
      <w:r>
        <w:rPr/>
        <w:t>2025</w:t>
      </w:r>
      <w:r>
        <w:rPr>
          <w:spacing w:val="-6"/>
        </w:rPr>
        <w:t> </w:t>
      </w:r>
      <w:r>
        <w:rPr/>
        <w:t>doivent</w:t>
      </w:r>
      <w:r>
        <w:rPr>
          <w:spacing w:val="-7"/>
        </w:rPr>
        <w:t> </w:t>
      </w:r>
      <w:r>
        <w:rPr/>
        <w:t>donc en tenir compte dans la revendication de leurs frais professionnels, mais peuvent en complément faire valoir une déduction pour les jours effectués en télétravail.</w:t>
      </w:r>
    </w:p>
    <w:p>
      <w:pPr>
        <w:pStyle w:val="BodyText"/>
        <w:spacing w:before="39"/>
        <w:ind w:left="1134" w:right="701"/>
        <w:jc w:val="both"/>
      </w:pPr>
      <w:r>
        <w:rPr/>
        <w:t>Cette déduction est accordée de manière forfaitaire. Elle vient s’ajouter à la déduction ordinaire pour autres frais professionnels (3% du salaire net, mais au minimum 2'000 francs et au maximum 4'000 francs). Elle est calculée à hauteur de 10% du salaire net, mais est limitée au maximum à 4'000 francs par</w:t>
      </w:r>
      <w:r>
        <w:rPr>
          <w:spacing w:val="-2"/>
        </w:rPr>
        <w:t> </w:t>
      </w:r>
      <w:r>
        <w:rPr/>
        <w:t>année.</w:t>
      </w:r>
      <w:r>
        <w:rPr>
          <w:spacing w:val="-4"/>
        </w:rPr>
        <w:t> </w:t>
      </w:r>
      <w:r>
        <w:rPr/>
        <w:t>Elle</w:t>
      </w:r>
      <w:r>
        <w:rPr>
          <w:spacing w:val="-1"/>
        </w:rPr>
        <w:t> </w:t>
      </w:r>
      <w:r>
        <w:rPr/>
        <w:t>est</w:t>
      </w:r>
      <w:r>
        <w:rPr>
          <w:spacing w:val="-2"/>
        </w:rPr>
        <w:t> </w:t>
      </w:r>
      <w:r>
        <w:rPr/>
        <w:t>ensuite</w:t>
      </w:r>
      <w:r>
        <w:rPr>
          <w:spacing w:val="-4"/>
        </w:rPr>
        <w:t> </w:t>
      </w:r>
      <w:r>
        <w:rPr/>
        <w:t>proratisée</w:t>
      </w:r>
      <w:r>
        <w:rPr>
          <w:spacing w:val="-1"/>
        </w:rPr>
        <w:t> </w:t>
      </w:r>
      <w:r>
        <w:rPr/>
        <w:t>en</w:t>
      </w:r>
      <w:r>
        <w:rPr>
          <w:spacing w:val="-1"/>
        </w:rPr>
        <w:t> </w:t>
      </w:r>
      <w:r>
        <w:rPr/>
        <w:t>fonction</w:t>
      </w:r>
      <w:r>
        <w:rPr>
          <w:spacing w:val="-4"/>
        </w:rPr>
        <w:t> </w:t>
      </w:r>
      <w:r>
        <w:rPr/>
        <w:t>du</w:t>
      </w:r>
      <w:r>
        <w:rPr>
          <w:spacing w:val="-4"/>
        </w:rPr>
        <w:t> </w:t>
      </w:r>
      <w:r>
        <w:rPr/>
        <w:t>nombre</w:t>
      </w:r>
      <w:r>
        <w:rPr>
          <w:spacing w:val="-4"/>
        </w:rPr>
        <w:t> </w:t>
      </w:r>
      <w:r>
        <w:rPr/>
        <w:t>de</w:t>
      </w:r>
      <w:r>
        <w:rPr>
          <w:spacing w:val="-1"/>
        </w:rPr>
        <w:t> </w:t>
      </w:r>
      <w:r>
        <w:rPr/>
        <w:t>jour(s)</w:t>
      </w:r>
      <w:r>
        <w:rPr>
          <w:spacing w:val="-4"/>
        </w:rPr>
        <w:t> </w:t>
      </w:r>
      <w:r>
        <w:rPr/>
        <w:t>par</w:t>
      </w:r>
      <w:r>
        <w:rPr>
          <w:spacing w:val="-4"/>
        </w:rPr>
        <w:t> </w:t>
      </w:r>
      <w:r>
        <w:rPr/>
        <w:t>semaine</w:t>
      </w:r>
      <w:r>
        <w:rPr>
          <w:spacing w:val="-4"/>
        </w:rPr>
        <w:t> </w:t>
      </w:r>
      <w:r>
        <w:rPr/>
        <w:t>effectué(s)</w:t>
      </w:r>
      <w:r>
        <w:rPr>
          <w:spacing w:val="-2"/>
        </w:rPr>
        <w:t> </w:t>
      </w:r>
      <w:r>
        <w:rPr/>
        <w:t>en</w:t>
      </w:r>
      <w:r>
        <w:rPr>
          <w:spacing w:val="-1"/>
        </w:rPr>
        <w:t> </w:t>
      </w:r>
      <w:r>
        <w:rPr/>
        <w:t>télé-</w:t>
      </w:r>
      <w:r>
        <w:rPr>
          <w:spacing w:val="-2"/>
        </w:rPr>
        <w:t>travail.</w:t>
      </w:r>
    </w:p>
    <w:p>
      <w:pPr>
        <w:pStyle w:val="BodyText"/>
        <w:spacing w:before="41"/>
        <w:ind w:left="1134" w:right="703"/>
        <w:jc w:val="both"/>
      </w:pPr>
      <w:r>
        <w:rPr/>
        <w:t>Cette déduction supplémentaire couvre tous les frais divers que le/la contribuable peut supporter dans le</w:t>
      </w:r>
      <w:r>
        <w:rPr>
          <w:spacing w:val="-2"/>
        </w:rPr>
        <w:t> </w:t>
      </w:r>
      <w:r>
        <w:rPr/>
        <w:t>cadre</w:t>
      </w:r>
      <w:r>
        <w:rPr>
          <w:spacing w:val="-5"/>
        </w:rPr>
        <w:t> </w:t>
      </w:r>
      <w:r>
        <w:rPr/>
        <w:t>de</w:t>
      </w:r>
      <w:r>
        <w:rPr>
          <w:spacing w:val="-5"/>
        </w:rPr>
        <w:t> </w:t>
      </w:r>
      <w:r>
        <w:rPr/>
        <w:t>l’exercice</w:t>
      </w:r>
      <w:r>
        <w:rPr>
          <w:spacing w:val="-2"/>
        </w:rPr>
        <w:t> </w:t>
      </w:r>
      <w:r>
        <w:rPr/>
        <w:t>de</w:t>
      </w:r>
      <w:r>
        <w:rPr>
          <w:spacing w:val="-2"/>
        </w:rPr>
        <w:t> </w:t>
      </w:r>
      <w:r>
        <w:rPr/>
        <w:t>l’activité</w:t>
      </w:r>
      <w:r>
        <w:rPr>
          <w:spacing w:val="-2"/>
        </w:rPr>
        <w:t> </w:t>
      </w:r>
      <w:r>
        <w:rPr/>
        <w:t>à</w:t>
      </w:r>
      <w:r>
        <w:rPr>
          <w:spacing w:val="-5"/>
        </w:rPr>
        <w:t> </w:t>
      </w:r>
      <w:r>
        <w:rPr/>
        <w:t>son</w:t>
      </w:r>
      <w:r>
        <w:rPr>
          <w:spacing w:val="-2"/>
        </w:rPr>
        <w:t> </w:t>
      </w:r>
      <w:r>
        <w:rPr/>
        <w:t>domicile</w:t>
      </w:r>
      <w:r>
        <w:rPr>
          <w:spacing w:val="-2"/>
        </w:rPr>
        <w:t> </w:t>
      </w:r>
      <w:r>
        <w:rPr/>
        <w:t>(utilisation</w:t>
      </w:r>
      <w:r>
        <w:rPr>
          <w:spacing w:val="-5"/>
        </w:rPr>
        <w:t> </w:t>
      </w:r>
      <w:r>
        <w:rPr/>
        <w:t>d’une</w:t>
      </w:r>
      <w:r>
        <w:rPr>
          <w:spacing w:val="-2"/>
        </w:rPr>
        <w:t> </w:t>
      </w:r>
      <w:r>
        <w:rPr/>
        <w:t>pièce,</w:t>
      </w:r>
      <w:r>
        <w:rPr>
          <w:spacing w:val="-3"/>
        </w:rPr>
        <w:t> </w:t>
      </w:r>
      <w:r>
        <w:rPr/>
        <w:t>frais</w:t>
      </w:r>
      <w:r>
        <w:rPr>
          <w:spacing w:val="-2"/>
        </w:rPr>
        <w:t> </w:t>
      </w:r>
      <w:r>
        <w:rPr/>
        <w:t>d’électricité,</w:t>
      </w:r>
      <w:r>
        <w:rPr>
          <w:spacing w:val="-3"/>
        </w:rPr>
        <w:t> </w:t>
      </w:r>
      <w:r>
        <w:rPr/>
        <w:t>de</w:t>
      </w:r>
      <w:r>
        <w:rPr>
          <w:spacing w:val="-2"/>
        </w:rPr>
        <w:t> </w:t>
      </w:r>
      <w:r>
        <w:rPr/>
        <w:t>connexion Internet, de petit matériel, etc.).</w:t>
      </w:r>
      <w:r>
        <w:rPr>
          <w:spacing w:val="-2"/>
        </w:rPr>
        <w:t> </w:t>
      </w:r>
      <w:r>
        <w:rPr/>
        <w:t>Les personnes bénéficiant d’une indemnité de frais de la part de l’em-ployeur ne peuvent pas faire valoir cette déduction.</w:t>
      </w:r>
    </w:p>
    <w:p>
      <w:pPr>
        <w:pStyle w:val="BodyText"/>
        <w:spacing w:before="38"/>
        <w:ind w:left="1134"/>
        <w:jc w:val="both"/>
      </w:pPr>
      <w:hyperlink r:id="rId39">
        <w:r>
          <w:rPr>
            <w:color w:val="0462C0"/>
            <w:u w:val="single" w:color="0462C0"/>
          </w:rPr>
          <w:t>Télétravail</w:t>
        </w:r>
        <w:r>
          <w:rPr>
            <w:color w:val="0462C0"/>
            <w:spacing w:val="-3"/>
            <w:u w:val="single" w:color="0462C0"/>
          </w:rPr>
          <w:t> </w:t>
        </w:r>
        <w:r>
          <w:rPr>
            <w:color w:val="0462C0"/>
            <w:u w:val="single" w:color="0462C0"/>
          </w:rPr>
          <w:t>–</w:t>
        </w:r>
        <w:r>
          <w:rPr>
            <w:color w:val="0462C0"/>
            <w:spacing w:val="-5"/>
            <w:u w:val="single" w:color="0462C0"/>
          </w:rPr>
          <w:t> </w:t>
        </w:r>
        <w:r>
          <w:rPr>
            <w:color w:val="0462C0"/>
            <w:u w:val="single" w:color="0462C0"/>
          </w:rPr>
          <w:t>Frais</w:t>
        </w:r>
        <w:r>
          <w:rPr>
            <w:color w:val="0462C0"/>
            <w:spacing w:val="-3"/>
            <w:u w:val="single" w:color="0462C0"/>
          </w:rPr>
          <w:t> </w:t>
        </w:r>
        <w:r>
          <w:rPr>
            <w:color w:val="0462C0"/>
            <w:u w:val="single" w:color="0462C0"/>
          </w:rPr>
          <w:t>professionnels</w:t>
        </w:r>
        <w:r>
          <w:rPr>
            <w:color w:val="0462C0"/>
            <w:spacing w:val="-4"/>
            <w:u w:val="single" w:color="0462C0"/>
          </w:rPr>
          <w:t> 2025</w:t>
        </w:r>
      </w:hyperlink>
    </w:p>
    <w:p>
      <w:pPr>
        <w:pStyle w:val="Heading7"/>
        <w:spacing w:before="202"/>
        <w:jc w:val="both"/>
      </w:pPr>
      <w:r>
        <w:rPr>
          <w:color w:val="950000"/>
        </w:rPr>
        <w:t>Déduction forfaitaire en cas de surplus de dépenses pour repas</w:t>
      </w:r>
      <w:r>
        <w:rPr>
          <w:color w:val="950000"/>
          <w:spacing w:val="80"/>
          <w:w w:val="150"/>
        </w:rPr>
        <w:t> </w:t>
      </w:r>
      <w:r>
        <w:rPr>
          <w:color w:val="950000"/>
        </w:rPr>
        <w:drawing>
          <wp:inline distT="0" distB="0" distL="0" distR="0">
            <wp:extent cx="201292" cy="114885"/>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92" cy="114885"/>
                    </a:xfrm>
                    <a:prstGeom prst="rect">
                      <a:avLst/>
                    </a:prstGeom>
                  </pic:spPr>
                </pic:pic>
              </a:graphicData>
            </a:graphic>
          </wp:inline>
        </w:drawing>
      </w:r>
      <w:r>
        <w:rPr>
          <w:color w:val="950000"/>
        </w:rPr>
      </w:r>
    </w:p>
    <w:p>
      <w:pPr>
        <w:pStyle w:val="Heading7"/>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Déduction pour le séjour hors du domicile</w:t>
      </w:r>
      <w:r>
        <w:rPr>
          <w:color w:val="950000"/>
          <w:spacing w:val="80"/>
        </w:rPr>
        <w:t> </w:t>
      </w:r>
      <w:r>
        <w:rPr>
          <w:color w:val="950000"/>
          <w:spacing w:val="-15"/>
        </w:rPr>
        <w:drawing>
          <wp:inline distT="0" distB="0" distL="0" distR="0">
            <wp:extent cx="201280" cy="114902"/>
            <wp:effectExtent l="0" t="0" r="0" b="0"/>
            <wp:docPr id="32" name="Image 32" descr="">
              <a:hlinkClick r:id="rId41"/>
            </wp:docPr>
            <wp:cNvGraphicFramePr>
              <a:graphicFrameLocks/>
            </wp:cNvGraphicFramePr>
            <a:graphic>
              <a:graphicData uri="http://schemas.openxmlformats.org/drawingml/2006/picture">
                <pic:pic>
                  <pic:nvPicPr>
                    <pic:cNvPr id="32" name="Image 32" descr="">
                      <a:hlinkClick r:id="rId41"/>
                    </pic:cNvPr>
                    <pic:cNvPicPr/>
                  </pic:nvPicPr>
                  <pic:blipFill>
                    <a:blip r:embed="rId11" cstate="print"/>
                    <a:stretch>
                      <a:fillRect/>
                    </a:stretch>
                  </pic:blipFill>
                  <pic:spPr>
                    <a:xfrm>
                      <a:off x="0" y="0"/>
                      <a:ext cx="201280" cy="114902"/>
                    </a:xfrm>
                    <a:prstGeom prst="rect">
                      <a:avLst/>
                    </a:prstGeom>
                  </pic:spPr>
                </pic:pic>
              </a:graphicData>
            </a:graphic>
          </wp:inline>
        </w:drawing>
      </w:r>
      <w:r>
        <w:rPr>
          <w:color w:val="950000"/>
          <w:spacing w:val="-15"/>
        </w:rPr>
      </w:r>
    </w:p>
    <w:p>
      <w:pPr>
        <w:pStyle w:val="BodyText"/>
        <w:spacing w:before="130"/>
        <w:rPr>
          <w:sz w:val="20"/>
        </w:rPr>
      </w:pPr>
    </w:p>
    <w:p>
      <w:pPr>
        <w:pStyle w:val="Heading7"/>
      </w:pPr>
      <w:r>
        <w:rPr>
          <w:color w:val="950000"/>
        </w:rPr>
        <w:t>Frais de déplacement</w:t>
      </w:r>
      <w:r>
        <w:rPr>
          <w:color w:val="950000"/>
          <w:spacing w:val="80"/>
        </w:rPr>
        <w:t> </w:t>
      </w:r>
      <w:r>
        <w:rPr>
          <w:color w:val="950000"/>
          <w:spacing w:val="3"/>
        </w:rPr>
        <w:drawing>
          <wp:inline distT="0" distB="0" distL="0" distR="0">
            <wp:extent cx="201262" cy="114915"/>
            <wp:effectExtent l="0" t="0" r="0" b="0"/>
            <wp:docPr id="33" name="Image 33" descr="">
              <a:hlinkClick r:id="rId42"/>
            </wp:docPr>
            <wp:cNvGraphicFramePr>
              <a:graphicFrameLocks/>
            </wp:cNvGraphicFramePr>
            <a:graphic>
              <a:graphicData uri="http://schemas.openxmlformats.org/drawingml/2006/picture">
                <pic:pic>
                  <pic:nvPicPr>
                    <pic:cNvPr id="33" name="Image 33" descr="">
                      <a:hlinkClick r:id="rId42"/>
                    </pic:cNvPr>
                    <pic:cNvPicPr/>
                  </pic:nvPicPr>
                  <pic:blipFill>
                    <a:blip r:embed="rId11" cstate="print"/>
                    <a:stretch>
                      <a:fillRect/>
                    </a:stretch>
                  </pic:blipFill>
                  <pic:spPr>
                    <a:xfrm>
                      <a:off x="0" y="0"/>
                      <a:ext cx="201262" cy="114915"/>
                    </a:xfrm>
                    <a:prstGeom prst="rect">
                      <a:avLst/>
                    </a:prstGeom>
                  </pic:spPr>
                </pic:pic>
              </a:graphicData>
            </a:graphic>
          </wp:inline>
        </w:drawing>
      </w:r>
      <w:r>
        <w:rPr>
          <w:color w:val="950000"/>
          <w:spacing w:val="3"/>
        </w:rPr>
      </w:r>
    </w:p>
    <w:p>
      <w:pPr>
        <w:pStyle w:val="Heading8"/>
      </w:pPr>
      <w:r>
        <w:rPr/>
        <w:t>Art.</w:t>
      </w:r>
      <w:r>
        <w:rPr>
          <w:spacing w:val="-1"/>
        </w:rPr>
        <w:t> </w:t>
      </w:r>
      <w:r>
        <w:rPr/>
        <w:t>29,</w:t>
      </w:r>
      <w:r>
        <w:rPr>
          <w:spacing w:val="-1"/>
        </w:rPr>
        <w:t> </w:t>
      </w:r>
      <w:r>
        <w:rPr/>
        <w:t>al.</w:t>
      </w:r>
      <w:r>
        <w:rPr>
          <w:spacing w:val="-2"/>
        </w:rPr>
        <w:t> </w:t>
      </w:r>
      <w:r>
        <w:rPr/>
        <w:t>1,</w:t>
      </w:r>
      <w:r>
        <w:rPr>
          <w:spacing w:val="-1"/>
        </w:rPr>
        <w:t> </w:t>
      </w:r>
      <w:r>
        <w:rPr/>
        <w:t>let.</w:t>
      </w:r>
      <w:r>
        <w:rPr>
          <w:spacing w:val="-1"/>
        </w:rPr>
        <w:t> </w:t>
      </w:r>
      <w:r>
        <w:rPr/>
        <w:t>a</w:t>
      </w:r>
      <w:r>
        <w:rPr>
          <w:spacing w:val="-2"/>
        </w:rPr>
        <w:t> </w:t>
      </w:r>
      <w:r>
        <w:rPr/>
        <w:t>et</w:t>
      </w:r>
      <w:r>
        <w:rPr>
          <w:spacing w:val="-1"/>
        </w:rPr>
        <w:t> </w:t>
      </w:r>
      <w:r>
        <w:rPr/>
        <w:t>al.</w:t>
      </w:r>
      <w:r>
        <w:rPr>
          <w:spacing w:val="-1"/>
        </w:rPr>
        <w:t> </w:t>
      </w:r>
      <w:r>
        <w:rPr/>
        <w:t>2</w:t>
      </w:r>
      <w:r>
        <w:rPr>
          <w:spacing w:val="1"/>
        </w:rPr>
        <w:t> </w:t>
      </w:r>
      <w:r>
        <w:rPr>
          <w:spacing w:val="-2"/>
        </w:rPr>
        <w:t>LCdir</w:t>
      </w:r>
    </w:p>
    <w:p>
      <w:pPr>
        <w:pStyle w:val="BodyText"/>
        <w:spacing w:before="55"/>
        <w:ind w:left="1134"/>
      </w:pPr>
      <w:r>
        <w:rPr>
          <w:position w:val="6"/>
          <w:sz w:val="12"/>
        </w:rPr>
        <w:t>1</w:t>
      </w:r>
      <w:r>
        <w:rPr>
          <w:spacing w:val="14"/>
          <w:position w:val="6"/>
          <w:sz w:val="12"/>
        </w:rPr>
        <w:t> </w:t>
      </w:r>
      <w:r>
        <w:rPr/>
        <w:t>Les</w:t>
      </w:r>
      <w:r>
        <w:rPr>
          <w:spacing w:val="-3"/>
        </w:rPr>
        <w:t> </w:t>
      </w:r>
      <w:r>
        <w:rPr/>
        <w:t>frais</w:t>
      </w:r>
      <w:r>
        <w:rPr>
          <w:spacing w:val="-1"/>
        </w:rPr>
        <w:t> </w:t>
      </w:r>
      <w:r>
        <w:rPr/>
        <w:t>d'acquisition</w:t>
      </w:r>
      <w:r>
        <w:rPr>
          <w:spacing w:val="-2"/>
        </w:rPr>
        <w:t> </w:t>
      </w:r>
      <w:r>
        <w:rPr/>
        <w:t>du</w:t>
      </w:r>
      <w:r>
        <w:rPr>
          <w:spacing w:val="-4"/>
        </w:rPr>
        <w:t> </w:t>
      </w:r>
      <w:r>
        <w:rPr/>
        <w:t>revenu</w:t>
      </w:r>
      <w:r>
        <w:rPr>
          <w:spacing w:val="-1"/>
        </w:rPr>
        <w:t> </w:t>
      </w:r>
      <w:r>
        <w:rPr/>
        <w:t>qui</w:t>
      </w:r>
      <w:r>
        <w:rPr>
          <w:spacing w:val="-2"/>
        </w:rPr>
        <w:t> </w:t>
      </w:r>
      <w:r>
        <w:rPr/>
        <w:t>peuvent</w:t>
      </w:r>
      <w:r>
        <w:rPr>
          <w:spacing w:val="-4"/>
        </w:rPr>
        <w:t> </w:t>
      </w:r>
      <w:r>
        <w:rPr/>
        <w:t>être</w:t>
      </w:r>
      <w:r>
        <w:rPr>
          <w:spacing w:val="-4"/>
        </w:rPr>
        <w:t> </w:t>
      </w:r>
      <w:r>
        <w:rPr/>
        <w:t>déduits</w:t>
      </w:r>
      <w:r>
        <w:rPr>
          <w:spacing w:val="-3"/>
        </w:rPr>
        <w:t> </w:t>
      </w:r>
      <w:r>
        <w:rPr/>
        <w:t>sont</w:t>
      </w:r>
      <w:r>
        <w:rPr>
          <w:spacing w:val="-2"/>
        </w:rPr>
        <w:t> </w:t>
      </w:r>
      <w:r>
        <w:rPr>
          <w:spacing w:val="-10"/>
        </w:rPr>
        <w:t>:</w:t>
      </w:r>
    </w:p>
    <w:p>
      <w:pPr>
        <w:pStyle w:val="ListParagraph"/>
        <w:numPr>
          <w:ilvl w:val="0"/>
          <w:numId w:val="4"/>
        </w:numPr>
        <w:tabs>
          <w:tab w:pos="1559" w:val="left" w:leader="none"/>
        </w:tabs>
        <w:spacing w:line="240" w:lineRule="auto" w:before="40" w:after="0"/>
        <w:ind w:left="1559" w:right="0" w:hanging="425"/>
        <w:jc w:val="left"/>
        <w:rPr>
          <w:sz w:val="18"/>
        </w:rPr>
      </w:pPr>
      <w:r>
        <w:rPr>
          <w:sz w:val="18"/>
        </w:rPr>
        <w:t>les</w:t>
      </w:r>
      <w:r>
        <w:rPr>
          <w:spacing w:val="-4"/>
          <w:sz w:val="18"/>
        </w:rPr>
        <w:t> </w:t>
      </w:r>
      <w:r>
        <w:rPr>
          <w:sz w:val="18"/>
        </w:rPr>
        <w:t>frais</w:t>
      </w:r>
      <w:r>
        <w:rPr>
          <w:spacing w:val="-1"/>
          <w:sz w:val="18"/>
        </w:rPr>
        <w:t> </w:t>
      </w:r>
      <w:r>
        <w:rPr>
          <w:sz w:val="18"/>
        </w:rPr>
        <w:t>de</w:t>
      </w:r>
      <w:r>
        <w:rPr>
          <w:spacing w:val="-4"/>
          <w:sz w:val="18"/>
        </w:rPr>
        <w:t> </w:t>
      </w:r>
      <w:r>
        <w:rPr>
          <w:sz w:val="18"/>
        </w:rPr>
        <w:t>déplacement</w:t>
      </w:r>
      <w:r>
        <w:rPr>
          <w:spacing w:val="-2"/>
          <w:sz w:val="18"/>
        </w:rPr>
        <w:t> </w:t>
      </w:r>
      <w:r>
        <w:rPr>
          <w:sz w:val="18"/>
        </w:rPr>
        <w:t>nécessaires</w:t>
      </w:r>
      <w:r>
        <w:rPr>
          <w:spacing w:val="-3"/>
          <w:sz w:val="18"/>
        </w:rPr>
        <w:t> </w:t>
      </w:r>
      <w:r>
        <w:rPr>
          <w:sz w:val="18"/>
        </w:rPr>
        <w:t>entre</w:t>
      </w:r>
      <w:r>
        <w:rPr>
          <w:spacing w:val="-1"/>
          <w:sz w:val="18"/>
        </w:rPr>
        <w:t> </w:t>
      </w:r>
      <w:r>
        <w:rPr>
          <w:sz w:val="18"/>
        </w:rPr>
        <w:t>le</w:t>
      </w:r>
      <w:r>
        <w:rPr>
          <w:spacing w:val="-4"/>
          <w:sz w:val="18"/>
        </w:rPr>
        <w:t> </w:t>
      </w:r>
      <w:r>
        <w:rPr>
          <w:sz w:val="18"/>
        </w:rPr>
        <w:t>domicile</w:t>
      </w:r>
      <w:r>
        <w:rPr>
          <w:spacing w:val="-4"/>
          <w:sz w:val="18"/>
        </w:rPr>
        <w:t> </w:t>
      </w:r>
      <w:r>
        <w:rPr>
          <w:sz w:val="18"/>
        </w:rPr>
        <w:t>et</w:t>
      </w:r>
      <w:r>
        <w:rPr>
          <w:spacing w:val="-4"/>
          <w:sz w:val="18"/>
        </w:rPr>
        <w:t> </w:t>
      </w:r>
      <w:r>
        <w:rPr>
          <w:sz w:val="18"/>
        </w:rPr>
        <w:t>le</w:t>
      </w:r>
      <w:r>
        <w:rPr>
          <w:spacing w:val="-1"/>
          <w:sz w:val="18"/>
        </w:rPr>
        <w:t> </w:t>
      </w:r>
      <w:r>
        <w:rPr>
          <w:sz w:val="18"/>
        </w:rPr>
        <w:t>lieu</w:t>
      </w:r>
      <w:r>
        <w:rPr>
          <w:spacing w:val="-1"/>
          <w:sz w:val="18"/>
        </w:rPr>
        <w:t> </w:t>
      </w:r>
      <w:r>
        <w:rPr>
          <w:sz w:val="18"/>
        </w:rPr>
        <w:t>du</w:t>
      </w:r>
      <w:r>
        <w:rPr>
          <w:spacing w:val="-4"/>
          <w:sz w:val="18"/>
        </w:rPr>
        <w:t> </w:t>
      </w:r>
      <w:r>
        <w:rPr>
          <w:spacing w:val="-2"/>
          <w:sz w:val="18"/>
        </w:rPr>
        <w:t>travail;</w:t>
      </w:r>
    </w:p>
    <w:p>
      <w:pPr>
        <w:pStyle w:val="BodyText"/>
        <w:spacing w:before="37"/>
        <w:ind w:left="1134" w:right="700"/>
      </w:pPr>
      <w:r>
        <w:rPr>
          <w:position w:val="6"/>
          <w:sz w:val="12"/>
        </w:rPr>
        <w:t>2</w:t>
      </w:r>
      <w:r>
        <w:rPr>
          <w:spacing w:val="17"/>
          <w:position w:val="6"/>
          <w:sz w:val="12"/>
        </w:rPr>
        <w:t> </w:t>
      </w:r>
      <w:r>
        <w:rPr/>
        <w:t>Les frais</w:t>
      </w:r>
      <w:r>
        <w:rPr>
          <w:spacing w:val="-1"/>
        </w:rPr>
        <w:t> </w:t>
      </w:r>
      <w:r>
        <w:rPr/>
        <w:t>mentionnés à</w:t>
      </w:r>
      <w:r>
        <w:rPr>
          <w:spacing w:val="-1"/>
        </w:rPr>
        <w:t> </w:t>
      </w:r>
      <w:r>
        <w:rPr/>
        <w:t>l'alinéa 1,</w:t>
      </w:r>
      <w:r>
        <w:rPr>
          <w:spacing w:val="-2"/>
        </w:rPr>
        <w:t> </w:t>
      </w:r>
      <w:r>
        <w:rPr/>
        <w:t>lettres</w:t>
      </w:r>
      <w:r>
        <w:rPr>
          <w:spacing w:val="-1"/>
        </w:rPr>
        <w:t> </w:t>
      </w:r>
      <w:r>
        <w:rPr>
          <w:rFonts w:ascii="Arial" w:hAnsi="Arial"/>
          <w:i/>
        </w:rPr>
        <w:t>a </w:t>
      </w:r>
      <w:r>
        <w:rPr/>
        <w:t>à</w:t>
      </w:r>
      <w:r>
        <w:rPr>
          <w:spacing w:val="-1"/>
        </w:rPr>
        <w:t> </w:t>
      </w:r>
      <w:r>
        <w:rPr>
          <w:rFonts w:ascii="Arial" w:hAnsi="Arial"/>
          <w:i/>
        </w:rPr>
        <w:t>c</w:t>
      </w:r>
      <w:r>
        <w:rPr/>
        <w:t>,</w:t>
      </w:r>
      <w:r>
        <w:rPr>
          <w:spacing w:val="-2"/>
        </w:rPr>
        <w:t> </w:t>
      </w:r>
      <w:r>
        <w:rPr/>
        <w:t>sont estimés</w:t>
      </w:r>
      <w:r>
        <w:rPr>
          <w:spacing w:val="-1"/>
        </w:rPr>
        <w:t> </w:t>
      </w:r>
      <w:r>
        <w:rPr/>
        <w:t>forfaitairement;</w:t>
      </w:r>
      <w:r>
        <w:rPr>
          <w:spacing w:val="-2"/>
        </w:rPr>
        <w:t> </w:t>
      </w:r>
      <w:r>
        <w:rPr/>
        <w:t>dans les</w:t>
      </w:r>
      <w:r>
        <w:rPr>
          <w:spacing w:val="-1"/>
        </w:rPr>
        <w:t> </w:t>
      </w:r>
      <w:r>
        <w:rPr/>
        <w:t>cas</w:t>
      </w:r>
      <w:r>
        <w:rPr>
          <w:spacing w:val="-1"/>
        </w:rPr>
        <w:t> </w:t>
      </w:r>
      <w:r>
        <w:rPr/>
        <w:t>de l'alinéa 1, lettres </w:t>
      </w:r>
      <w:r>
        <w:rPr>
          <w:rFonts w:ascii="Arial" w:hAnsi="Arial"/>
          <w:i/>
        </w:rPr>
        <w:t>a </w:t>
      </w:r>
      <w:r>
        <w:rPr/>
        <w:t>et </w:t>
      </w:r>
      <w:r>
        <w:rPr>
          <w:rFonts w:ascii="Arial" w:hAnsi="Arial"/>
          <w:i/>
        </w:rPr>
        <w:t>c</w:t>
      </w:r>
      <w:r>
        <w:rPr/>
        <w:t>, le contribuable peut justifier de frais plus élevés.</w:t>
      </w:r>
    </w:p>
    <w:p>
      <w:pPr>
        <w:pStyle w:val="Heading8"/>
      </w:pPr>
      <w:r>
        <w:rPr/>
        <w:t>Art.</w:t>
      </w:r>
      <w:r>
        <w:rPr>
          <w:spacing w:val="-1"/>
        </w:rPr>
        <w:t> </w:t>
      </w:r>
      <w:r>
        <w:rPr/>
        <w:t>27, al.</w:t>
      </w:r>
      <w:r>
        <w:rPr>
          <w:spacing w:val="-2"/>
        </w:rPr>
        <w:t> </w:t>
      </w:r>
      <w:r>
        <w:rPr/>
        <w:t>1 à</w:t>
      </w:r>
      <w:r>
        <w:rPr>
          <w:spacing w:val="-2"/>
        </w:rPr>
        <w:t> </w:t>
      </w:r>
      <w:r>
        <w:rPr/>
        <w:t>4</w:t>
      </w:r>
      <w:r>
        <w:rPr>
          <w:spacing w:val="1"/>
        </w:rPr>
        <w:t> </w:t>
      </w:r>
      <w:r>
        <w:rPr>
          <w:spacing w:val="-2"/>
        </w:rPr>
        <w:t>RELCdir</w:t>
      </w:r>
    </w:p>
    <w:p>
      <w:pPr>
        <w:pStyle w:val="BodyText"/>
        <w:spacing w:before="58"/>
        <w:ind w:left="1134" w:right="704"/>
        <w:jc w:val="both"/>
      </w:pPr>
      <w:r>
        <w:rPr>
          <w:position w:val="6"/>
          <w:sz w:val="12"/>
        </w:rPr>
        <w:t>1</w:t>
      </w:r>
      <w:r>
        <w:rPr>
          <w:spacing w:val="17"/>
          <w:position w:val="6"/>
          <w:sz w:val="12"/>
        </w:rPr>
        <w:t> </w:t>
      </w:r>
      <w:r>
        <w:rPr/>
        <w:t>Au titre des</w:t>
      </w:r>
      <w:r>
        <w:rPr>
          <w:spacing w:val="-1"/>
        </w:rPr>
        <w:t> </w:t>
      </w:r>
      <w:r>
        <w:rPr/>
        <w:t>frais nécessaires</w:t>
      </w:r>
      <w:r>
        <w:rPr>
          <w:spacing w:val="-1"/>
        </w:rPr>
        <w:t> </w:t>
      </w:r>
      <w:r>
        <w:rPr/>
        <w:t>de déplacement entre</w:t>
      </w:r>
      <w:r>
        <w:rPr>
          <w:spacing w:val="-1"/>
        </w:rPr>
        <w:t> </w:t>
      </w:r>
      <w:r>
        <w:rPr/>
        <w:t>le domicile</w:t>
      </w:r>
      <w:r>
        <w:rPr>
          <w:spacing w:val="-1"/>
        </w:rPr>
        <w:t> </w:t>
      </w:r>
      <w:r>
        <w:rPr/>
        <w:t>et</w:t>
      </w:r>
      <w:r>
        <w:rPr>
          <w:spacing w:val="-2"/>
        </w:rPr>
        <w:t> </w:t>
      </w:r>
      <w:r>
        <w:rPr/>
        <w:t>le</w:t>
      </w:r>
      <w:r>
        <w:rPr>
          <w:spacing w:val="-1"/>
        </w:rPr>
        <w:t> </w:t>
      </w:r>
      <w:r>
        <w:rPr/>
        <w:t>lieu de</w:t>
      </w:r>
      <w:r>
        <w:rPr>
          <w:spacing w:val="-1"/>
        </w:rPr>
        <w:t> </w:t>
      </w:r>
      <w:r>
        <w:rPr/>
        <w:t>travail, le contribuable</w:t>
      </w:r>
      <w:r>
        <w:rPr>
          <w:spacing w:val="-1"/>
        </w:rPr>
        <w:t> </w:t>
      </w:r>
      <w:r>
        <w:rPr/>
        <w:t>qui utilise les transports publics peut déduire ses dépenses effectives.</w:t>
      </w:r>
    </w:p>
    <w:p>
      <w:pPr>
        <w:pStyle w:val="BodyText"/>
        <w:spacing w:before="36"/>
        <w:ind w:left="1134" w:right="703"/>
        <w:jc w:val="both"/>
      </w:pPr>
      <w:r>
        <w:rPr>
          <w:position w:val="6"/>
          <w:sz w:val="12"/>
        </w:rPr>
        <w:t>2</w:t>
      </w:r>
      <w:r>
        <w:rPr>
          <w:spacing w:val="34"/>
          <w:position w:val="6"/>
          <w:sz w:val="12"/>
        </w:rPr>
        <w:t> </w:t>
      </w:r>
      <w:r>
        <w:rPr/>
        <w:t>En cas d'utilisation d'un véhicule privé, le contribuable peut déduire, au titre de frais nécessaires à l'acquisition du revenu, les dépenses qu'il aurait eues en utilisant les transports publics.</w:t>
      </w:r>
    </w:p>
    <w:p>
      <w:pPr>
        <w:pStyle w:val="BodyText"/>
        <w:spacing w:before="36"/>
        <w:ind w:left="1134" w:right="703"/>
        <w:jc w:val="both"/>
      </w:pPr>
      <w:r>
        <w:rPr>
          <w:position w:val="6"/>
          <w:sz w:val="12"/>
        </w:rPr>
        <w:t>3</w:t>
      </w:r>
      <w:r>
        <w:rPr>
          <w:spacing w:val="10"/>
          <w:position w:val="6"/>
          <w:sz w:val="12"/>
        </w:rPr>
        <w:t> </w:t>
      </w:r>
      <w:r>
        <w:rPr/>
        <w:t>S'il</w:t>
      </w:r>
      <w:r>
        <w:rPr>
          <w:spacing w:val="-6"/>
        </w:rPr>
        <w:t> </w:t>
      </w:r>
      <w:r>
        <w:rPr/>
        <w:t>n'existe</w:t>
      </w:r>
      <w:r>
        <w:rPr>
          <w:spacing w:val="-9"/>
        </w:rPr>
        <w:t> </w:t>
      </w:r>
      <w:r>
        <w:rPr/>
        <w:t>pas</w:t>
      </w:r>
      <w:r>
        <w:rPr>
          <w:spacing w:val="-6"/>
        </w:rPr>
        <w:t> </w:t>
      </w:r>
      <w:r>
        <w:rPr/>
        <w:t>de</w:t>
      </w:r>
      <w:r>
        <w:rPr>
          <w:spacing w:val="-6"/>
        </w:rPr>
        <w:t> </w:t>
      </w:r>
      <w:r>
        <w:rPr/>
        <w:t>transports</w:t>
      </w:r>
      <w:r>
        <w:rPr>
          <w:spacing w:val="-8"/>
        </w:rPr>
        <w:t> </w:t>
      </w:r>
      <w:r>
        <w:rPr/>
        <w:t>publics</w:t>
      </w:r>
      <w:r>
        <w:rPr>
          <w:spacing w:val="-6"/>
        </w:rPr>
        <w:t> </w:t>
      </w:r>
      <w:r>
        <w:rPr/>
        <w:t>ou</w:t>
      </w:r>
      <w:r>
        <w:rPr>
          <w:spacing w:val="-9"/>
        </w:rPr>
        <w:t> </w:t>
      </w:r>
      <w:r>
        <w:rPr/>
        <w:t>si</w:t>
      </w:r>
      <w:r>
        <w:rPr>
          <w:spacing w:val="-8"/>
        </w:rPr>
        <w:t> </w:t>
      </w:r>
      <w:r>
        <w:rPr/>
        <w:t>l'on</w:t>
      </w:r>
      <w:r>
        <w:rPr>
          <w:spacing w:val="-9"/>
        </w:rPr>
        <w:t> </w:t>
      </w:r>
      <w:r>
        <w:rPr/>
        <w:t>ne</w:t>
      </w:r>
      <w:r>
        <w:rPr>
          <w:spacing w:val="-6"/>
        </w:rPr>
        <w:t> </w:t>
      </w:r>
      <w:r>
        <w:rPr/>
        <w:t>peut</w:t>
      </w:r>
      <w:r>
        <w:rPr>
          <w:spacing w:val="-9"/>
        </w:rPr>
        <w:t> </w:t>
      </w:r>
      <w:r>
        <w:rPr/>
        <w:t>raisonnablement</w:t>
      </w:r>
      <w:r>
        <w:rPr>
          <w:spacing w:val="-9"/>
        </w:rPr>
        <w:t> </w:t>
      </w:r>
      <w:r>
        <w:rPr/>
        <w:t>exiger</w:t>
      </w:r>
      <w:r>
        <w:rPr>
          <w:spacing w:val="-9"/>
        </w:rPr>
        <w:t> </w:t>
      </w:r>
      <w:r>
        <w:rPr/>
        <w:t>du</w:t>
      </w:r>
      <w:r>
        <w:rPr>
          <w:spacing w:val="-9"/>
        </w:rPr>
        <w:t> </w:t>
      </w:r>
      <w:r>
        <w:rPr/>
        <w:t>contribuable</w:t>
      </w:r>
      <w:r>
        <w:rPr>
          <w:spacing w:val="-9"/>
        </w:rPr>
        <w:t> </w:t>
      </w:r>
      <w:r>
        <w:rPr/>
        <w:t>qu'il</w:t>
      </w:r>
      <w:r>
        <w:rPr>
          <w:spacing w:val="-9"/>
        </w:rPr>
        <w:t> </w:t>
      </w:r>
      <w:r>
        <w:rPr/>
        <w:t>les utilise,</w:t>
      </w:r>
      <w:r>
        <w:rPr>
          <w:spacing w:val="-4"/>
        </w:rPr>
        <w:t> </w:t>
      </w:r>
      <w:r>
        <w:rPr/>
        <w:t>ce</w:t>
      </w:r>
      <w:r>
        <w:rPr>
          <w:spacing w:val="-1"/>
        </w:rPr>
        <w:t> </w:t>
      </w:r>
      <w:r>
        <w:rPr/>
        <w:t>dernier</w:t>
      </w:r>
      <w:r>
        <w:rPr>
          <w:spacing w:val="-2"/>
        </w:rPr>
        <w:t> </w:t>
      </w:r>
      <w:r>
        <w:rPr/>
        <w:t>peut</w:t>
      </w:r>
      <w:r>
        <w:rPr>
          <w:spacing w:val="-4"/>
        </w:rPr>
        <w:t> </w:t>
      </w:r>
      <w:r>
        <w:rPr/>
        <w:t>déduire</w:t>
      </w:r>
      <w:r>
        <w:rPr>
          <w:spacing w:val="-4"/>
        </w:rPr>
        <w:t> </w:t>
      </w:r>
      <w:r>
        <w:rPr/>
        <w:t>les</w:t>
      </w:r>
      <w:r>
        <w:rPr>
          <w:spacing w:val="-1"/>
        </w:rPr>
        <w:t> </w:t>
      </w:r>
      <w:r>
        <w:rPr/>
        <w:t>frais</w:t>
      </w:r>
      <w:r>
        <w:rPr>
          <w:spacing w:val="-3"/>
        </w:rPr>
        <w:t> </w:t>
      </w:r>
      <w:r>
        <w:rPr/>
        <w:t>d'utilisation</w:t>
      </w:r>
      <w:r>
        <w:rPr>
          <w:spacing w:val="-4"/>
        </w:rPr>
        <w:t> </w:t>
      </w:r>
      <w:r>
        <w:rPr/>
        <w:t>d'un</w:t>
      </w:r>
      <w:r>
        <w:rPr>
          <w:spacing w:val="-4"/>
        </w:rPr>
        <w:t> </w:t>
      </w:r>
      <w:r>
        <w:rPr/>
        <w:t>véhicule</w:t>
      </w:r>
      <w:r>
        <w:rPr>
          <w:spacing w:val="-4"/>
        </w:rPr>
        <w:t> </w:t>
      </w:r>
      <w:r>
        <w:rPr/>
        <w:t>privé</w:t>
      </w:r>
      <w:r>
        <w:rPr>
          <w:spacing w:val="-4"/>
        </w:rPr>
        <w:t> </w:t>
      </w:r>
      <w:r>
        <w:rPr/>
        <w:t>d'après</w:t>
      </w:r>
      <w:r>
        <w:rPr>
          <w:spacing w:val="-3"/>
        </w:rPr>
        <w:t> </w:t>
      </w:r>
      <w:r>
        <w:rPr/>
        <w:t>les</w:t>
      </w:r>
      <w:r>
        <w:rPr>
          <w:spacing w:val="-1"/>
        </w:rPr>
        <w:t> </w:t>
      </w:r>
      <w:r>
        <w:rPr/>
        <w:t>forfaits</w:t>
      </w:r>
      <w:r>
        <w:rPr>
          <w:spacing w:val="-3"/>
        </w:rPr>
        <w:t> </w:t>
      </w:r>
      <w:r>
        <w:rPr/>
        <w:t>fixés</w:t>
      </w:r>
      <w:r>
        <w:rPr>
          <w:spacing w:val="-3"/>
        </w:rPr>
        <w:t> </w:t>
      </w:r>
      <w:r>
        <w:rPr/>
        <w:t>à</w:t>
      </w:r>
      <w:r>
        <w:rPr>
          <w:spacing w:val="-4"/>
        </w:rPr>
        <w:t> </w:t>
      </w:r>
      <w:r>
        <w:rPr/>
        <w:t>l'alinéa </w:t>
      </w:r>
      <w:r>
        <w:rPr>
          <w:spacing w:val="-6"/>
        </w:rPr>
        <w:t>4.</w:t>
      </w:r>
    </w:p>
    <w:p>
      <w:pPr>
        <w:pStyle w:val="BodyText"/>
        <w:spacing w:before="36"/>
        <w:ind w:left="1134"/>
        <w:jc w:val="both"/>
      </w:pPr>
      <w:r>
        <w:rPr>
          <w:position w:val="6"/>
          <w:sz w:val="12"/>
        </w:rPr>
        <w:t>4</w:t>
      </w:r>
      <w:r>
        <w:rPr>
          <w:spacing w:val="17"/>
          <w:position w:val="6"/>
          <w:sz w:val="12"/>
        </w:rPr>
        <w:t> </w:t>
      </w:r>
      <w:r>
        <w:rPr>
          <w:spacing w:val="-2"/>
        </w:rPr>
        <w:t>Forfaits</w:t>
      </w:r>
    </w:p>
    <w:p>
      <w:pPr>
        <w:pStyle w:val="BodyText"/>
        <w:spacing w:before="6"/>
        <w:rPr>
          <w:sz w:val="7"/>
        </w:rPr>
      </w:pPr>
    </w:p>
    <w:tbl>
      <w:tblPr>
        <w:tblW w:w="0" w:type="auto"/>
        <w:jc w:val="left"/>
        <w:tblInd w:w="1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6"/>
        <w:gridCol w:w="4347"/>
      </w:tblGrid>
      <w:tr>
        <w:trPr>
          <w:trHeight w:val="658" w:hRule="atLeast"/>
        </w:trPr>
        <w:tc>
          <w:tcPr>
            <w:tcW w:w="3066" w:type="dxa"/>
          </w:tcPr>
          <w:p>
            <w:pPr>
              <w:pStyle w:val="TableParagraph"/>
              <w:spacing w:line="240" w:lineRule="auto"/>
              <w:ind w:left="410" w:right="491" w:hanging="360"/>
              <w:jc w:val="both"/>
              <w:rPr>
                <w:sz w:val="18"/>
              </w:rPr>
            </w:pPr>
            <w:r>
              <w:rPr>
                <w:sz w:val="18"/>
              </w:rPr>
              <w:t>–</w:t>
            </w:r>
            <w:r>
              <w:rPr>
                <w:spacing w:val="40"/>
                <w:sz w:val="18"/>
              </w:rPr>
              <w:t> </w:t>
            </w:r>
            <w:r>
              <w:rPr>
                <w:sz w:val="18"/>
              </w:rPr>
              <w:t>Vélos,</w:t>
            </w:r>
            <w:r>
              <w:rPr>
                <w:spacing w:val="-10"/>
                <w:sz w:val="18"/>
              </w:rPr>
              <w:t> </w:t>
            </w:r>
            <w:r>
              <w:rPr>
                <w:sz w:val="18"/>
              </w:rPr>
              <w:t>cyclomoteurs,</w:t>
            </w:r>
            <w:r>
              <w:rPr>
                <w:spacing w:val="-12"/>
                <w:sz w:val="18"/>
              </w:rPr>
              <w:t> </w:t>
            </w:r>
            <w:r>
              <w:rPr>
                <w:sz w:val="18"/>
              </w:rPr>
              <w:t>moto-cycles légers moins de 50 </w:t>
            </w:r>
            <w:r>
              <w:rPr>
                <w:spacing w:val="-4"/>
                <w:sz w:val="18"/>
              </w:rPr>
              <w:t>cm3</w:t>
            </w:r>
          </w:p>
        </w:tc>
        <w:tc>
          <w:tcPr>
            <w:tcW w:w="4347" w:type="dxa"/>
          </w:tcPr>
          <w:p>
            <w:pPr>
              <w:pStyle w:val="TableParagraph"/>
              <w:spacing w:line="201" w:lineRule="exact"/>
              <w:ind w:left="495"/>
              <w:jc w:val="left"/>
              <w:rPr>
                <w:sz w:val="18"/>
              </w:rPr>
            </w:pPr>
            <w:r>
              <w:rPr>
                <w:sz w:val="18"/>
              </w:rPr>
              <w:t>Fr.</w:t>
            </w:r>
            <w:r>
              <w:rPr>
                <w:spacing w:val="-4"/>
                <w:sz w:val="18"/>
              </w:rPr>
              <w:t> </w:t>
            </w:r>
            <w:r>
              <w:rPr>
                <w:sz w:val="18"/>
              </w:rPr>
              <w:t>700.– par</w:t>
            </w:r>
            <w:r>
              <w:rPr>
                <w:spacing w:val="-1"/>
                <w:sz w:val="18"/>
              </w:rPr>
              <w:t> </w:t>
            </w:r>
            <w:r>
              <w:rPr>
                <w:spacing w:val="-7"/>
                <w:sz w:val="18"/>
              </w:rPr>
              <w:t>an</w:t>
            </w:r>
          </w:p>
        </w:tc>
      </w:tr>
      <w:tr>
        <w:trPr>
          <w:trHeight w:val="286" w:hRule="atLeast"/>
        </w:trPr>
        <w:tc>
          <w:tcPr>
            <w:tcW w:w="3066" w:type="dxa"/>
          </w:tcPr>
          <w:p>
            <w:pPr>
              <w:pStyle w:val="TableParagraph"/>
              <w:tabs>
                <w:tab w:pos="409" w:val="left" w:leader="none"/>
              </w:tabs>
              <w:spacing w:line="240" w:lineRule="auto" w:before="36"/>
              <w:ind w:left="50"/>
              <w:jc w:val="left"/>
              <w:rPr>
                <w:sz w:val="18"/>
              </w:rPr>
            </w:pPr>
            <w:r>
              <w:rPr>
                <w:sz w:val="18"/>
              </w:rPr>
              <w:t>–</w:t>
              <w:tab/>
              <w:t>Motocycles</w:t>
            </w:r>
            <w:r>
              <w:rPr>
                <w:spacing w:val="-2"/>
                <w:sz w:val="18"/>
              </w:rPr>
              <w:t> ......................</w:t>
            </w:r>
          </w:p>
        </w:tc>
        <w:tc>
          <w:tcPr>
            <w:tcW w:w="4347" w:type="dxa"/>
          </w:tcPr>
          <w:p>
            <w:pPr>
              <w:pStyle w:val="TableParagraph"/>
              <w:spacing w:line="240" w:lineRule="auto" w:before="36"/>
              <w:ind w:left="495"/>
              <w:jc w:val="left"/>
              <w:rPr>
                <w:sz w:val="18"/>
              </w:rPr>
            </w:pPr>
            <w:r>
              <w:rPr>
                <w:sz w:val="18"/>
              </w:rPr>
              <w:t>Fr.</w:t>
            </w:r>
            <w:r>
              <w:rPr>
                <w:spacing w:val="-2"/>
                <w:sz w:val="18"/>
              </w:rPr>
              <w:t> </w:t>
            </w:r>
            <w:r>
              <w:rPr>
                <w:sz w:val="18"/>
              </w:rPr>
              <w:t>0,40</w:t>
            </w:r>
            <w:r>
              <w:rPr>
                <w:spacing w:val="-1"/>
                <w:sz w:val="18"/>
              </w:rPr>
              <w:t> </w:t>
            </w:r>
            <w:r>
              <w:rPr>
                <w:sz w:val="18"/>
              </w:rPr>
              <w:t>par</w:t>
            </w:r>
            <w:r>
              <w:rPr>
                <w:spacing w:val="-3"/>
                <w:sz w:val="18"/>
              </w:rPr>
              <w:t> </w:t>
            </w:r>
            <w:r>
              <w:rPr>
                <w:sz w:val="18"/>
              </w:rPr>
              <w:t>kilomètre</w:t>
            </w:r>
            <w:r>
              <w:rPr>
                <w:spacing w:val="-3"/>
                <w:sz w:val="18"/>
              </w:rPr>
              <w:t> </w:t>
            </w:r>
            <w:r>
              <w:rPr>
                <w:spacing w:val="-2"/>
                <w:sz w:val="18"/>
              </w:rPr>
              <w:t>parcouru</w:t>
            </w:r>
          </w:p>
        </w:tc>
      </w:tr>
      <w:tr>
        <w:trPr>
          <w:trHeight w:val="288" w:hRule="atLeast"/>
        </w:trPr>
        <w:tc>
          <w:tcPr>
            <w:tcW w:w="3066" w:type="dxa"/>
            <w:vMerge w:val="restart"/>
          </w:tcPr>
          <w:p>
            <w:pPr>
              <w:pStyle w:val="TableParagraph"/>
              <w:tabs>
                <w:tab w:pos="409" w:val="left" w:leader="none"/>
              </w:tabs>
              <w:spacing w:line="240" w:lineRule="auto" w:before="37"/>
              <w:ind w:left="50"/>
              <w:jc w:val="left"/>
              <w:rPr>
                <w:sz w:val="18"/>
              </w:rPr>
            </w:pPr>
            <w:r>
              <w:rPr>
                <w:sz w:val="18"/>
              </w:rPr>
              <w:t>–</w:t>
              <w:tab/>
              <w:t>Autos</w:t>
            </w:r>
            <w:r>
              <w:rPr>
                <w:spacing w:val="-2"/>
                <w:sz w:val="18"/>
              </w:rPr>
              <w:t> ...............................</w:t>
            </w:r>
          </w:p>
        </w:tc>
        <w:tc>
          <w:tcPr>
            <w:tcW w:w="4347" w:type="dxa"/>
          </w:tcPr>
          <w:p>
            <w:pPr>
              <w:pStyle w:val="TableParagraph"/>
              <w:spacing w:line="240" w:lineRule="auto" w:before="37"/>
              <w:ind w:left="495"/>
              <w:jc w:val="left"/>
              <w:rPr>
                <w:sz w:val="18"/>
              </w:rPr>
            </w:pPr>
            <w:r>
              <w:rPr>
                <w:sz w:val="18"/>
              </w:rPr>
              <w:t>Fr.</w:t>
            </w:r>
            <w:r>
              <w:rPr>
                <w:spacing w:val="-3"/>
                <w:sz w:val="18"/>
              </w:rPr>
              <w:t> </w:t>
            </w:r>
            <w:r>
              <w:rPr>
                <w:sz w:val="18"/>
              </w:rPr>
              <w:t>0,60</w:t>
            </w:r>
            <w:r>
              <w:rPr>
                <w:spacing w:val="-1"/>
                <w:sz w:val="18"/>
              </w:rPr>
              <w:t> </w:t>
            </w:r>
            <w:r>
              <w:rPr>
                <w:sz w:val="18"/>
              </w:rPr>
              <w:t>pour</w:t>
            </w:r>
            <w:r>
              <w:rPr>
                <w:spacing w:val="-2"/>
                <w:sz w:val="18"/>
              </w:rPr>
              <w:t> </w:t>
            </w:r>
            <w:r>
              <w:rPr>
                <w:sz w:val="18"/>
              </w:rPr>
              <w:t>les</w:t>
            </w:r>
            <w:r>
              <w:rPr>
                <w:spacing w:val="-2"/>
                <w:sz w:val="18"/>
              </w:rPr>
              <w:t> </w:t>
            </w:r>
            <w:r>
              <w:rPr>
                <w:sz w:val="18"/>
              </w:rPr>
              <w:t>10.000</w:t>
            </w:r>
            <w:r>
              <w:rPr>
                <w:spacing w:val="-1"/>
                <w:sz w:val="18"/>
              </w:rPr>
              <w:t> </w:t>
            </w:r>
            <w:r>
              <w:rPr>
                <w:sz w:val="18"/>
              </w:rPr>
              <w:t>premiers</w:t>
            </w:r>
            <w:r>
              <w:rPr>
                <w:spacing w:val="-1"/>
                <w:sz w:val="18"/>
              </w:rPr>
              <w:t> </w:t>
            </w:r>
            <w:r>
              <w:rPr>
                <w:sz w:val="18"/>
              </w:rPr>
              <w:t>km</w:t>
            </w:r>
            <w:r>
              <w:rPr>
                <w:spacing w:val="-1"/>
                <w:sz w:val="18"/>
              </w:rPr>
              <w:t> </w:t>
            </w:r>
            <w:r>
              <w:rPr>
                <w:spacing w:val="-2"/>
                <w:sz w:val="18"/>
              </w:rPr>
              <w:t>parcourus</w:t>
            </w:r>
          </w:p>
        </w:tc>
      </w:tr>
      <w:tr>
        <w:trPr>
          <w:trHeight w:val="286" w:hRule="atLeast"/>
        </w:trPr>
        <w:tc>
          <w:tcPr>
            <w:tcW w:w="3066" w:type="dxa"/>
            <w:vMerge/>
            <w:tcBorders>
              <w:top w:val="nil"/>
            </w:tcBorders>
          </w:tcPr>
          <w:p>
            <w:pPr>
              <w:rPr>
                <w:sz w:val="2"/>
                <w:szCs w:val="2"/>
              </w:rPr>
            </w:pPr>
          </w:p>
        </w:tc>
        <w:tc>
          <w:tcPr>
            <w:tcW w:w="4347" w:type="dxa"/>
          </w:tcPr>
          <w:p>
            <w:pPr>
              <w:pStyle w:val="TableParagraph"/>
              <w:spacing w:line="240" w:lineRule="auto" w:before="37"/>
              <w:ind w:left="495"/>
              <w:jc w:val="left"/>
              <w:rPr>
                <w:sz w:val="18"/>
              </w:rPr>
            </w:pPr>
            <w:r>
              <w:rPr>
                <w:sz w:val="18"/>
              </w:rPr>
              <w:t>Fr.</w:t>
            </w:r>
            <w:r>
              <w:rPr>
                <w:spacing w:val="-2"/>
                <w:sz w:val="18"/>
              </w:rPr>
              <w:t> </w:t>
            </w:r>
            <w:r>
              <w:rPr>
                <w:sz w:val="18"/>
              </w:rPr>
              <w:t>0,40 pour</w:t>
            </w:r>
            <w:r>
              <w:rPr>
                <w:spacing w:val="-1"/>
                <w:sz w:val="18"/>
              </w:rPr>
              <w:t> </w:t>
            </w:r>
            <w:r>
              <w:rPr>
                <w:sz w:val="18"/>
              </w:rPr>
              <w:t>les 5000</w:t>
            </w:r>
            <w:r>
              <w:rPr>
                <w:spacing w:val="-3"/>
                <w:sz w:val="18"/>
              </w:rPr>
              <w:t> </w:t>
            </w:r>
            <w:r>
              <w:rPr>
                <w:sz w:val="18"/>
              </w:rPr>
              <w:t>km</w:t>
            </w:r>
            <w:r>
              <w:rPr>
                <w:spacing w:val="-2"/>
                <w:sz w:val="18"/>
              </w:rPr>
              <w:t> suivants</w:t>
            </w:r>
          </w:p>
        </w:tc>
      </w:tr>
      <w:tr>
        <w:trPr>
          <w:trHeight w:val="243" w:hRule="atLeast"/>
        </w:trPr>
        <w:tc>
          <w:tcPr>
            <w:tcW w:w="3066" w:type="dxa"/>
            <w:vMerge/>
            <w:tcBorders>
              <w:top w:val="nil"/>
            </w:tcBorders>
          </w:tcPr>
          <w:p>
            <w:pPr>
              <w:rPr>
                <w:sz w:val="2"/>
                <w:szCs w:val="2"/>
              </w:rPr>
            </w:pPr>
          </w:p>
        </w:tc>
        <w:tc>
          <w:tcPr>
            <w:tcW w:w="4347" w:type="dxa"/>
          </w:tcPr>
          <w:p>
            <w:pPr>
              <w:pStyle w:val="TableParagraph"/>
              <w:spacing w:line="187" w:lineRule="exact" w:before="36"/>
              <w:ind w:left="495"/>
              <w:jc w:val="left"/>
              <w:rPr>
                <w:sz w:val="18"/>
              </w:rPr>
            </w:pPr>
            <w:r>
              <w:rPr>
                <w:sz w:val="18"/>
              </w:rPr>
              <w:t>Fr.</w:t>
            </w:r>
            <w:r>
              <w:rPr>
                <w:spacing w:val="-1"/>
                <w:sz w:val="18"/>
              </w:rPr>
              <w:t> </w:t>
            </w:r>
            <w:r>
              <w:rPr>
                <w:sz w:val="18"/>
              </w:rPr>
              <w:t>0,30</w:t>
            </w:r>
            <w:r>
              <w:rPr>
                <w:spacing w:val="-1"/>
                <w:sz w:val="18"/>
              </w:rPr>
              <w:t> </w:t>
            </w:r>
            <w:r>
              <w:rPr>
                <w:sz w:val="18"/>
              </w:rPr>
              <w:t>pour</w:t>
            </w:r>
            <w:r>
              <w:rPr>
                <w:spacing w:val="-1"/>
                <w:sz w:val="18"/>
              </w:rPr>
              <w:t> </w:t>
            </w:r>
            <w:r>
              <w:rPr>
                <w:sz w:val="18"/>
              </w:rPr>
              <w:t>le</w:t>
            </w:r>
            <w:r>
              <w:rPr>
                <w:spacing w:val="-2"/>
                <w:sz w:val="18"/>
              </w:rPr>
              <w:t> surplus</w:t>
            </w:r>
          </w:p>
        </w:tc>
      </w:tr>
    </w:tbl>
    <w:p>
      <w:pPr>
        <w:pStyle w:val="BodyText"/>
        <w:spacing w:before="196"/>
      </w:pPr>
    </w:p>
    <w:p>
      <w:pPr>
        <w:pStyle w:val="Heading7"/>
        <w:jc w:val="both"/>
      </w:pPr>
      <w:r>
        <w:rPr>
          <w:color w:val="950000"/>
        </w:rPr>
        <w:t>Autres frais professionnels</w:t>
      </w:r>
      <w:r>
        <w:rPr>
          <w:color w:val="950000"/>
          <w:spacing w:val="80"/>
        </w:rPr>
        <w:t> </w:t>
      </w:r>
      <w:r>
        <w:rPr>
          <w:color w:val="950000"/>
          <w:spacing w:val="3"/>
        </w:rPr>
        <w:drawing>
          <wp:inline distT="0" distB="0" distL="0" distR="0">
            <wp:extent cx="201261" cy="114881"/>
            <wp:effectExtent l="0" t="0" r="0" b="0"/>
            <wp:docPr id="34" name="Image 34" descr="">
              <a:hlinkClick r:id="rId43"/>
            </wp:docPr>
            <wp:cNvGraphicFramePr>
              <a:graphicFrameLocks/>
            </wp:cNvGraphicFramePr>
            <a:graphic>
              <a:graphicData uri="http://schemas.openxmlformats.org/drawingml/2006/picture">
                <pic:pic>
                  <pic:nvPicPr>
                    <pic:cNvPr id="34" name="Image 34" descr="">
                      <a:hlinkClick r:id="rId43"/>
                    </pic:cNvPr>
                    <pic:cNvPicPr/>
                  </pic:nvPicPr>
                  <pic:blipFill>
                    <a:blip r:embed="rId11" cstate="print"/>
                    <a:stretch>
                      <a:fillRect/>
                    </a:stretch>
                  </pic:blipFill>
                  <pic:spPr>
                    <a:xfrm>
                      <a:off x="0" y="0"/>
                      <a:ext cx="201261" cy="114881"/>
                    </a:xfrm>
                    <a:prstGeom prst="rect">
                      <a:avLst/>
                    </a:prstGeom>
                  </pic:spPr>
                </pic:pic>
              </a:graphicData>
            </a:graphic>
          </wp:inline>
        </w:drawing>
      </w:r>
      <w:r>
        <w:rPr>
          <w:color w:val="950000"/>
          <w:spacing w:val="3"/>
        </w:rPr>
      </w:r>
    </w:p>
    <w:p>
      <w:pPr>
        <w:pStyle w:val="Heading8"/>
        <w:spacing w:before="93"/>
      </w:pPr>
      <w:r>
        <w:rPr/>
        <w:t>Art.</w:t>
      </w:r>
      <w:r>
        <w:rPr>
          <w:spacing w:val="-1"/>
        </w:rPr>
        <w:t> </w:t>
      </w:r>
      <w:r>
        <w:rPr/>
        <w:t>29,</w:t>
      </w:r>
      <w:r>
        <w:rPr>
          <w:spacing w:val="-1"/>
        </w:rPr>
        <w:t> </w:t>
      </w:r>
      <w:r>
        <w:rPr/>
        <w:t>al.</w:t>
      </w:r>
      <w:r>
        <w:rPr>
          <w:spacing w:val="-2"/>
        </w:rPr>
        <w:t> </w:t>
      </w:r>
      <w:r>
        <w:rPr/>
        <w:t>1,</w:t>
      </w:r>
      <w:r>
        <w:rPr>
          <w:spacing w:val="-1"/>
        </w:rPr>
        <w:t> </w:t>
      </w:r>
      <w:r>
        <w:rPr/>
        <w:t>let.</w:t>
      </w:r>
      <w:r>
        <w:rPr>
          <w:spacing w:val="-1"/>
        </w:rPr>
        <w:t> </w:t>
      </w:r>
      <w:r>
        <w:rPr/>
        <w:t>c</w:t>
      </w:r>
      <w:r>
        <w:rPr>
          <w:spacing w:val="-2"/>
        </w:rPr>
        <w:t> </w:t>
      </w:r>
      <w:r>
        <w:rPr/>
        <w:t>et</w:t>
      </w:r>
      <w:r>
        <w:rPr>
          <w:spacing w:val="-1"/>
        </w:rPr>
        <w:t> </w:t>
      </w:r>
      <w:r>
        <w:rPr/>
        <w:t>al.</w:t>
      </w:r>
      <w:r>
        <w:rPr>
          <w:spacing w:val="-1"/>
        </w:rPr>
        <w:t> </w:t>
      </w:r>
      <w:r>
        <w:rPr/>
        <w:t>2</w:t>
      </w:r>
      <w:r>
        <w:rPr>
          <w:spacing w:val="1"/>
        </w:rPr>
        <w:t> </w:t>
      </w:r>
      <w:r>
        <w:rPr>
          <w:spacing w:val="-2"/>
        </w:rPr>
        <w:t>LCdir</w:t>
      </w:r>
    </w:p>
    <w:p>
      <w:pPr>
        <w:pStyle w:val="BodyText"/>
        <w:spacing w:before="56"/>
        <w:ind w:left="1134"/>
      </w:pPr>
      <w:r>
        <w:rPr>
          <w:position w:val="6"/>
          <w:sz w:val="12"/>
        </w:rPr>
        <w:t>1</w:t>
      </w:r>
      <w:r>
        <w:rPr>
          <w:spacing w:val="14"/>
          <w:position w:val="6"/>
          <w:sz w:val="12"/>
        </w:rPr>
        <w:t> </w:t>
      </w:r>
      <w:r>
        <w:rPr/>
        <w:t>Les</w:t>
      </w:r>
      <w:r>
        <w:rPr>
          <w:spacing w:val="-3"/>
        </w:rPr>
        <w:t> </w:t>
      </w:r>
      <w:r>
        <w:rPr/>
        <w:t>frais</w:t>
      </w:r>
      <w:r>
        <w:rPr>
          <w:spacing w:val="-1"/>
        </w:rPr>
        <w:t> </w:t>
      </w:r>
      <w:r>
        <w:rPr/>
        <w:t>d'acquisition</w:t>
      </w:r>
      <w:r>
        <w:rPr>
          <w:spacing w:val="-2"/>
        </w:rPr>
        <w:t> </w:t>
      </w:r>
      <w:r>
        <w:rPr/>
        <w:t>du</w:t>
      </w:r>
      <w:r>
        <w:rPr>
          <w:spacing w:val="-4"/>
        </w:rPr>
        <w:t> </w:t>
      </w:r>
      <w:r>
        <w:rPr/>
        <w:t>revenu</w:t>
      </w:r>
      <w:r>
        <w:rPr>
          <w:spacing w:val="-1"/>
        </w:rPr>
        <w:t> </w:t>
      </w:r>
      <w:r>
        <w:rPr/>
        <w:t>qui</w:t>
      </w:r>
      <w:r>
        <w:rPr>
          <w:spacing w:val="-2"/>
        </w:rPr>
        <w:t> </w:t>
      </w:r>
      <w:r>
        <w:rPr/>
        <w:t>peuvent</w:t>
      </w:r>
      <w:r>
        <w:rPr>
          <w:spacing w:val="-4"/>
        </w:rPr>
        <w:t> </w:t>
      </w:r>
      <w:r>
        <w:rPr/>
        <w:t>être</w:t>
      </w:r>
      <w:r>
        <w:rPr>
          <w:spacing w:val="-4"/>
        </w:rPr>
        <w:t> </w:t>
      </w:r>
      <w:r>
        <w:rPr/>
        <w:t>déduits</w:t>
      </w:r>
      <w:r>
        <w:rPr>
          <w:spacing w:val="-3"/>
        </w:rPr>
        <w:t> </w:t>
      </w:r>
      <w:r>
        <w:rPr/>
        <w:t>sont</w:t>
      </w:r>
      <w:r>
        <w:rPr>
          <w:spacing w:val="-2"/>
        </w:rPr>
        <w:t> </w:t>
      </w:r>
      <w:r>
        <w:rPr>
          <w:spacing w:val="-10"/>
        </w:rPr>
        <w:t>:</w:t>
      </w:r>
    </w:p>
    <w:p>
      <w:pPr>
        <w:pStyle w:val="ListParagraph"/>
        <w:numPr>
          <w:ilvl w:val="0"/>
          <w:numId w:val="5"/>
        </w:numPr>
        <w:tabs>
          <w:tab w:pos="1559" w:val="left" w:leader="none"/>
        </w:tabs>
        <w:spacing w:line="240" w:lineRule="auto" w:before="38" w:after="0"/>
        <w:ind w:left="1559" w:right="700" w:hanging="425"/>
        <w:jc w:val="left"/>
        <w:rPr>
          <w:sz w:val="18"/>
        </w:rPr>
      </w:pPr>
      <w:r>
        <w:rPr>
          <w:sz w:val="18"/>
        </w:rPr>
        <w:t>les autres</w:t>
      </w:r>
      <w:r>
        <w:rPr>
          <w:spacing w:val="14"/>
          <w:sz w:val="18"/>
        </w:rPr>
        <w:t> </w:t>
      </w:r>
      <w:r>
        <w:rPr>
          <w:sz w:val="18"/>
        </w:rPr>
        <w:t>frais indispensables à</w:t>
      </w:r>
      <w:r>
        <w:rPr>
          <w:spacing w:val="13"/>
          <w:sz w:val="18"/>
        </w:rPr>
        <w:t> </w:t>
      </w:r>
      <w:r>
        <w:rPr>
          <w:sz w:val="18"/>
        </w:rPr>
        <w:t>l'exercice de</w:t>
      </w:r>
      <w:r>
        <w:rPr>
          <w:spacing w:val="13"/>
          <w:sz w:val="18"/>
        </w:rPr>
        <w:t> </w:t>
      </w:r>
      <w:r>
        <w:rPr>
          <w:sz w:val="18"/>
        </w:rPr>
        <w:t>la</w:t>
      </w:r>
      <w:r>
        <w:rPr>
          <w:spacing w:val="13"/>
          <w:sz w:val="18"/>
        </w:rPr>
        <w:t> </w:t>
      </w:r>
      <w:r>
        <w:rPr>
          <w:sz w:val="18"/>
        </w:rPr>
        <w:t>profession; l'article</w:t>
      </w:r>
      <w:r>
        <w:rPr>
          <w:spacing w:val="13"/>
          <w:sz w:val="18"/>
        </w:rPr>
        <w:t> </w:t>
      </w:r>
      <w:r>
        <w:rPr>
          <w:sz w:val="18"/>
        </w:rPr>
        <w:t>36,</w:t>
      </w:r>
      <w:r>
        <w:rPr>
          <w:spacing w:val="13"/>
          <w:sz w:val="18"/>
        </w:rPr>
        <w:t> </w:t>
      </w:r>
      <w:r>
        <w:rPr>
          <w:sz w:val="18"/>
        </w:rPr>
        <w:t>alinéa</w:t>
      </w:r>
      <w:r>
        <w:rPr>
          <w:spacing w:val="13"/>
          <w:sz w:val="18"/>
        </w:rPr>
        <w:t> </w:t>
      </w:r>
      <w:r>
        <w:rPr>
          <w:sz w:val="18"/>
        </w:rPr>
        <w:t>1, lettre</w:t>
      </w:r>
      <w:r>
        <w:rPr>
          <w:spacing w:val="13"/>
          <w:sz w:val="18"/>
        </w:rPr>
        <w:t> </w:t>
      </w:r>
      <w:r>
        <w:rPr>
          <w:rFonts w:ascii="Arial" w:hAnsi="Arial"/>
          <w:i/>
          <w:sz w:val="18"/>
        </w:rPr>
        <w:t>k</w:t>
      </w:r>
      <w:r>
        <w:rPr>
          <w:sz w:val="18"/>
        </w:rPr>
        <w:t>, est</w:t>
      </w:r>
      <w:r>
        <w:rPr>
          <w:spacing w:val="13"/>
          <w:sz w:val="18"/>
        </w:rPr>
        <w:t> </w:t>
      </w:r>
      <w:r>
        <w:rPr>
          <w:sz w:val="18"/>
        </w:rPr>
        <w:t>ré-</w:t>
      </w:r>
      <w:r>
        <w:rPr>
          <w:spacing w:val="-2"/>
          <w:sz w:val="18"/>
        </w:rPr>
        <w:t>servé;</w:t>
      </w:r>
    </w:p>
    <w:p>
      <w:pPr>
        <w:pStyle w:val="BodyText"/>
        <w:spacing w:before="38"/>
        <w:ind w:left="1134" w:right="700"/>
      </w:pPr>
      <w:r>
        <w:rPr>
          <w:position w:val="6"/>
          <w:sz w:val="12"/>
        </w:rPr>
        <w:t>2</w:t>
      </w:r>
      <w:r>
        <w:rPr>
          <w:spacing w:val="17"/>
          <w:position w:val="6"/>
          <w:sz w:val="12"/>
        </w:rPr>
        <w:t> </w:t>
      </w:r>
      <w:r>
        <w:rPr/>
        <w:t>Les frais</w:t>
      </w:r>
      <w:r>
        <w:rPr>
          <w:spacing w:val="-1"/>
        </w:rPr>
        <w:t> </w:t>
      </w:r>
      <w:r>
        <w:rPr/>
        <w:t>mentionnés à</w:t>
      </w:r>
      <w:r>
        <w:rPr>
          <w:spacing w:val="-1"/>
        </w:rPr>
        <w:t> </w:t>
      </w:r>
      <w:r>
        <w:rPr/>
        <w:t>l'alinéa 1,</w:t>
      </w:r>
      <w:r>
        <w:rPr>
          <w:spacing w:val="-2"/>
        </w:rPr>
        <w:t> </w:t>
      </w:r>
      <w:r>
        <w:rPr/>
        <w:t>lettres</w:t>
      </w:r>
      <w:r>
        <w:rPr>
          <w:spacing w:val="-1"/>
        </w:rPr>
        <w:t> </w:t>
      </w:r>
      <w:r>
        <w:rPr>
          <w:rFonts w:ascii="Arial" w:hAnsi="Arial"/>
          <w:i/>
        </w:rPr>
        <w:t>a </w:t>
      </w:r>
      <w:r>
        <w:rPr/>
        <w:t>à</w:t>
      </w:r>
      <w:r>
        <w:rPr>
          <w:spacing w:val="-1"/>
        </w:rPr>
        <w:t> </w:t>
      </w:r>
      <w:r>
        <w:rPr>
          <w:rFonts w:ascii="Arial" w:hAnsi="Arial"/>
          <w:i/>
        </w:rPr>
        <w:t>c</w:t>
      </w:r>
      <w:r>
        <w:rPr/>
        <w:t>,</w:t>
      </w:r>
      <w:r>
        <w:rPr>
          <w:spacing w:val="-2"/>
        </w:rPr>
        <w:t> </w:t>
      </w:r>
      <w:r>
        <w:rPr/>
        <w:t>sont estimés</w:t>
      </w:r>
      <w:r>
        <w:rPr>
          <w:spacing w:val="-1"/>
        </w:rPr>
        <w:t> </w:t>
      </w:r>
      <w:r>
        <w:rPr/>
        <w:t>forfaitairement;</w:t>
      </w:r>
      <w:r>
        <w:rPr>
          <w:spacing w:val="-2"/>
        </w:rPr>
        <w:t> </w:t>
      </w:r>
      <w:r>
        <w:rPr/>
        <w:t>dans les</w:t>
      </w:r>
      <w:r>
        <w:rPr>
          <w:spacing w:val="-1"/>
        </w:rPr>
        <w:t> </w:t>
      </w:r>
      <w:r>
        <w:rPr/>
        <w:t>cas</w:t>
      </w:r>
      <w:r>
        <w:rPr>
          <w:spacing w:val="-1"/>
        </w:rPr>
        <w:t> </w:t>
      </w:r>
      <w:r>
        <w:rPr/>
        <w:t>de l'alinéa 1, lettres </w:t>
      </w:r>
      <w:r>
        <w:rPr>
          <w:rFonts w:ascii="Arial" w:hAnsi="Arial"/>
          <w:i/>
        </w:rPr>
        <w:t>a </w:t>
      </w:r>
      <w:r>
        <w:rPr/>
        <w:t>et </w:t>
      </w:r>
      <w:r>
        <w:rPr>
          <w:rFonts w:ascii="Arial" w:hAnsi="Arial"/>
          <w:i/>
        </w:rPr>
        <w:t>c</w:t>
      </w:r>
      <w:r>
        <w:rPr/>
        <w:t>, le contribuable peut justifier de frais plus élevés.</w:t>
      </w:r>
    </w:p>
    <w:p>
      <w:pPr>
        <w:pStyle w:val="Heading8"/>
        <w:spacing w:before="93"/>
      </w:pPr>
      <w:r>
        <w:rPr/>
        <w:t>Art.</w:t>
      </w:r>
      <w:r>
        <w:rPr>
          <w:spacing w:val="-1"/>
        </w:rPr>
        <w:t> </w:t>
      </w:r>
      <w:r>
        <w:rPr/>
        <w:t>29, al.</w:t>
      </w:r>
      <w:r>
        <w:rPr>
          <w:spacing w:val="-3"/>
        </w:rPr>
        <w:t> </w:t>
      </w:r>
      <w:r>
        <w:rPr/>
        <w:t>3</w:t>
      </w:r>
      <w:r>
        <w:rPr>
          <w:spacing w:val="1"/>
        </w:rPr>
        <w:t> </w:t>
      </w:r>
      <w:r>
        <w:rPr>
          <w:spacing w:val="-2"/>
        </w:rPr>
        <w:t>RELCdir</w:t>
      </w:r>
    </w:p>
    <w:p>
      <w:pPr>
        <w:pStyle w:val="BodyText"/>
        <w:spacing w:before="55"/>
        <w:ind w:left="1134"/>
        <w:jc w:val="both"/>
      </w:pPr>
      <w:r>
        <w:rPr>
          <w:position w:val="6"/>
          <w:sz w:val="12"/>
        </w:rPr>
        <w:t>3</w:t>
      </w:r>
      <w:r>
        <w:rPr>
          <w:spacing w:val="17"/>
          <w:position w:val="6"/>
          <w:sz w:val="12"/>
        </w:rPr>
        <w:t> </w:t>
      </w:r>
      <w:r>
        <w:rPr>
          <w:spacing w:val="-2"/>
        </w:rPr>
        <w:t>Forfaits</w:t>
      </w:r>
    </w:p>
    <w:p>
      <w:pPr>
        <w:pStyle w:val="BodyText"/>
        <w:spacing w:before="7"/>
        <w:rPr>
          <w:sz w:val="7"/>
        </w:rPr>
      </w:pPr>
    </w:p>
    <w:tbl>
      <w:tblPr>
        <w:tblW w:w="0" w:type="auto"/>
        <w:jc w:val="left"/>
        <w:tblInd w:w="1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2"/>
        <w:gridCol w:w="1624"/>
        <w:gridCol w:w="1147"/>
      </w:tblGrid>
      <w:tr>
        <w:trPr>
          <w:trHeight w:val="244" w:hRule="atLeast"/>
        </w:trPr>
        <w:tc>
          <w:tcPr>
            <w:tcW w:w="2602" w:type="dxa"/>
          </w:tcPr>
          <w:p>
            <w:pPr>
              <w:pStyle w:val="TableParagraph"/>
              <w:spacing w:line="201" w:lineRule="exact"/>
              <w:ind w:left="50"/>
              <w:jc w:val="left"/>
              <w:rPr>
                <w:sz w:val="18"/>
              </w:rPr>
            </w:pPr>
            <w:r>
              <w:rPr>
                <w:sz w:val="18"/>
              </w:rPr>
              <w:t>3%</w:t>
            </w:r>
            <w:r>
              <w:rPr>
                <w:spacing w:val="-1"/>
                <w:sz w:val="18"/>
              </w:rPr>
              <w:t> </w:t>
            </w:r>
            <w:r>
              <w:rPr>
                <w:sz w:val="18"/>
              </w:rPr>
              <w:t>du</w:t>
            </w:r>
            <w:r>
              <w:rPr>
                <w:spacing w:val="-3"/>
                <w:sz w:val="18"/>
              </w:rPr>
              <w:t> </w:t>
            </w:r>
            <w:r>
              <w:rPr>
                <w:sz w:val="18"/>
              </w:rPr>
              <w:t>salaire </w:t>
            </w:r>
            <w:r>
              <w:rPr>
                <w:spacing w:val="-5"/>
                <w:sz w:val="18"/>
              </w:rPr>
              <w:t>net</w:t>
            </w:r>
          </w:p>
        </w:tc>
        <w:tc>
          <w:tcPr>
            <w:tcW w:w="1624" w:type="dxa"/>
          </w:tcPr>
          <w:p>
            <w:pPr>
              <w:pStyle w:val="TableParagraph"/>
              <w:spacing w:line="240" w:lineRule="auto"/>
              <w:jc w:val="left"/>
              <w:rPr>
                <w:rFonts w:ascii="Times New Roman"/>
                <w:sz w:val="16"/>
              </w:rPr>
            </w:pPr>
          </w:p>
        </w:tc>
        <w:tc>
          <w:tcPr>
            <w:tcW w:w="1147" w:type="dxa"/>
          </w:tcPr>
          <w:p>
            <w:pPr>
              <w:pStyle w:val="TableParagraph"/>
              <w:spacing w:line="240" w:lineRule="auto"/>
              <w:jc w:val="left"/>
              <w:rPr>
                <w:rFonts w:ascii="Times New Roman"/>
                <w:sz w:val="16"/>
              </w:rPr>
            </w:pPr>
          </w:p>
        </w:tc>
      </w:tr>
      <w:tr>
        <w:trPr>
          <w:trHeight w:val="286" w:hRule="atLeast"/>
        </w:trPr>
        <w:tc>
          <w:tcPr>
            <w:tcW w:w="2602" w:type="dxa"/>
          </w:tcPr>
          <w:p>
            <w:pPr>
              <w:pStyle w:val="TableParagraph"/>
              <w:spacing w:line="240" w:lineRule="auto" w:before="37"/>
              <w:ind w:left="50"/>
              <w:jc w:val="left"/>
              <w:rPr>
                <w:sz w:val="18"/>
              </w:rPr>
            </w:pPr>
            <w:r>
              <w:rPr>
                <w:sz w:val="18"/>
              </w:rPr>
              <w:t>au</w:t>
            </w:r>
            <w:r>
              <w:rPr>
                <w:spacing w:val="-1"/>
                <w:sz w:val="18"/>
              </w:rPr>
              <w:t> </w:t>
            </w:r>
            <w:r>
              <w:rPr>
                <w:sz w:val="18"/>
              </w:rPr>
              <w:t>minimum,</w:t>
            </w:r>
            <w:r>
              <w:rPr>
                <w:spacing w:val="-1"/>
                <w:sz w:val="18"/>
              </w:rPr>
              <w:t> </w:t>
            </w:r>
            <w:r>
              <w:rPr>
                <w:sz w:val="18"/>
              </w:rPr>
              <w:t>par</w:t>
            </w:r>
            <w:r>
              <w:rPr>
                <w:spacing w:val="-3"/>
                <w:sz w:val="18"/>
              </w:rPr>
              <w:t> </w:t>
            </w:r>
            <w:r>
              <w:rPr>
                <w:spacing w:val="-5"/>
                <w:sz w:val="18"/>
              </w:rPr>
              <w:t>an</w:t>
            </w:r>
          </w:p>
        </w:tc>
        <w:tc>
          <w:tcPr>
            <w:tcW w:w="1624" w:type="dxa"/>
          </w:tcPr>
          <w:p>
            <w:pPr>
              <w:pStyle w:val="TableParagraph"/>
              <w:spacing w:line="240" w:lineRule="auto" w:before="37"/>
              <w:ind w:right="492"/>
              <w:rPr>
                <w:sz w:val="18"/>
              </w:rPr>
            </w:pPr>
            <w:r>
              <w:rPr>
                <w:spacing w:val="-5"/>
                <w:sz w:val="18"/>
              </w:rPr>
              <w:t>Fr.</w:t>
            </w:r>
          </w:p>
        </w:tc>
        <w:tc>
          <w:tcPr>
            <w:tcW w:w="1147" w:type="dxa"/>
          </w:tcPr>
          <w:p>
            <w:pPr>
              <w:pStyle w:val="TableParagraph"/>
              <w:spacing w:line="240" w:lineRule="auto" w:before="37"/>
              <w:ind w:right="48"/>
              <w:rPr>
                <w:sz w:val="18"/>
              </w:rPr>
            </w:pPr>
            <w:r>
              <w:rPr>
                <w:sz w:val="18"/>
              </w:rPr>
              <w:t>2.000.–</w:t>
            </w:r>
          </w:p>
        </w:tc>
      </w:tr>
      <w:tr>
        <w:trPr>
          <w:trHeight w:val="243" w:hRule="atLeast"/>
        </w:trPr>
        <w:tc>
          <w:tcPr>
            <w:tcW w:w="2602" w:type="dxa"/>
          </w:tcPr>
          <w:p>
            <w:pPr>
              <w:pStyle w:val="TableParagraph"/>
              <w:spacing w:line="187" w:lineRule="exact" w:before="36"/>
              <w:ind w:left="50"/>
              <w:jc w:val="left"/>
              <w:rPr>
                <w:sz w:val="18"/>
              </w:rPr>
            </w:pPr>
            <w:r>
              <w:rPr>
                <w:sz w:val="18"/>
              </w:rPr>
              <w:t>au</w:t>
            </w:r>
            <w:r>
              <w:rPr>
                <w:spacing w:val="-1"/>
                <w:sz w:val="18"/>
              </w:rPr>
              <w:t> </w:t>
            </w:r>
            <w:r>
              <w:rPr>
                <w:sz w:val="18"/>
              </w:rPr>
              <w:t>maximum,</w:t>
            </w:r>
            <w:r>
              <w:rPr>
                <w:spacing w:val="-2"/>
                <w:sz w:val="18"/>
              </w:rPr>
              <w:t> </w:t>
            </w:r>
            <w:r>
              <w:rPr>
                <w:sz w:val="18"/>
              </w:rPr>
              <w:t>par</w:t>
            </w:r>
            <w:r>
              <w:rPr>
                <w:spacing w:val="-1"/>
                <w:sz w:val="18"/>
              </w:rPr>
              <w:t> </w:t>
            </w:r>
            <w:r>
              <w:rPr>
                <w:spacing w:val="-5"/>
                <w:sz w:val="18"/>
              </w:rPr>
              <w:t>an</w:t>
            </w:r>
          </w:p>
        </w:tc>
        <w:tc>
          <w:tcPr>
            <w:tcW w:w="1624" w:type="dxa"/>
          </w:tcPr>
          <w:p>
            <w:pPr>
              <w:pStyle w:val="TableParagraph"/>
              <w:spacing w:line="187" w:lineRule="exact" w:before="36"/>
              <w:ind w:right="492"/>
              <w:rPr>
                <w:sz w:val="18"/>
              </w:rPr>
            </w:pPr>
            <w:r>
              <w:rPr>
                <w:spacing w:val="-5"/>
                <w:sz w:val="18"/>
              </w:rPr>
              <w:t>Fr.</w:t>
            </w:r>
          </w:p>
        </w:tc>
        <w:tc>
          <w:tcPr>
            <w:tcW w:w="1147" w:type="dxa"/>
          </w:tcPr>
          <w:p>
            <w:pPr>
              <w:pStyle w:val="TableParagraph"/>
              <w:spacing w:line="187" w:lineRule="exact" w:before="36"/>
              <w:ind w:right="48"/>
              <w:rPr>
                <w:sz w:val="18"/>
              </w:rPr>
            </w:pPr>
            <w:r>
              <w:rPr>
                <w:sz w:val="18"/>
              </w:rPr>
              <w:t>4.000.–</w:t>
            </w:r>
          </w:p>
        </w:tc>
      </w:tr>
    </w:tbl>
    <w:p>
      <w:pPr>
        <w:pStyle w:val="BodyText"/>
        <w:spacing w:before="82"/>
        <w:ind w:left="1134"/>
        <w:jc w:val="both"/>
      </w:pPr>
      <w:hyperlink r:id="rId44">
        <w:r>
          <w:rPr>
            <w:color w:val="0462C0"/>
            <w:u w:val="single" w:color="0462C0"/>
          </w:rPr>
          <w:t>Instructions</w:t>
        </w:r>
        <w:r>
          <w:rPr>
            <w:color w:val="0462C0"/>
            <w:spacing w:val="-4"/>
            <w:u w:val="single" w:color="0462C0"/>
          </w:rPr>
          <w:t> </w:t>
        </w:r>
        <w:r>
          <w:rPr>
            <w:color w:val="0462C0"/>
            <w:u w:val="single" w:color="0462C0"/>
          </w:rPr>
          <w:t>générales</w:t>
        </w:r>
        <w:r>
          <w:rPr>
            <w:color w:val="0462C0"/>
            <w:spacing w:val="-4"/>
            <w:u w:val="single" w:color="0462C0"/>
          </w:rPr>
          <w:t> </w:t>
        </w:r>
        <w:r>
          <w:rPr>
            <w:color w:val="0462C0"/>
            <w:u w:val="single" w:color="0462C0"/>
          </w:rPr>
          <w:t>pour</w:t>
        </w:r>
        <w:r>
          <w:rPr>
            <w:color w:val="0462C0"/>
            <w:spacing w:val="-3"/>
            <w:u w:val="single" w:color="0462C0"/>
          </w:rPr>
          <w:t> </w:t>
        </w:r>
        <w:r>
          <w:rPr>
            <w:color w:val="0462C0"/>
            <w:u w:val="single" w:color="0462C0"/>
          </w:rPr>
          <w:t>remplir</w:t>
        </w:r>
        <w:r>
          <w:rPr>
            <w:color w:val="0462C0"/>
            <w:spacing w:val="-5"/>
            <w:u w:val="single" w:color="0462C0"/>
          </w:rPr>
          <w:t> </w:t>
        </w:r>
        <w:r>
          <w:rPr>
            <w:color w:val="0462C0"/>
            <w:u w:val="single" w:color="0462C0"/>
          </w:rPr>
          <w:t>la</w:t>
        </w:r>
        <w:r>
          <w:rPr>
            <w:color w:val="0462C0"/>
            <w:spacing w:val="-5"/>
            <w:u w:val="single" w:color="0462C0"/>
          </w:rPr>
          <w:t> </w:t>
        </w:r>
        <w:r>
          <w:rPr>
            <w:color w:val="0462C0"/>
            <w:u w:val="single" w:color="0462C0"/>
          </w:rPr>
          <w:t>déclaration</w:t>
        </w:r>
        <w:r>
          <w:rPr>
            <w:color w:val="0462C0"/>
            <w:spacing w:val="-2"/>
            <w:u w:val="single" w:color="0462C0"/>
          </w:rPr>
          <w:t> </w:t>
        </w:r>
        <w:r>
          <w:rPr>
            <w:color w:val="0462C0"/>
            <w:u w:val="single" w:color="0462C0"/>
          </w:rPr>
          <w:t>d'impôts</w:t>
        </w:r>
        <w:r>
          <w:rPr>
            <w:color w:val="0462C0"/>
            <w:spacing w:val="-2"/>
            <w:u w:val="single" w:color="0462C0"/>
          </w:rPr>
          <w:t> </w:t>
        </w:r>
        <w:r>
          <w:rPr>
            <w:color w:val="0462C0"/>
            <w:u w:val="single" w:color="0462C0"/>
          </w:rPr>
          <w:t>2025</w:t>
        </w:r>
        <w:r>
          <w:rPr/>
          <w:t>,</w:t>
        </w:r>
      </w:hyperlink>
      <w:r>
        <w:rPr>
          <w:spacing w:val="-3"/>
        </w:rPr>
        <w:t> </w:t>
      </w:r>
      <w:r>
        <w:rPr/>
        <w:t>p.</w:t>
      </w:r>
      <w:r>
        <w:rPr>
          <w:spacing w:val="-3"/>
        </w:rPr>
        <w:t> </w:t>
      </w:r>
      <w:r>
        <w:rPr>
          <w:spacing w:val="-5"/>
        </w:rPr>
        <w:t>39</w:t>
      </w:r>
    </w:p>
    <w:p>
      <w:pPr>
        <w:pStyle w:val="BodyText"/>
        <w:spacing w:before="38"/>
        <w:ind w:left="1134"/>
        <w:jc w:val="both"/>
      </w:pPr>
      <w:r>
        <w:rPr/>
        <w:t>Le</w:t>
      </w:r>
      <w:r>
        <w:rPr>
          <w:spacing w:val="-1"/>
        </w:rPr>
        <w:t> </w:t>
      </w:r>
      <w:r>
        <w:rPr/>
        <w:t>forfait</w:t>
      </w:r>
      <w:r>
        <w:rPr>
          <w:spacing w:val="-4"/>
        </w:rPr>
        <w:t> </w:t>
      </w:r>
      <w:r>
        <w:rPr/>
        <w:t>s'élève</w:t>
      </w:r>
      <w:r>
        <w:rPr>
          <w:spacing w:val="-3"/>
        </w:rPr>
        <w:t> </w:t>
      </w:r>
      <w:r>
        <w:rPr/>
        <w:t>à</w:t>
      </w:r>
      <w:r>
        <w:rPr>
          <w:spacing w:val="-1"/>
        </w:rPr>
        <w:t> </w:t>
      </w:r>
      <w:r>
        <w:rPr/>
        <w:t>10% du</w:t>
      </w:r>
      <w:r>
        <w:rPr>
          <w:spacing w:val="-4"/>
        </w:rPr>
        <w:t> </w:t>
      </w:r>
      <w:r>
        <w:rPr/>
        <w:t>salaire net</w:t>
      </w:r>
      <w:r>
        <w:rPr>
          <w:spacing w:val="-2"/>
        </w:rPr>
        <w:t> </w:t>
      </w:r>
      <w:r>
        <w:rPr/>
        <w:t>si</w:t>
      </w:r>
      <w:r>
        <w:rPr>
          <w:spacing w:val="-1"/>
        </w:rPr>
        <w:t> </w:t>
      </w:r>
      <w:r>
        <w:rPr/>
        <w:t>ce dernier</w:t>
      </w:r>
      <w:r>
        <w:rPr>
          <w:spacing w:val="-4"/>
        </w:rPr>
        <w:t> </w:t>
      </w:r>
      <w:r>
        <w:rPr/>
        <w:t>est</w:t>
      </w:r>
      <w:r>
        <w:rPr>
          <w:spacing w:val="-1"/>
        </w:rPr>
        <w:t> </w:t>
      </w:r>
      <w:r>
        <w:rPr/>
        <w:t>inférieur</w:t>
      </w:r>
      <w:r>
        <w:rPr>
          <w:spacing w:val="-2"/>
        </w:rPr>
        <w:t> </w:t>
      </w:r>
      <w:r>
        <w:rPr/>
        <w:t>à Fr.</w:t>
      </w:r>
      <w:r>
        <w:rPr>
          <w:spacing w:val="-2"/>
        </w:rPr>
        <w:t> </w:t>
      </w:r>
      <w:r>
        <w:rPr/>
        <w:t>20</w:t>
      </w:r>
      <w:r>
        <w:rPr>
          <w:spacing w:val="-3"/>
        </w:rPr>
        <w:t> </w:t>
      </w:r>
      <w:r>
        <w:rPr/>
        <w:t>000.-</w:t>
      </w:r>
      <w:r>
        <w:rPr>
          <w:spacing w:val="-4"/>
        </w:rPr>
        <w:t> </w:t>
      </w:r>
      <w:r>
        <w:rPr/>
        <w:t>par</w:t>
      </w:r>
      <w:r>
        <w:rPr>
          <w:spacing w:val="-3"/>
        </w:rPr>
        <w:t> </w:t>
      </w:r>
      <w:r>
        <w:rPr>
          <w:spacing w:val="-2"/>
        </w:rPr>
        <w:t>année.</w:t>
      </w:r>
    </w:p>
    <w:p>
      <w:pPr>
        <w:pStyle w:val="BodyText"/>
        <w:spacing w:before="155"/>
      </w:pPr>
    </w:p>
    <w:p>
      <w:pPr>
        <w:pStyle w:val="Heading7"/>
        <w:jc w:val="both"/>
      </w:pPr>
      <w:r>
        <w:rPr>
          <w:color w:val="950000"/>
        </w:rPr>
        <w:t>Activité accessoire occasionnelle</w:t>
      </w:r>
      <w:r>
        <w:rPr>
          <w:color w:val="950000"/>
          <w:spacing w:val="80"/>
        </w:rPr>
        <w:t> </w:t>
      </w:r>
      <w:r>
        <w:rPr>
          <w:color w:val="950000"/>
          <w:spacing w:val="2"/>
        </w:rPr>
        <w:drawing>
          <wp:inline distT="0" distB="0" distL="0" distR="0">
            <wp:extent cx="201257" cy="114886"/>
            <wp:effectExtent l="0" t="0" r="0" b="0"/>
            <wp:docPr id="35" name="Image 35" descr="">
              <a:hlinkClick r:id="rId45"/>
            </wp:docPr>
            <wp:cNvGraphicFramePr>
              <a:graphicFrameLocks/>
            </wp:cNvGraphicFramePr>
            <a:graphic>
              <a:graphicData uri="http://schemas.openxmlformats.org/drawingml/2006/picture">
                <pic:pic>
                  <pic:nvPicPr>
                    <pic:cNvPr id="35" name="Image 35" descr="">
                      <a:hlinkClick r:id="rId45"/>
                    </pic:cNvPr>
                    <pic:cNvPicPr/>
                  </pic:nvPicPr>
                  <pic:blipFill>
                    <a:blip r:embed="rId11" cstate="print"/>
                    <a:stretch>
                      <a:fillRect/>
                    </a:stretch>
                  </pic:blipFill>
                  <pic:spPr>
                    <a:xfrm>
                      <a:off x="0" y="0"/>
                      <a:ext cx="201257" cy="114886"/>
                    </a:xfrm>
                    <a:prstGeom prst="rect">
                      <a:avLst/>
                    </a:prstGeom>
                  </pic:spPr>
                </pic:pic>
              </a:graphicData>
            </a:graphic>
          </wp:inline>
        </w:drawing>
      </w:r>
      <w:r>
        <w:rPr>
          <w:color w:val="950000"/>
          <w:spacing w:val="2"/>
        </w:rPr>
      </w:r>
    </w:p>
    <w:p>
      <w:pPr>
        <w:pStyle w:val="Heading8"/>
      </w:pPr>
      <w:r>
        <w:rPr/>
        <w:t>Art.</w:t>
      </w:r>
      <w:r>
        <w:rPr>
          <w:spacing w:val="-1"/>
        </w:rPr>
        <w:t> </w:t>
      </w:r>
      <w:r>
        <w:rPr/>
        <w:t>32 </w:t>
      </w:r>
      <w:r>
        <w:rPr>
          <w:spacing w:val="-2"/>
        </w:rPr>
        <w:t>RELCdir</w:t>
      </w:r>
    </w:p>
    <w:p>
      <w:pPr>
        <w:pStyle w:val="BodyText"/>
        <w:spacing w:before="55"/>
        <w:ind w:left="1134" w:right="705"/>
        <w:jc w:val="both"/>
      </w:pPr>
      <w:r>
        <w:rPr>
          <w:position w:val="6"/>
          <w:sz w:val="12"/>
        </w:rPr>
        <w:t>1</w:t>
      </w:r>
      <w:r>
        <w:rPr>
          <w:spacing w:val="-4"/>
          <w:position w:val="6"/>
          <w:sz w:val="12"/>
        </w:rPr>
        <w:t> </w:t>
      </w:r>
      <w:r>
        <w:rPr/>
        <w:t>Une</w:t>
      </w:r>
      <w:r>
        <w:rPr>
          <w:spacing w:val="-6"/>
        </w:rPr>
        <w:t> </w:t>
      </w:r>
      <w:r>
        <w:rPr/>
        <w:t>déduction</w:t>
      </w:r>
      <w:r>
        <w:rPr>
          <w:spacing w:val="-6"/>
        </w:rPr>
        <w:t> </w:t>
      </w:r>
      <w:r>
        <w:rPr/>
        <w:t>forfaitaire</w:t>
      </w:r>
      <w:r>
        <w:rPr>
          <w:spacing w:val="-6"/>
        </w:rPr>
        <w:t> </w:t>
      </w:r>
      <w:r>
        <w:rPr/>
        <w:t>est</w:t>
      </w:r>
      <w:r>
        <w:rPr>
          <w:spacing w:val="-9"/>
        </w:rPr>
        <w:t> </w:t>
      </w:r>
      <w:r>
        <w:rPr/>
        <w:t>autorisée</w:t>
      </w:r>
      <w:r>
        <w:rPr>
          <w:spacing w:val="-9"/>
        </w:rPr>
        <w:t> </w:t>
      </w:r>
      <w:r>
        <w:rPr/>
        <w:t>pour</w:t>
      </w:r>
      <w:r>
        <w:rPr>
          <w:spacing w:val="-7"/>
        </w:rPr>
        <w:t> </w:t>
      </w:r>
      <w:r>
        <w:rPr/>
        <w:t>les</w:t>
      </w:r>
      <w:r>
        <w:rPr>
          <w:spacing w:val="-6"/>
        </w:rPr>
        <w:t> </w:t>
      </w:r>
      <w:r>
        <w:rPr/>
        <w:t>frais</w:t>
      </w:r>
      <w:r>
        <w:rPr>
          <w:spacing w:val="-6"/>
        </w:rPr>
        <w:t> </w:t>
      </w:r>
      <w:r>
        <w:rPr/>
        <w:t>du</w:t>
      </w:r>
      <w:r>
        <w:rPr>
          <w:spacing w:val="-6"/>
        </w:rPr>
        <w:t> </w:t>
      </w:r>
      <w:r>
        <w:rPr/>
        <w:t>contribuable</w:t>
      </w:r>
      <w:r>
        <w:rPr>
          <w:spacing w:val="-6"/>
        </w:rPr>
        <w:t> </w:t>
      </w:r>
      <w:r>
        <w:rPr/>
        <w:t>qui</w:t>
      </w:r>
      <w:r>
        <w:rPr>
          <w:spacing w:val="-6"/>
        </w:rPr>
        <w:t> </w:t>
      </w:r>
      <w:r>
        <w:rPr/>
        <w:t>exerce</w:t>
      </w:r>
      <w:r>
        <w:rPr>
          <w:spacing w:val="-6"/>
        </w:rPr>
        <w:t> </w:t>
      </w:r>
      <w:r>
        <w:rPr/>
        <w:t>occasionnellement</w:t>
      </w:r>
      <w:r>
        <w:rPr>
          <w:spacing w:val="-9"/>
        </w:rPr>
        <w:t> </w:t>
      </w:r>
      <w:r>
        <w:rPr/>
        <w:t>une activité lucrative accessoire.</w:t>
      </w:r>
    </w:p>
    <w:p>
      <w:pPr>
        <w:spacing w:before="39"/>
        <w:ind w:left="1134" w:right="0" w:firstLine="0"/>
        <w:jc w:val="both"/>
        <w:rPr>
          <w:sz w:val="18"/>
        </w:rPr>
      </w:pPr>
      <w:r>
        <w:rPr>
          <w:position w:val="6"/>
          <w:sz w:val="12"/>
        </w:rPr>
        <w:t>2</w:t>
      </w:r>
      <w:r>
        <w:rPr>
          <w:spacing w:val="17"/>
          <w:position w:val="6"/>
          <w:sz w:val="12"/>
        </w:rPr>
        <w:t> </w:t>
      </w:r>
      <w:r>
        <w:rPr>
          <w:spacing w:val="-2"/>
          <w:sz w:val="18"/>
        </w:rPr>
        <w:t>Forfait</w:t>
      </w:r>
    </w:p>
    <w:p>
      <w:pPr>
        <w:pStyle w:val="BodyText"/>
        <w:spacing w:before="4"/>
        <w:rPr>
          <w:sz w:val="7"/>
        </w:rPr>
      </w:pPr>
    </w:p>
    <w:tbl>
      <w:tblPr>
        <w:tblW w:w="0" w:type="auto"/>
        <w:jc w:val="left"/>
        <w:tblInd w:w="1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2"/>
        <w:gridCol w:w="1557"/>
        <w:gridCol w:w="1190"/>
      </w:tblGrid>
      <w:tr>
        <w:trPr>
          <w:trHeight w:val="244" w:hRule="atLeast"/>
        </w:trPr>
        <w:tc>
          <w:tcPr>
            <w:tcW w:w="2492" w:type="dxa"/>
          </w:tcPr>
          <w:p>
            <w:pPr>
              <w:pStyle w:val="TableParagraph"/>
              <w:spacing w:line="201" w:lineRule="exact"/>
              <w:ind w:left="50"/>
              <w:jc w:val="left"/>
              <w:rPr>
                <w:sz w:val="18"/>
              </w:rPr>
            </w:pPr>
            <w:r>
              <w:rPr>
                <w:sz w:val="18"/>
              </w:rPr>
              <w:t>20%</w:t>
            </w:r>
            <w:r>
              <w:rPr>
                <w:spacing w:val="-3"/>
                <w:sz w:val="18"/>
              </w:rPr>
              <w:t> </w:t>
            </w:r>
            <w:r>
              <w:rPr>
                <w:sz w:val="18"/>
              </w:rPr>
              <w:t>du revenu</w:t>
            </w:r>
            <w:r>
              <w:rPr>
                <w:spacing w:val="-3"/>
                <w:sz w:val="18"/>
              </w:rPr>
              <w:t> </w:t>
            </w:r>
            <w:r>
              <w:rPr>
                <w:spacing w:val="-5"/>
                <w:sz w:val="18"/>
              </w:rPr>
              <w:t>net</w:t>
            </w:r>
          </w:p>
        </w:tc>
        <w:tc>
          <w:tcPr>
            <w:tcW w:w="1557" w:type="dxa"/>
          </w:tcPr>
          <w:p>
            <w:pPr>
              <w:pStyle w:val="TableParagraph"/>
              <w:spacing w:line="240" w:lineRule="auto"/>
              <w:jc w:val="left"/>
              <w:rPr>
                <w:rFonts w:ascii="Times New Roman"/>
                <w:sz w:val="16"/>
              </w:rPr>
            </w:pPr>
          </w:p>
        </w:tc>
        <w:tc>
          <w:tcPr>
            <w:tcW w:w="1190" w:type="dxa"/>
          </w:tcPr>
          <w:p>
            <w:pPr>
              <w:pStyle w:val="TableParagraph"/>
              <w:spacing w:line="240" w:lineRule="auto"/>
              <w:jc w:val="left"/>
              <w:rPr>
                <w:rFonts w:ascii="Times New Roman"/>
                <w:sz w:val="16"/>
              </w:rPr>
            </w:pPr>
          </w:p>
        </w:tc>
      </w:tr>
      <w:tr>
        <w:trPr>
          <w:trHeight w:val="288" w:hRule="atLeast"/>
        </w:trPr>
        <w:tc>
          <w:tcPr>
            <w:tcW w:w="2492" w:type="dxa"/>
          </w:tcPr>
          <w:p>
            <w:pPr>
              <w:pStyle w:val="TableParagraph"/>
              <w:spacing w:line="240" w:lineRule="auto" w:before="37"/>
              <w:ind w:left="50"/>
              <w:jc w:val="left"/>
              <w:rPr>
                <w:sz w:val="18"/>
              </w:rPr>
            </w:pPr>
            <w:r>
              <w:rPr>
                <w:sz w:val="18"/>
              </w:rPr>
              <w:t>au</w:t>
            </w:r>
            <w:r>
              <w:rPr>
                <w:spacing w:val="-1"/>
                <w:sz w:val="18"/>
              </w:rPr>
              <w:t> </w:t>
            </w:r>
            <w:r>
              <w:rPr>
                <w:sz w:val="18"/>
              </w:rPr>
              <w:t>minimum,</w:t>
            </w:r>
            <w:r>
              <w:rPr>
                <w:spacing w:val="-1"/>
                <w:sz w:val="18"/>
              </w:rPr>
              <w:t> </w:t>
            </w:r>
            <w:r>
              <w:rPr>
                <w:sz w:val="18"/>
              </w:rPr>
              <w:t>par</w:t>
            </w:r>
            <w:r>
              <w:rPr>
                <w:spacing w:val="-3"/>
                <w:sz w:val="18"/>
              </w:rPr>
              <w:t> </w:t>
            </w:r>
            <w:r>
              <w:rPr>
                <w:spacing w:val="-5"/>
                <w:sz w:val="18"/>
              </w:rPr>
              <w:t>an</w:t>
            </w:r>
          </w:p>
        </w:tc>
        <w:tc>
          <w:tcPr>
            <w:tcW w:w="1557" w:type="dxa"/>
          </w:tcPr>
          <w:p>
            <w:pPr>
              <w:pStyle w:val="TableParagraph"/>
              <w:spacing w:line="240" w:lineRule="auto" w:before="37"/>
              <w:ind w:right="536"/>
              <w:rPr>
                <w:sz w:val="18"/>
              </w:rPr>
            </w:pPr>
            <w:r>
              <w:rPr>
                <w:spacing w:val="-5"/>
                <w:sz w:val="18"/>
              </w:rPr>
              <w:t>Fr.</w:t>
            </w:r>
          </w:p>
        </w:tc>
        <w:tc>
          <w:tcPr>
            <w:tcW w:w="1190" w:type="dxa"/>
          </w:tcPr>
          <w:p>
            <w:pPr>
              <w:pStyle w:val="TableParagraph"/>
              <w:spacing w:line="240" w:lineRule="auto" w:before="37"/>
              <w:ind w:right="49"/>
              <w:rPr>
                <w:sz w:val="18"/>
              </w:rPr>
            </w:pPr>
            <w:r>
              <w:rPr>
                <w:sz w:val="18"/>
              </w:rPr>
              <w:t>800.–</w:t>
            </w:r>
          </w:p>
        </w:tc>
      </w:tr>
      <w:tr>
        <w:trPr>
          <w:trHeight w:val="244" w:hRule="atLeast"/>
        </w:trPr>
        <w:tc>
          <w:tcPr>
            <w:tcW w:w="2492" w:type="dxa"/>
          </w:tcPr>
          <w:p>
            <w:pPr>
              <w:pStyle w:val="TableParagraph"/>
              <w:spacing w:line="187" w:lineRule="exact" w:before="37"/>
              <w:ind w:left="50"/>
              <w:jc w:val="left"/>
              <w:rPr>
                <w:sz w:val="18"/>
              </w:rPr>
            </w:pPr>
            <w:r>
              <w:rPr>
                <w:sz w:val="18"/>
              </w:rPr>
              <w:t>au</w:t>
            </w:r>
            <w:r>
              <w:rPr>
                <w:spacing w:val="-1"/>
                <w:sz w:val="18"/>
              </w:rPr>
              <w:t> </w:t>
            </w:r>
            <w:r>
              <w:rPr>
                <w:sz w:val="18"/>
              </w:rPr>
              <w:t>maximum,</w:t>
            </w:r>
            <w:r>
              <w:rPr>
                <w:spacing w:val="-2"/>
                <w:sz w:val="18"/>
              </w:rPr>
              <w:t> </w:t>
            </w:r>
            <w:r>
              <w:rPr>
                <w:sz w:val="18"/>
              </w:rPr>
              <w:t>par</w:t>
            </w:r>
            <w:r>
              <w:rPr>
                <w:spacing w:val="-1"/>
                <w:sz w:val="18"/>
              </w:rPr>
              <w:t> </w:t>
            </w:r>
            <w:r>
              <w:rPr>
                <w:spacing w:val="-5"/>
                <w:sz w:val="18"/>
              </w:rPr>
              <w:t>an</w:t>
            </w:r>
          </w:p>
        </w:tc>
        <w:tc>
          <w:tcPr>
            <w:tcW w:w="1557" w:type="dxa"/>
          </w:tcPr>
          <w:p>
            <w:pPr>
              <w:pStyle w:val="TableParagraph"/>
              <w:spacing w:line="187" w:lineRule="exact" w:before="37"/>
              <w:ind w:right="536"/>
              <w:rPr>
                <w:sz w:val="18"/>
              </w:rPr>
            </w:pPr>
            <w:r>
              <w:rPr>
                <w:spacing w:val="-5"/>
                <w:sz w:val="18"/>
              </w:rPr>
              <w:t>Fr.</w:t>
            </w:r>
          </w:p>
        </w:tc>
        <w:tc>
          <w:tcPr>
            <w:tcW w:w="1190" w:type="dxa"/>
          </w:tcPr>
          <w:p>
            <w:pPr>
              <w:pStyle w:val="TableParagraph"/>
              <w:spacing w:line="187" w:lineRule="exact" w:before="37"/>
              <w:ind w:right="49"/>
              <w:rPr>
                <w:sz w:val="18"/>
              </w:rPr>
            </w:pPr>
            <w:r>
              <w:rPr>
                <w:sz w:val="18"/>
              </w:rPr>
              <w:t>2.400.–</w:t>
            </w:r>
          </w:p>
        </w:tc>
      </w:tr>
    </w:tbl>
    <w:p>
      <w:pPr>
        <w:pStyle w:val="TableParagraph"/>
        <w:spacing w:after="0" w:line="187" w:lineRule="exact"/>
        <w:rPr>
          <w:sz w:val="18"/>
        </w:rPr>
        <w:sectPr>
          <w:pgSz w:w="11910" w:h="16840"/>
          <w:pgMar w:header="724" w:footer="687" w:top="960" w:bottom="880" w:left="850" w:right="992"/>
        </w:sectPr>
      </w:pPr>
    </w:p>
    <w:p>
      <w:pPr>
        <w:pStyle w:val="BodyText"/>
        <w:spacing w:before="211"/>
        <w:rPr>
          <w:sz w:val="20"/>
        </w:rPr>
      </w:pPr>
    </w:p>
    <w:p>
      <w:pPr>
        <w:pStyle w:val="Heading7"/>
      </w:pPr>
      <w:r>
        <w:rPr>
          <w:color w:val="950000"/>
        </w:rPr>
        <w:t>Futurs</w:t>
      </w:r>
      <w:r>
        <w:rPr>
          <w:color w:val="950000"/>
          <w:spacing w:val="-5"/>
        </w:rPr>
        <w:t> </w:t>
      </w:r>
      <w:r>
        <w:rPr>
          <w:color w:val="950000"/>
        </w:rPr>
        <w:t>mandats</w:t>
      </w:r>
      <w:r>
        <w:rPr>
          <w:color w:val="950000"/>
          <w:spacing w:val="-5"/>
        </w:rPr>
        <w:t> </w:t>
      </w:r>
      <w:r>
        <w:rPr>
          <w:color w:val="950000"/>
        </w:rPr>
        <w:t>de</w:t>
      </w:r>
      <w:r>
        <w:rPr>
          <w:color w:val="950000"/>
          <w:spacing w:val="-6"/>
        </w:rPr>
        <w:t> </w:t>
      </w:r>
      <w:r>
        <w:rPr>
          <w:color w:val="950000"/>
        </w:rPr>
        <w:t>recherche</w:t>
      </w:r>
      <w:r>
        <w:rPr>
          <w:color w:val="950000"/>
          <w:spacing w:val="-7"/>
        </w:rPr>
        <w:t> </w:t>
      </w:r>
      <w:r>
        <w:rPr>
          <w:color w:val="950000"/>
        </w:rPr>
        <w:t>et</w:t>
      </w:r>
      <w:r>
        <w:rPr>
          <w:color w:val="950000"/>
          <w:spacing w:val="-3"/>
        </w:rPr>
        <w:t> </w:t>
      </w:r>
      <w:r>
        <w:rPr>
          <w:color w:val="950000"/>
        </w:rPr>
        <w:t>de</w:t>
      </w:r>
      <w:r>
        <w:rPr>
          <w:color w:val="950000"/>
          <w:spacing w:val="-5"/>
        </w:rPr>
        <w:t> </w:t>
      </w:r>
      <w:r>
        <w:rPr>
          <w:color w:val="950000"/>
          <w:spacing w:val="-2"/>
        </w:rPr>
        <w:t>développement</w:t>
      </w:r>
    </w:p>
    <w:p>
      <w:pPr>
        <w:pStyle w:val="Heading8"/>
        <w:spacing w:before="94"/>
      </w:pPr>
      <w:r>
        <w:rPr/>
        <w:t>Art.</w:t>
      </w:r>
      <w:r>
        <w:rPr>
          <w:spacing w:val="-3"/>
        </w:rPr>
        <w:t> </w:t>
      </w:r>
      <w:r>
        <w:rPr/>
        <w:t>32,</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4"/>
        </w:rPr>
        <w:t>LCdir</w:t>
      </w:r>
    </w:p>
    <w:p>
      <w:pPr>
        <w:pStyle w:val="BodyText"/>
        <w:spacing w:before="55"/>
        <w:ind w:left="1134"/>
      </w:pPr>
      <w:r>
        <w:rPr>
          <w:position w:val="6"/>
          <w:sz w:val="12"/>
        </w:rPr>
        <w:t>1</w:t>
      </w:r>
      <w:r>
        <w:rPr>
          <w:spacing w:val="-2"/>
          <w:position w:val="6"/>
          <w:sz w:val="12"/>
        </w:rPr>
        <w:t> </w:t>
      </w:r>
      <w:r>
        <w:rPr/>
        <w:t>Des</w:t>
      </w:r>
      <w:r>
        <w:rPr>
          <w:spacing w:val="-1"/>
        </w:rPr>
        <w:t> </w:t>
      </w:r>
      <w:r>
        <w:rPr/>
        <w:t>provisions</w:t>
      </w:r>
      <w:r>
        <w:rPr>
          <w:spacing w:val="-3"/>
        </w:rPr>
        <w:t> </w:t>
      </w:r>
      <w:r>
        <w:rPr/>
        <w:t>peuvent</w:t>
      </w:r>
      <w:r>
        <w:rPr>
          <w:spacing w:val="-3"/>
        </w:rPr>
        <w:t> </w:t>
      </w:r>
      <w:r>
        <w:rPr/>
        <w:t>être</w:t>
      </w:r>
      <w:r>
        <w:rPr>
          <w:spacing w:val="-4"/>
        </w:rPr>
        <w:t> </w:t>
      </w:r>
      <w:r>
        <w:rPr/>
        <w:t>constituées</w:t>
      </w:r>
      <w:r>
        <w:rPr>
          <w:spacing w:val="-1"/>
        </w:rPr>
        <w:t> </w:t>
      </w:r>
      <w:r>
        <w:rPr/>
        <w:t>à</w:t>
      </w:r>
      <w:r>
        <w:rPr>
          <w:spacing w:val="-4"/>
        </w:rPr>
        <w:t> </w:t>
      </w:r>
      <w:r>
        <w:rPr/>
        <w:t>la</w:t>
      </w:r>
      <w:r>
        <w:rPr>
          <w:spacing w:val="-1"/>
        </w:rPr>
        <w:t> </w:t>
      </w:r>
      <w:r>
        <w:rPr/>
        <w:t>charge</w:t>
      </w:r>
      <w:r>
        <w:rPr>
          <w:spacing w:val="-2"/>
        </w:rPr>
        <w:t> </w:t>
      </w:r>
      <w:r>
        <w:rPr/>
        <w:t>du</w:t>
      </w:r>
      <w:r>
        <w:rPr>
          <w:spacing w:val="-4"/>
        </w:rPr>
        <w:t> </w:t>
      </w:r>
      <w:r>
        <w:rPr/>
        <w:t>compte</w:t>
      </w:r>
      <w:r>
        <w:rPr>
          <w:spacing w:val="-4"/>
        </w:rPr>
        <w:t> </w:t>
      </w:r>
      <w:r>
        <w:rPr/>
        <w:t>de</w:t>
      </w:r>
      <w:r>
        <w:rPr>
          <w:spacing w:val="-1"/>
        </w:rPr>
        <w:t> </w:t>
      </w:r>
      <w:r>
        <w:rPr/>
        <w:t>résultats</w:t>
      </w:r>
      <w:r>
        <w:rPr>
          <w:spacing w:val="-1"/>
        </w:rPr>
        <w:t> </w:t>
      </w:r>
      <w:r>
        <w:rPr/>
        <w:t>pour</w:t>
      </w:r>
      <w:r>
        <w:rPr>
          <w:spacing w:val="-2"/>
        </w:rPr>
        <w:t> </w:t>
      </w:r>
      <w:r>
        <w:rPr>
          <w:spacing w:val="-10"/>
        </w:rPr>
        <w:t>:</w:t>
      </w:r>
    </w:p>
    <w:p>
      <w:pPr>
        <w:pStyle w:val="ListParagraph"/>
        <w:numPr>
          <w:ilvl w:val="0"/>
          <w:numId w:val="5"/>
        </w:numPr>
        <w:tabs>
          <w:tab w:pos="1559" w:val="left" w:leader="none"/>
        </w:tabs>
        <w:spacing w:line="240" w:lineRule="auto" w:before="40" w:after="0"/>
        <w:ind w:left="1559" w:right="701" w:hanging="425"/>
        <w:jc w:val="both"/>
        <w:rPr>
          <w:sz w:val="18"/>
        </w:rPr>
      </w:pPr>
      <w:r>
        <w:rPr>
          <w:sz w:val="18"/>
        </w:rPr>
        <w:t>les</w:t>
      </w:r>
      <w:r>
        <w:rPr>
          <w:spacing w:val="-1"/>
          <w:sz w:val="18"/>
        </w:rPr>
        <w:t> </w:t>
      </w:r>
      <w:r>
        <w:rPr>
          <w:sz w:val="18"/>
        </w:rPr>
        <w:t>futurs</w:t>
      </w:r>
      <w:r>
        <w:rPr>
          <w:spacing w:val="-1"/>
          <w:sz w:val="18"/>
        </w:rPr>
        <w:t> </w:t>
      </w:r>
      <w:r>
        <w:rPr>
          <w:sz w:val="18"/>
        </w:rPr>
        <w:t>mandats</w:t>
      </w:r>
      <w:r>
        <w:rPr>
          <w:spacing w:val="-1"/>
          <w:sz w:val="18"/>
        </w:rPr>
        <w:t> </w:t>
      </w:r>
      <w:r>
        <w:rPr>
          <w:sz w:val="18"/>
        </w:rPr>
        <w:t>de recherche et</w:t>
      </w:r>
      <w:r>
        <w:rPr>
          <w:spacing w:val="-2"/>
          <w:sz w:val="18"/>
        </w:rPr>
        <w:t> </w:t>
      </w:r>
      <w:r>
        <w:rPr>
          <w:sz w:val="18"/>
        </w:rPr>
        <w:t>de</w:t>
      </w:r>
      <w:r>
        <w:rPr>
          <w:spacing w:val="-1"/>
          <w:sz w:val="18"/>
        </w:rPr>
        <w:t> </w:t>
      </w:r>
      <w:r>
        <w:rPr>
          <w:sz w:val="18"/>
        </w:rPr>
        <w:t>développement</w:t>
      </w:r>
      <w:r>
        <w:rPr>
          <w:spacing w:val="-2"/>
          <w:sz w:val="18"/>
        </w:rPr>
        <w:t> </w:t>
      </w:r>
      <w:r>
        <w:rPr>
          <w:sz w:val="18"/>
        </w:rPr>
        <w:t>confiés à</w:t>
      </w:r>
      <w:r>
        <w:rPr>
          <w:spacing w:val="-1"/>
          <w:sz w:val="18"/>
        </w:rPr>
        <w:t> </w:t>
      </w:r>
      <w:r>
        <w:rPr>
          <w:sz w:val="18"/>
        </w:rPr>
        <w:t>des tiers,</w:t>
      </w:r>
      <w:r>
        <w:rPr>
          <w:spacing w:val="-2"/>
          <w:sz w:val="18"/>
        </w:rPr>
        <w:t> </w:t>
      </w:r>
      <w:r>
        <w:rPr>
          <w:sz w:val="18"/>
        </w:rPr>
        <w:t>jusqu'à</w:t>
      </w:r>
      <w:r>
        <w:rPr>
          <w:spacing w:val="-1"/>
          <w:sz w:val="18"/>
        </w:rPr>
        <w:t> </w:t>
      </w:r>
      <w:r>
        <w:rPr>
          <w:sz w:val="18"/>
        </w:rPr>
        <w:t>10%</w:t>
      </w:r>
      <w:r>
        <w:rPr>
          <w:spacing w:val="-1"/>
          <w:sz w:val="18"/>
        </w:rPr>
        <w:t> </w:t>
      </w:r>
      <w:r>
        <w:rPr>
          <w:sz w:val="18"/>
        </w:rPr>
        <w:t>au</w:t>
      </w:r>
      <w:r>
        <w:rPr>
          <w:spacing w:val="-1"/>
          <w:sz w:val="18"/>
        </w:rPr>
        <w:t> </w:t>
      </w:r>
      <w:r>
        <w:rPr>
          <w:sz w:val="18"/>
        </w:rPr>
        <w:t>plus du bénéfice net imposable, mais au total jusqu'à un million de francs au maximum.</w:t>
      </w:r>
    </w:p>
    <w:p>
      <w:pPr>
        <w:pStyle w:val="BodyText"/>
        <w:spacing w:before="153"/>
      </w:pPr>
    </w:p>
    <w:p>
      <w:pPr>
        <w:pStyle w:val="Heading7"/>
      </w:pPr>
      <w:r>
        <w:rPr>
          <w:color w:val="950000"/>
        </w:rPr>
        <w:t>Provision</w:t>
      </w:r>
      <w:r>
        <w:rPr>
          <w:color w:val="950000"/>
          <w:spacing w:val="-9"/>
        </w:rPr>
        <w:t> </w:t>
      </w:r>
      <w:r>
        <w:rPr>
          <w:color w:val="950000"/>
        </w:rPr>
        <w:t>pour</w:t>
      </w:r>
      <w:r>
        <w:rPr>
          <w:color w:val="950000"/>
          <w:spacing w:val="-7"/>
        </w:rPr>
        <w:t> </w:t>
      </w:r>
      <w:r>
        <w:rPr>
          <w:color w:val="950000"/>
          <w:spacing w:val="-2"/>
        </w:rPr>
        <w:t>remploi</w:t>
      </w:r>
    </w:p>
    <w:p>
      <w:pPr>
        <w:pStyle w:val="Heading8"/>
        <w:spacing w:before="93"/>
      </w:pPr>
      <w:r>
        <w:rPr/>
        <w:t>Art.</w:t>
      </w:r>
      <w:r>
        <w:rPr>
          <w:spacing w:val="-1"/>
        </w:rPr>
        <w:t> </w:t>
      </w:r>
      <w:r>
        <w:rPr/>
        <w:t>33, al.</w:t>
      </w:r>
      <w:r>
        <w:rPr>
          <w:spacing w:val="-2"/>
        </w:rPr>
        <w:t> </w:t>
      </w:r>
      <w:r>
        <w:rPr/>
        <w:t>1 et</w:t>
      </w:r>
      <w:r>
        <w:rPr>
          <w:spacing w:val="-2"/>
        </w:rPr>
        <w:t> </w:t>
      </w:r>
      <w:r>
        <w:rPr/>
        <w:t>2</w:t>
      </w:r>
      <w:r>
        <w:rPr>
          <w:spacing w:val="1"/>
        </w:rPr>
        <w:t> </w:t>
      </w:r>
      <w:r>
        <w:rPr>
          <w:spacing w:val="-4"/>
        </w:rPr>
        <w:t>LCdir</w:t>
      </w:r>
    </w:p>
    <w:p>
      <w:pPr>
        <w:pStyle w:val="BodyText"/>
        <w:spacing w:before="56"/>
        <w:ind w:left="1134" w:right="700"/>
        <w:jc w:val="both"/>
      </w:pPr>
      <w:r>
        <w:rPr>
          <w:position w:val="6"/>
          <w:sz w:val="12"/>
        </w:rPr>
        <w:t>1 </w:t>
      </w:r>
      <w:r>
        <w:rPr/>
        <w:t>Lorsque des biens immobilisés nécessaires à l’exploitation sont remplacés, les réserves latentes de ces biens peuvent être reportées sur les biens immobilisés acquis en remploi, si ces biens sont égale-ment nécessaires à l’exploitation et se trouvent en Suisse. L’imposition en cas de remplacement d’im-meubles par des biens mobiliers est réservée.</w:t>
      </w:r>
    </w:p>
    <w:p>
      <w:pPr>
        <w:pStyle w:val="BodyText"/>
        <w:spacing w:before="37"/>
        <w:ind w:left="1134" w:right="700"/>
        <w:jc w:val="both"/>
      </w:pPr>
      <w:r>
        <w:rPr>
          <w:position w:val="6"/>
          <w:sz w:val="12"/>
        </w:rPr>
        <w:t>2</w:t>
      </w:r>
      <w:r>
        <w:rPr>
          <w:spacing w:val="31"/>
          <w:position w:val="6"/>
          <w:sz w:val="12"/>
        </w:rPr>
        <w:t> </w:t>
      </w:r>
      <w:r>
        <w:rPr/>
        <w:t>Lorsque le remploi n'intervient pas pendant le même exercice, une provision correspondant aux ré-serves latentes peut être constituée. Cette provision doit être dissoute et utilisée pour l'amortissement de l'élément acquis en remploi ou portée au crédit du compte de résultats dans un délai raisonnable.</w:t>
      </w:r>
    </w:p>
    <w:p>
      <w:pPr>
        <w:pStyle w:val="Heading8"/>
      </w:pPr>
      <w:r>
        <w:rPr/>
        <w:t>Art.</w:t>
      </w:r>
      <w:r>
        <w:rPr>
          <w:spacing w:val="-1"/>
        </w:rPr>
        <w:t> </w:t>
      </w:r>
      <w:r>
        <w:rPr/>
        <w:t>33 </w:t>
      </w:r>
      <w:r>
        <w:rPr>
          <w:spacing w:val="-2"/>
        </w:rPr>
        <w:t>RELCdir</w:t>
      </w:r>
    </w:p>
    <w:p>
      <w:pPr>
        <w:pStyle w:val="BodyText"/>
        <w:spacing w:before="56"/>
        <w:ind w:left="1134" w:right="703"/>
        <w:jc w:val="both"/>
      </w:pPr>
      <w:r>
        <w:rPr>
          <w:position w:val="6"/>
          <w:sz w:val="12"/>
        </w:rPr>
        <w:t>1</w:t>
      </w:r>
      <w:r>
        <w:rPr>
          <w:spacing w:val="21"/>
          <w:position w:val="6"/>
          <w:sz w:val="12"/>
        </w:rPr>
        <w:t> </w:t>
      </w:r>
      <w:r>
        <w:rPr/>
        <w:t>Le remplacement en franchise d'impôt d'un actif immobilisé nécessaire à l'exploitation, de l'habitation principale du contribuable ou d'un immeuble agricole ou sylvicole doit intervenir au plus tard dans un délai de deux ans à compter de la réalisation de l'ancien actif.</w:t>
      </w:r>
    </w:p>
    <w:p>
      <w:pPr>
        <w:pStyle w:val="BodyText"/>
        <w:spacing w:before="37"/>
        <w:ind w:left="1134"/>
        <w:jc w:val="both"/>
      </w:pPr>
      <w:r>
        <w:rPr>
          <w:position w:val="6"/>
          <w:sz w:val="12"/>
        </w:rPr>
        <w:t>2</w:t>
      </w:r>
      <w:r>
        <w:rPr>
          <w:spacing w:val="13"/>
          <w:position w:val="6"/>
          <w:sz w:val="12"/>
        </w:rPr>
        <w:t> </w:t>
      </w:r>
      <w:r>
        <w:rPr/>
        <w:t>Exceptionnellement</w:t>
      </w:r>
      <w:r>
        <w:rPr>
          <w:spacing w:val="-3"/>
        </w:rPr>
        <w:t> </w:t>
      </w:r>
      <w:r>
        <w:rPr/>
        <w:t>l'acquisition</w:t>
      </w:r>
      <w:r>
        <w:rPr>
          <w:spacing w:val="-2"/>
        </w:rPr>
        <w:t> </w:t>
      </w:r>
      <w:r>
        <w:rPr/>
        <w:t>du</w:t>
      </w:r>
      <w:r>
        <w:rPr>
          <w:spacing w:val="-2"/>
        </w:rPr>
        <w:t> </w:t>
      </w:r>
      <w:r>
        <w:rPr/>
        <w:t>nouvel</w:t>
      </w:r>
      <w:r>
        <w:rPr>
          <w:spacing w:val="-2"/>
        </w:rPr>
        <w:t> </w:t>
      </w:r>
      <w:r>
        <w:rPr/>
        <w:t>actif</w:t>
      </w:r>
      <w:r>
        <w:rPr>
          <w:spacing w:val="-5"/>
        </w:rPr>
        <w:t> </w:t>
      </w:r>
      <w:r>
        <w:rPr/>
        <w:t>peut</w:t>
      </w:r>
      <w:r>
        <w:rPr>
          <w:spacing w:val="-3"/>
        </w:rPr>
        <w:t> </w:t>
      </w:r>
      <w:r>
        <w:rPr/>
        <w:t>précéder</w:t>
      </w:r>
      <w:r>
        <w:rPr>
          <w:spacing w:val="-3"/>
        </w:rPr>
        <w:t> </w:t>
      </w:r>
      <w:r>
        <w:rPr/>
        <w:t>la</w:t>
      </w:r>
      <w:r>
        <w:rPr>
          <w:spacing w:val="-2"/>
        </w:rPr>
        <w:t> </w:t>
      </w:r>
      <w:r>
        <w:rPr/>
        <w:t>réalisation</w:t>
      </w:r>
      <w:r>
        <w:rPr>
          <w:spacing w:val="-5"/>
        </w:rPr>
        <w:t> </w:t>
      </w:r>
      <w:r>
        <w:rPr/>
        <w:t>de</w:t>
      </w:r>
      <w:r>
        <w:rPr>
          <w:spacing w:val="-5"/>
        </w:rPr>
        <w:t> </w:t>
      </w:r>
      <w:r>
        <w:rPr/>
        <w:t>l'ancien</w:t>
      </w:r>
      <w:r>
        <w:rPr>
          <w:spacing w:val="-4"/>
        </w:rPr>
        <w:t> </w:t>
      </w:r>
      <w:r>
        <w:rPr>
          <w:spacing w:val="-2"/>
        </w:rPr>
        <w:t>actif.</w:t>
      </w:r>
    </w:p>
    <w:p>
      <w:pPr>
        <w:pStyle w:val="BodyText"/>
        <w:spacing w:before="37"/>
        <w:ind w:left="1134" w:right="703"/>
        <w:jc w:val="both"/>
      </w:pPr>
      <w:r>
        <w:rPr>
          <w:position w:val="6"/>
          <w:sz w:val="12"/>
        </w:rPr>
        <w:t>3</w:t>
      </w:r>
      <w:r>
        <w:rPr>
          <w:spacing w:val="19"/>
          <w:position w:val="6"/>
          <w:sz w:val="12"/>
        </w:rPr>
        <w:t> </w:t>
      </w:r>
      <w:r>
        <w:rPr/>
        <w:t>Le remploi partiel est accordé lorsque le produit de l'aliénation est affecté partiellement à l'acquisition du nouvel actif.</w:t>
      </w:r>
    </w:p>
    <w:p>
      <w:pPr>
        <w:pStyle w:val="BodyText"/>
        <w:spacing w:before="152"/>
      </w:pPr>
    </w:p>
    <w:p>
      <w:pPr>
        <w:pStyle w:val="Heading7"/>
        <w:spacing w:before="1"/>
        <w:jc w:val="both"/>
      </w:pPr>
      <w:r>
        <w:rPr>
          <w:color w:val="950000"/>
        </w:rPr>
        <w:t>Déduction des dépenses de recherche et de développement</w:t>
      </w:r>
      <w:r>
        <w:rPr>
          <w:color w:val="950000"/>
          <w:spacing w:val="80"/>
          <w:w w:val="150"/>
        </w:rPr>
        <w:t> </w:t>
      </w:r>
      <w:r>
        <w:rPr>
          <w:color w:val="950000"/>
        </w:rPr>
        <w:drawing>
          <wp:inline distT="0" distB="0" distL="0" distR="0">
            <wp:extent cx="201259" cy="114894"/>
            <wp:effectExtent l="0" t="0" r="0" b="0"/>
            <wp:docPr id="36" name="Image 36" descr="">
              <a:hlinkClick r:id="rId46"/>
            </wp:docPr>
            <wp:cNvGraphicFramePr>
              <a:graphicFrameLocks/>
            </wp:cNvGraphicFramePr>
            <a:graphic>
              <a:graphicData uri="http://schemas.openxmlformats.org/drawingml/2006/picture">
                <pic:pic>
                  <pic:nvPicPr>
                    <pic:cNvPr id="36" name="Image 36" descr="">
                      <a:hlinkClick r:id="rId46"/>
                    </pic:cNvPr>
                    <pic:cNvPicPr/>
                  </pic:nvPicPr>
                  <pic:blipFill>
                    <a:blip r:embed="rId11" cstate="print"/>
                    <a:stretch>
                      <a:fillRect/>
                    </a:stretch>
                  </pic:blipFill>
                  <pic:spPr>
                    <a:xfrm>
                      <a:off x="0" y="0"/>
                      <a:ext cx="201259" cy="114894"/>
                    </a:xfrm>
                    <a:prstGeom prst="rect">
                      <a:avLst/>
                    </a:prstGeom>
                  </pic:spPr>
                </pic:pic>
              </a:graphicData>
            </a:graphic>
          </wp:inline>
        </w:drawing>
      </w:r>
      <w:r>
        <w:rPr>
          <w:color w:val="950000"/>
        </w:rPr>
      </w:r>
    </w:p>
    <w:p>
      <w:pPr>
        <w:pStyle w:val="Heading8"/>
        <w:spacing w:before="93"/>
      </w:pPr>
      <w:r>
        <w:rPr/>
        <w:t>Art.</w:t>
      </w:r>
      <w:r>
        <w:rPr>
          <w:spacing w:val="-3"/>
        </w:rPr>
        <w:t> </w:t>
      </w:r>
      <w:r>
        <w:rPr/>
        <w:t>34a </w:t>
      </w:r>
      <w:r>
        <w:rPr>
          <w:spacing w:val="-4"/>
        </w:rPr>
        <w:t>LCdir</w:t>
      </w:r>
    </w:p>
    <w:p>
      <w:pPr>
        <w:pStyle w:val="BodyText"/>
        <w:spacing w:before="59"/>
        <w:ind w:left="1134" w:right="703"/>
        <w:jc w:val="both"/>
      </w:pPr>
      <w:r>
        <w:rPr/>
        <w:t>L’article</w:t>
      </w:r>
      <w:r>
        <w:rPr>
          <w:spacing w:val="-6"/>
        </w:rPr>
        <w:t> </w:t>
      </w:r>
      <w:r>
        <w:rPr/>
        <w:t>85a</w:t>
      </w:r>
      <w:r>
        <w:rPr>
          <w:spacing w:val="-6"/>
        </w:rPr>
        <w:t> </w:t>
      </w:r>
      <w:r>
        <w:rPr/>
        <w:t>s’applique</w:t>
      </w:r>
      <w:r>
        <w:rPr>
          <w:spacing w:val="-9"/>
        </w:rPr>
        <w:t> </w:t>
      </w:r>
      <w:r>
        <w:rPr/>
        <w:t>par</w:t>
      </w:r>
      <w:r>
        <w:rPr>
          <w:spacing w:val="-9"/>
        </w:rPr>
        <w:t> </w:t>
      </w:r>
      <w:r>
        <w:rPr/>
        <w:t>analogie</w:t>
      </w:r>
      <w:r>
        <w:rPr>
          <w:spacing w:val="-6"/>
        </w:rPr>
        <w:t> </w:t>
      </w:r>
      <w:r>
        <w:rPr/>
        <w:t>à</w:t>
      </w:r>
      <w:r>
        <w:rPr>
          <w:spacing w:val="-9"/>
        </w:rPr>
        <w:t> </w:t>
      </w:r>
      <w:r>
        <w:rPr/>
        <w:t>la</w:t>
      </w:r>
      <w:r>
        <w:rPr>
          <w:spacing w:val="-9"/>
        </w:rPr>
        <w:t> </w:t>
      </w:r>
      <w:r>
        <w:rPr/>
        <w:t>déduction</w:t>
      </w:r>
      <w:r>
        <w:rPr>
          <w:spacing w:val="-9"/>
        </w:rPr>
        <w:t> </w:t>
      </w:r>
      <w:r>
        <w:rPr/>
        <w:t>des</w:t>
      </w:r>
      <w:r>
        <w:rPr>
          <w:spacing w:val="-6"/>
        </w:rPr>
        <w:t> </w:t>
      </w:r>
      <w:r>
        <w:rPr/>
        <w:t>dépenses</w:t>
      </w:r>
      <w:r>
        <w:rPr>
          <w:spacing w:val="-6"/>
        </w:rPr>
        <w:t> </w:t>
      </w:r>
      <w:r>
        <w:rPr/>
        <w:t>de</w:t>
      </w:r>
      <w:r>
        <w:rPr>
          <w:spacing w:val="-9"/>
        </w:rPr>
        <w:t> </w:t>
      </w:r>
      <w:r>
        <w:rPr/>
        <w:t>recherche</w:t>
      </w:r>
      <w:r>
        <w:rPr>
          <w:spacing w:val="-9"/>
        </w:rPr>
        <w:t> </w:t>
      </w:r>
      <w:r>
        <w:rPr/>
        <w:t>et</w:t>
      </w:r>
      <w:r>
        <w:rPr>
          <w:spacing w:val="-7"/>
        </w:rPr>
        <w:t> </w:t>
      </w:r>
      <w:r>
        <w:rPr/>
        <w:t>de</w:t>
      </w:r>
      <w:r>
        <w:rPr>
          <w:spacing w:val="-6"/>
        </w:rPr>
        <w:t> </w:t>
      </w:r>
      <w:r>
        <w:rPr/>
        <w:t>développement</w:t>
      </w:r>
      <w:r>
        <w:rPr>
          <w:spacing w:val="-9"/>
        </w:rPr>
        <w:t> </w:t>
      </w:r>
      <w:r>
        <w:rPr/>
        <w:t>en cas d’activité lucrative indépendante.</w:t>
      </w:r>
    </w:p>
    <w:p>
      <w:pPr>
        <w:pStyle w:val="BodyText"/>
        <w:spacing w:before="153"/>
      </w:pPr>
    </w:p>
    <w:p>
      <w:pPr>
        <w:pStyle w:val="Heading7"/>
        <w:spacing w:before="1"/>
        <w:jc w:val="both"/>
      </w:pPr>
      <w:r>
        <w:rPr>
          <w:color w:val="950000"/>
        </w:rPr>
        <w:t>Frais d’entretien d’immeuble</w:t>
      </w:r>
      <w:r>
        <w:rPr>
          <w:color w:val="950000"/>
          <w:spacing w:val="80"/>
        </w:rPr>
        <w:t> </w:t>
      </w:r>
      <w:r>
        <w:rPr>
          <w:color w:val="950000"/>
          <w:spacing w:val="1"/>
        </w:rPr>
        <w:drawing>
          <wp:inline distT="0" distB="0" distL="0" distR="0">
            <wp:extent cx="201240" cy="114881"/>
            <wp:effectExtent l="0" t="0" r="0" b="0"/>
            <wp:docPr id="37" name="Image 37" descr="">
              <a:hlinkClick r:id="rId47"/>
            </wp:docPr>
            <wp:cNvGraphicFramePr>
              <a:graphicFrameLocks/>
            </wp:cNvGraphicFramePr>
            <a:graphic>
              <a:graphicData uri="http://schemas.openxmlformats.org/drawingml/2006/picture">
                <pic:pic>
                  <pic:nvPicPr>
                    <pic:cNvPr id="37" name="Image 37" descr="">
                      <a:hlinkClick r:id="rId47"/>
                    </pic:cNvPr>
                    <pic:cNvPicPr/>
                  </pic:nvPicPr>
                  <pic:blipFill>
                    <a:blip r:embed="rId11" cstate="print"/>
                    <a:stretch>
                      <a:fillRect/>
                    </a:stretch>
                  </pic:blipFill>
                  <pic:spPr>
                    <a:xfrm>
                      <a:off x="0" y="0"/>
                      <a:ext cx="201240" cy="114881"/>
                    </a:xfrm>
                    <a:prstGeom prst="rect">
                      <a:avLst/>
                    </a:prstGeom>
                  </pic:spPr>
                </pic:pic>
              </a:graphicData>
            </a:graphic>
          </wp:inline>
        </w:drawing>
      </w:r>
      <w:r>
        <w:rPr>
          <w:color w:val="950000"/>
          <w:spacing w:val="1"/>
        </w:rPr>
      </w:r>
    </w:p>
    <w:p>
      <w:pPr>
        <w:pStyle w:val="Heading8"/>
      </w:pPr>
      <w:r>
        <w:rPr/>
        <w:t>Art.</w:t>
      </w:r>
      <w:r>
        <w:rPr>
          <w:spacing w:val="-1"/>
        </w:rPr>
        <w:t> </w:t>
      </w:r>
      <w:r>
        <w:rPr/>
        <w:t>35, al.</w:t>
      </w:r>
      <w:r>
        <w:rPr>
          <w:spacing w:val="-2"/>
        </w:rPr>
        <w:t> </w:t>
      </w:r>
      <w:r>
        <w:rPr/>
        <w:t>2 à</w:t>
      </w:r>
      <w:r>
        <w:rPr>
          <w:spacing w:val="-2"/>
        </w:rPr>
        <w:t> </w:t>
      </w:r>
      <w:r>
        <w:rPr/>
        <w:t>5</w:t>
      </w:r>
      <w:r>
        <w:rPr>
          <w:spacing w:val="1"/>
        </w:rPr>
        <w:t> </w:t>
      </w:r>
      <w:r>
        <w:rPr>
          <w:spacing w:val="-4"/>
        </w:rPr>
        <w:t>LCdir</w:t>
      </w:r>
    </w:p>
    <w:p>
      <w:pPr>
        <w:pStyle w:val="BodyText"/>
        <w:spacing w:before="56"/>
        <w:ind w:left="1134" w:right="700"/>
        <w:jc w:val="both"/>
      </w:pPr>
      <w:r>
        <w:rPr>
          <w:position w:val="6"/>
          <w:sz w:val="12"/>
        </w:rPr>
        <w:t>2 </w:t>
      </w:r>
      <w:r>
        <w:rPr/>
        <w:t>Le contribuable qui possède</w:t>
      </w:r>
      <w:r>
        <w:rPr>
          <w:spacing w:val="-1"/>
        </w:rPr>
        <w:t> </w:t>
      </w:r>
      <w:r>
        <w:rPr/>
        <w:t>des immeubles privés peut déduire les frais</w:t>
      </w:r>
      <w:r>
        <w:rPr>
          <w:spacing w:val="-1"/>
        </w:rPr>
        <w:t> </w:t>
      </w:r>
      <w:r>
        <w:rPr/>
        <w:t>nécessaires à leur entretien, les frais de remise en état d'immeubles acquis récemment, les primes d'assurances relatives à ces im-meubles et les frais d'administration par des tiers; pour les immeubles loués, les autres frais courants qui ne sont pas pris en charge par le locataire sont également déductibles.</w:t>
      </w:r>
    </w:p>
    <w:p>
      <w:pPr>
        <w:pStyle w:val="BodyText"/>
        <w:spacing w:before="37"/>
        <w:ind w:left="1134" w:right="703"/>
        <w:jc w:val="both"/>
      </w:pPr>
      <w:r>
        <w:rPr>
          <w:position w:val="6"/>
          <w:sz w:val="12"/>
        </w:rPr>
        <w:t>3</w:t>
      </w:r>
      <w:r>
        <w:rPr>
          <w:spacing w:val="-3"/>
          <w:position w:val="6"/>
          <w:sz w:val="12"/>
        </w:rPr>
        <w:t> </w:t>
      </w:r>
      <w:r>
        <w:rPr/>
        <w:t>Au</w:t>
      </w:r>
      <w:r>
        <w:rPr>
          <w:spacing w:val="-4"/>
        </w:rPr>
        <w:t> </w:t>
      </w:r>
      <w:r>
        <w:rPr/>
        <w:t>lieu</w:t>
      </w:r>
      <w:r>
        <w:rPr>
          <w:spacing w:val="-6"/>
        </w:rPr>
        <w:t> </w:t>
      </w:r>
      <w:r>
        <w:rPr/>
        <w:t>du</w:t>
      </w:r>
      <w:r>
        <w:rPr>
          <w:spacing w:val="-6"/>
        </w:rPr>
        <w:t> </w:t>
      </w:r>
      <w:r>
        <w:rPr/>
        <w:t>montant</w:t>
      </w:r>
      <w:r>
        <w:rPr>
          <w:spacing w:val="-7"/>
        </w:rPr>
        <w:t> </w:t>
      </w:r>
      <w:r>
        <w:rPr/>
        <w:t>effectif</w:t>
      </w:r>
      <w:r>
        <w:rPr>
          <w:spacing w:val="-6"/>
        </w:rPr>
        <w:t> </w:t>
      </w:r>
      <w:r>
        <w:rPr/>
        <w:t>des</w:t>
      </w:r>
      <w:r>
        <w:rPr>
          <w:spacing w:val="-3"/>
        </w:rPr>
        <w:t> </w:t>
      </w:r>
      <w:r>
        <w:rPr/>
        <w:t>frais</w:t>
      </w:r>
      <w:r>
        <w:rPr>
          <w:spacing w:val="-6"/>
        </w:rPr>
        <w:t> </w:t>
      </w:r>
      <w:r>
        <w:rPr/>
        <w:t>et</w:t>
      </w:r>
      <w:r>
        <w:rPr>
          <w:spacing w:val="-6"/>
        </w:rPr>
        <w:t> </w:t>
      </w:r>
      <w:r>
        <w:rPr/>
        <w:t>primes</w:t>
      </w:r>
      <w:r>
        <w:rPr>
          <w:spacing w:val="-6"/>
        </w:rPr>
        <w:t> </w:t>
      </w:r>
      <w:r>
        <w:rPr/>
        <w:t>se</w:t>
      </w:r>
      <w:r>
        <w:rPr>
          <w:spacing w:val="-6"/>
        </w:rPr>
        <w:t> </w:t>
      </w:r>
      <w:r>
        <w:rPr/>
        <w:t>rapportant</w:t>
      </w:r>
      <w:r>
        <w:rPr>
          <w:spacing w:val="-7"/>
        </w:rPr>
        <w:t> </w:t>
      </w:r>
      <w:r>
        <w:rPr/>
        <w:t>aux</w:t>
      </w:r>
      <w:r>
        <w:rPr>
          <w:spacing w:val="-6"/>
        </w:rPr>
        <w:t> </w:t>
      </w:r>
      <w:r>
        <w:rPr/>
        <w:t>immeubles</w:t>
      </w:r>
      <w:r>
        <w:rPr>
          <w:spacing w:val="-6"/>
        </w:rPr>
        <w:t> </w:t>
      </w:r>
      <w:r>
        <w:rPr/>
        <w:t>privés,</w:t>
      </w:r>
      <w:r>
        <w:rPr>
          <w:spacing w:val="-4"/>
        </w:rPr>
        <w:t> </w:t>
      </w:r>
      <w:r>
        <w:rPr/>
        <w:t>le</w:t>
      </w:r>
      <w:r>
        <w:rPr>
          <w:spacing w:val="-6"/>
        </w:rPr>
        <w:t> </w:t>
      </w:r>
      <w:r>
        <w:rPr/>
        <w:t>contribuable</w:t>
      </w:r>
      <w:r>
        <w:rPr>
          <w:spacing w:val="-6"/>
        </w:rPr>
        <w:t> </w:t>
      </w:r>
      <w:r>
        <w:rPr/>
        <w:t>peut faire valoir une déduction forfaitaire dont les taux et les modalités sont fixés par le Conseil d'Etat.</w:t>
      </w:r>
    </w:p>
    <w:p>
      <w:pPr>
        <w:pStyle w:val="BodyText"/>
        <w:spacing w:before="36"/>
        <w:ind w:left="1134" w:right="703"/>
        <w:jc w:val="both"/>
      </w:pPr>
      <w:r>
        <w:rPr>
          <w:position w:val="6"/>
          <w:sz w:val="12"/>
        </w:rPr>
        <w:t>4</w:t>
      </w:r>
      <w:r>
        <w:rPr>
          <w:spacing w:val="19"/>
          <w:position w:val="6"/>
          <w:sz w:val="12"/>
        </w:rPr>
        <w:t> </w:t>
      </w:r>
      <w:r>
        <w:rPr/>
        <w:t>Le contribuable qui possède des immeubles privés peut déduire, en outre, les dépenses</w:t>
      </w:r>
      <w:r>
        <w:rPr>
          <w:spacing w:val="-1"/>
        </w:rPr>
        <w:t> </w:t>
      </w:r>
      <w:r>
        <w:rPr/>
        <w:t>d'investisse-ment</w:t>
      </w:r>
      <w:r>
        <w:rPr>
          <w:spacing w:val="-2"/>
        </w:rPr>
        <w:t> </w:t>
      </w:r>
      <w:r>
        <w:rPr/>
        <w:t>destinées</w:t>
      </w:r>
      <w:r>
        <w:rPr>
          <w:spacing w:val="-1"/>
        </w:rPr>
        <w:t> </w:t>
      </w:r>
      <w:r>
        <w:rPr/>
        <w:t>à économiser l'énergie</w:t>
      </w:r>
      <w:r>
        <w:rPr>
          <w:spacing w:val="-1"/>
        </w:rPr>
        <w:t> </w:t>
      </w:r>
      <w:r>
        <w:rPr/>
        <w:t>et à</w:t>
      </w:r>
      <w:r>
        <w:rPr>
          <w:spacing w:val="-1"/>
        </w:rPr>
        <w:t> </w:t>
      </w:r>
      <w:r>
        <w:rPr/>
        <w:t>ménager</w:t>
      </w:r>
      <w:r>
        <w:rPr>
          <w:spacing w:val="-2"/>
        </w:rPr>
        <w:t> </w:t>
      </w:r>
      <w:r>
        <w:rPr/>
        <w:t>l'environnement dans la</w:t>
      </w:r>
      <w:r>
        <w:rPr>
          <w:spacing w:val="-1"/>
        </w:rPr>
        <w:t> </w:t>
      </w:r>
      <w:r>
        <w:rPr/>
        <w:t>mesure</w:t>
      </w:r>
      <w:r>
        <w:rPr>
          <w:spacing w:val="-1"/>
        </w:rPr>
        <w:t> </w:t>
      </w:r>
      <w:r>
        <w:rPr/>
        <w:t>et aux conditions fixées par le Conseil d'État en</w:t>
      </w:r>
      <w:r>
        <w:rPr>
          <w:spacing w:val="-1"/>
        </w:rPr>
        <w:t> </w:t>
      </w:r>
      <w:r>
        <w:rPr/>
        <w:t>collaboration avec le Département fédéral des finances. Les frais de dé-molition en vue d’une construction de remplacement sont assimilés aux frais d’entretien.</w:t>
      </w:r>
    </w:p>
    <w:p>
      <w:pPr>
        <w:pStyle w:val="BodyText"/>
        <w:spacing w:before="37"/>
        <w:ind w:left="1134" w:right="701"/>
        <w:jc w:val="both"/>
      </w:pPr>
      <w:r>
        <w:rPr>
          <w:position w:val="6"/>
          <w:sz w:val="12"/>
        </w:rPr>
        <w:t>4bis</w:t>
      </w:r>
      <w:r>
        <w:rPr>
          <w:spacing w:val="33"/>
          <w:position w:val="6"/>
          <w:sz w:val="12"/>
        </w:rPr>
        <w:t> </w:t>
      </w:r>
      <w:r>
        <w:rPr/>
        <w:t>Les coûts d’investissement et les frais de démolition en vue d’une construction de remplacement visés</w:t>
      </w:r>
      <w:r>
        <w:rPr>
          <w:spacing w:val="-1"/>
        </w:rPr>
        <w:t> </w:t>
      </w:r>
      <w:r>
        <w:rPr/>
        <w:t>à l’alinéa</w:t>
      </w:r>
      <w:r>
        <w:rPr>
          <w:spacing w:val="-1"/>
        </w:rPr>
        <w:t> </w:t>
      </w:r>
      <w:r>
        <w:rPr/>
        <w:t>4,</w:t>
      </w:r>
      <w:r>
        <w:rPr>
          <w:spacing w:val="-2"/>
        </w:rPr>
        <w:t> </w:t>
      </w:r>
      <w:r>
        <w:rPr/>
        <w:t>sont</w:t>
      </w:r>
      <w:r>
        <w:rPr>
          <w:spacing w:val="-2"/>
        </w:rPr>
        <w:t> </w:t>
      </w:r>
      <w:r>
        <w:rPr/>
        <w:t>déductibles</w:t>
      </w:r>
      <w:r>
        <w:rPr>
          <w:spacing w:val="-1"/>
        </w:rPr>
        <w:t> </w:t>
      </w:r>
      <w:r>
        <w:rPr/>
        <w:t>au</w:t>
      </w:r>
      <w:r>
        <w:rPr>
          <w:spacing w:val="-1"/>
        </w:rPr>
        <w:t> </w:t>
      </w:r>
      <w:r>
        <w:rPr/>
        <w:t>cours des</w:t>
      </w:r>
      <w:r>
        <w:rPr>
          <w:spacing w:val="-1"/>
        </w:rPr>
        <w:t> </w:t>
      </w:r>
      <w:r>
        <w:rPr/>
        <w:t>deux périodes fiscales</w:t>
      </w:r>
      <w:r>
        <w:rPr>
          <w:spacing w:val="-1"/>
        </w:rPr>
        <w:t> </w:t>
      </w:r>
      <w:r>
        <w:rPr/>
        <w:t>suivantes,</w:t>
      </w:r>
      <w:r>
        <w:rPr>
          <w:spacing w:val="-2"/>
        </w:rPr>
        <w:t> </w:t>
      </w:r>
      <w:r>
        <w:rPr/>
        <w:t>lorsqu’ils ne</w:t>
      </w:r>
      <w:r>
        <w:rPr>
          <w:spacing w:val="-1"/>
        </w:rPr>
        <w:t> </w:t>
      </w:r>
      <w:r>
        <w:rPr/>
        <w:t>peuvent pas être entièrement pris en considération durant la période fiscale en cours, pendant laquelle les dé-penses ont été effectuées.</w:t>
      </w:r>
    </w:p>
    <w:p>
      <w:pPr>
        <w:pStyle w:val="BodyText"/>
        <w:spacing w:before="35"/>
        <w:ind w:left="1134" w:right="703"/>
        <w:jc w:val="both"/>
      </w:pPr>
      <w:r>
        <w:rPr>
          <w:position w:val="6"/>
          <w:sz w:val="12"/>
        </w:rPr>
        <w:t>5</w:t>
      </w:r>
      <w:r>
        <w:rPr>
          <w:spacing w:val="19"/>
          <w:position w:val="6"/>
          <w:sz w:val="12"/>
        </w:rPr>
        <w:t> </w:t>
      </w:r>
      <w:r>
        <w:rPr/>
        <w:t>Sont en outre déductibles les frais occasionnés par des travaux de restauration de monuments histo-riques que le contribuable entreprend en vertu de dispositions légales, en accord avec les autorités ou sur leur ordre, pour autant qu'ils ne soient pas subventionnés.</w:t>
      </w:r>
    </w:p>
    <w:p>
      <w:pPr>
        <w:pStyle w:val="Heading8"/>
        <w:spacing w:before="94"/>
      </w:pPr>
      <w:r>
        <w:rPr/>
        <w:t>Art.</w:t>
      </w:r>
      <w:r>
        <w:rPr>
          <w:spacing w:val="-1"/>
        </w:rPr>
        <w:t> </w:t>
      </w:r>
      <w:r>
        <w:rPr/>
        <w:t>14 </w:t>
      </w:r>
      <w:r>
        <w:rPr>
          <w:spacing w:val="-2"/>
        </w:rPr>
        <w:t>RELCdir</w:t>
      </w:r>
    </w:p>
    <w:p>
      <w:pPr>
        <w:pStyle w:val="BodyText"/>
        <w:spacing w:before="56"/>
        <w:ind w:left="1134" w:right="702"/>
        <w:jc w:val="both"/>
      </w:pPr>
      <w:r>
        <w:rPr>
          <w:position w:val="6"/>
          <w:sz w:val="12"/>
        </w:rPr>
        <w:t>1</w:t>
      </w:r>
      <w:r>
        <w:rPr>
          <w:spacing w:val="27"/>
          <w:position w:val="6"/>
          <w:sz w:val="12"/>
        </w:rPr>
        <w:t> </w:t>
      </w:r>
      <w:r>
        <w:rPr/>
        <w:t>Au lieu du montant effectif des frais et primes ainsi que des investissements destinés à économiser l'énergie, qui sont assimilés aux frais d'entretien, le contribuable peut faire valoir une déduction forfai-</w:t>
      </w:r>
      <w:r>
        <w:rPr>
          <w:spacing w:val="-2"/>
        </w:rPr>
        <w:t>taire.</w:t>
      </w:r>
    </w:p>
    <w:p>
      <w:pPr>
        <w:pStyle w:val="BodyText"/>
        <w:spacing w:before="35"/>
        <w:ind w:left="1134"/>
        <w:jc w:val="both"/>
      </w:pPr>
      <w:r>
        <w:rPr>
          <w:position w:val="6"/>
          <w:sz w:val="12"/>
        </w:rPr>
        <w:t>2</w:t>
      </w:r>
      <w:r>
        <w:rPr>
          <w:spacing w:val="15"/>
          <w:position w:val="6"/>
          <w:sz w:val="12"/>
        </w:rPr>
        <w:t> </w:t>
      </w:r>
      <w:r>
        <w:rPr/>
        <w:t>Cette</w:t>
      </w:r>
      <w:r>
        <w:rPr>
          <w:spacing w:val="-4"/>
        </w:rPr>
        <w:t> </w:t>
      </w:r>
      <w:r>
        <w:rPr/>
        <w:t>déduction</w:t>
      </w:r>
      <w:r>
        <w:rPr>
          <w:spacing w:val="-1"/>
        </w:rPr>
        <w:t> </w:t>
      </w:r>
      <w:r>
        <w:rPr/>
        <w:t>forfaitaire</w:t>
      </w:r>
      <w:r>
        <w:rPr>
          <w:spacing w:val="-4"/>
        </w:rPr>
        <w:t> </w:t>
      </w:r>
      <w:r>
        <w:rPr/>
        <w:t>est</w:t>
      </w:r>
      <w:r>
        <w:rPr>
          <w:spacing w:val="-2"/>
        </w:rPr>
        <w:t> </w:t>
      </w:r>
      <w:r>
        <w:rPr/>
        <w:t>la</w:t>
      </w:r>
      <w:r>
        <w:rPr>
          <w:spacing w:val="-4"/>
        </w:rPr>
        <w:t> </w:t>
      </w:r>
      <w:r>
        <w:rPr/>
        <w:t>suivante </w:t>
      </w:r>
      <w:r>
        <w:rPr>
          <w:spacing w:val="-10"/>
        </w:rPr>
        <w:t>:</w:t>
      </w:r>
    </w:p>
    <w:p>
      <w:pPr>
        <w:pStyle w:val="ListParagraph"/>
        <w:numPr>
          <w:ilvl w:val="0"/>
          <w:numId w:val="6"/>
        </w:numPr>
        <w:tabs>
          <w:tab w:pos="1559" w:val="left" w:leader="none"/>
        </w:tabs>
        <w:spacing w:line="240" w:lineRule="auto" w:before="40" w:after="0"/>
        <w:ind w:left="1559" w:right="703" w:hanging="425"/>
        <w:jc w:val="both"/>
        <w:rPr>
          <w:sz w:val="18"/>
        </w:rPr>
      </w:pPr>
      <w:r>
        <w:rPr>
          <w:sz w:val="18"/>
        </w:rPr>
        <w:t>10%</w:t>
      </w:r>
      <w:r>
        <w:rPr>
          <w:spacing w:val="-10"/>
          <w:sz w:val="18"/>
        </w:rPr>
        <w:t> </w:t>
      </w:r>
      <w:r>
        <w:rPr>
          <w:sz w:val="18"/>
        </w:rPr>
        <w:t>du</w:t>
      </w:r>
      <w:r>
        <w:rPr>
          <w:spacing w:val="-10"/>
          <w:sz w:val="18"/>
        </w:rPr>
        <w:t> </w:t>
      </w:r>
      <w:r>
        <w:rPr>
          <w:sz w:val="18"/>
        </w:rPr>
        <w:t>rendement</w:t>
      </w:r>
      <w:r>
        <w:rPr>
          <w:spacing w:val="-10"/>
          <w:sz w:val="18"/>
        </w:rPr>
        <w:t> </w:t>
      </w:r>
      <w:r>
        <w:rPr>
          <w:sz w:val="18"/>
        </w:rPr>
        <w:t>brut</w:t>
      </w:r>
      <w:r>
        <w:rPr>
          <w:spacing w:val="-10"/>
          <w:sz w:val="18"/>
        </w:rPr>
        <w:t> </w:t>
      </w:r>
      <w:r>
        <w:rPr>
          <w:sz w:val="18"/>
        </w:rPr>
        <w:t>des</w:t>
      </w:r>
      <w:r>
        <w:rPr>
          <w:spacing w:val="-10"/>
          <w:sz w:val="18"/>
        </w:rPr>
        <w:t> </w:t>
      </w:r>
      <w:r>
        <w:rPr>
          <w:sz w:val="18"/>
        </w:rPr>
        <w:t>loyers</w:t>
      </w:r>
      <w:r>
        <w:rPr>
          <w:spacing w:val="-10"/>
          <w:sz w:val="18"/>
        </w:rPr>
        <w:t> </w:t>
      </w:r>
      <w:r>
        <w:rPr>
          <w:sz w:val="18"/>
        </w:rPr>
        <w:t>ou</w:t>
      </w:r>
      <w:r>
        <w:rPr>
          <w:spacing w:val="-10"/>
          <w:sz w:val="18"/>
        </w:rPr>
        <w:t> </w:t>
      </w:r>
      <w:r>
        <w:rPr>
          <w:sz w:val="18"/>
        </w:rPr>
        <w:t>de</w:t>
      </w:r>
      <w:r>
        <w:rPr>
          <w:spacing w:val="-10"/>
          <w:sz w:val="18"/>
        </w:rPr>
        <w:t> </w:t>
      </w:r>
      <w:r>
        <w:rPr>
          <w:sz w:val="18"/>
        </w:rPr>
        <w:t>la</w:t>
      </w:r>
      <w:r>
        <w:rPr>
          <w:spacing w:val="-10"/>
          <w:sz w:val="18"/>
        </w:rPr>
        <w:t> </w:t>
      </w:r>
      <w:r>
        <w:rPr>
          <w:sz w:val="18"/>
        </w:rPr>
        <w:t>valeur</w:t>
      </w:r>
      <w:r>
        <w:rPr>
          <w:spacing w:val="-11"/>
          <w:sz w:val="18"/>
        </w:rPr>
        <w:t> </w:t>
      </w:r>
      <w:r>
        <w:rPr>
          <w:sz w:val="18"/>
        </w:rPr>
        <w:t>locative,</w:t>
      </w:r>
      <w:r>
        <w:rPr>
          <w:spacing w:val="-10"/>
          <w:sz w:val="18"/>
        </w:rPr>
        <w:t> </w:t>
      </w:r>
      <w:r>
        <w:rPr>
          <w:sz w:val="18"/>
        </w:rPr>
        <w:t>si</w:t>
      </w:r>
      <w:r>
        <w:rPr>
          <w:spacing w:val="-12"/>
          <w:sz w:val="18"/>
        </w:rPr>
        <w:t> </w:t>
      </w:r>
      <w:r>
        <w:rPr>
          <w:sz w:val="18"/>
        </w:rPr>
        <w:t>l'âge</w:t>
      </w:r>
      <w:r>
        <w:rPr>
          <w:spacing w:val="-10"/>
          <w:sz w:val="18"/>
        </w:rPr>
        <w:t> </w:t>
      </w:r>
      <w:r>
        <w:rPr>
          <w:sz w:val="18"/>
        </w:rPr>
        <w:t>du</w:t>
      </w:r>
      <w:r>
        <w:rPr>
          <w:spacing w:val="-10"/>
          <w:sz w:val="18"/>
        </w:rPr>
        <w:t> </w:t>
      </w:r>
      <w:r>
        <w:rPr>
          <w:sz w:val="18"/>
        </w:rPr>
        <w:t>bâtiment</w:t>
      </w:r>
      <w:r>
        <w:rPr>
          <w:spacing w:val="-10"/>
          <w:sz w:val="18"/>
        </w:rPr>
        <w:t> </w:t>
      </w:r>
      <w:r>
        <w:rPr>
          <w:sz w:val="18"/>
        </w:rPr>
        <w:t>à</w:t>
      </w:r>
      <w:r>
        <w:rPr>
          <w:spacing w:val="-10"/>
          <w:sz w:val="18"/>
        </w:rPr>
        <w:t> </w:t>
      </w:r>
      <w:r>
        <w:rPr>
          <w:sz w:val="18"/>
        </w:rPr>
        <w:t>la</w:t>
      </w:r>
      <w:r>
        <w:rPr>
          <w:spacing w:val="-10"/>
          <w:sz w:val="18"/>
        </w:rPr>
        <w:t> </w:t>
      </w:r>
      <w:r>
        <w:rPr>
          <w:sz w:val="18"/>
        </w:rPr>
        <w:t>fin</w:t>
      </w:r>
      <w:r>
        <w:rPr>
          <w:spacing w:val="-10"/>
          <w:sz w:val="18"/>
        </w:rPr>
        <w:t> </w:t>
      </w:r>
      <w:r>
        <w:rPr>
          <w:sz w:val="18"/>
        </w:rPr>
        <w:t>de</w:t>
      </w:r>
      <w:r>
        <w:rPr>
          <w:spacing w:val="-8"/>
          <w:sz w:val="18"/>
        </w:rPr>
        <w:t> </w:t>
      </w:r>
      <w:r>
        <w:rPr>
          <w:sz w:val="18"/>
        </w:rPr>
        <w:t>la</w:t>
      </w:r>
      <w:r>
        <w:rPr>
          <w:spacing w:val="-10"/>
          <w:sz w:val="18"/>
        </w:rPr>
        <w:t> </w:t>
      </w:r>
      <w:r>
        <w:rPr>
          <w:sz w:val="18"/>
        </w:rPr>
        <w:t>période fiscale est inférieur ou égal à dix ans, mais au maximum 7.200 francs;</w:t>
      </w:r>
    </w:p>
    <w:p>
      <w:pPr>
        <w:pStyle w:val="ListParagraph"/>
        <w:numPr>
          <w:ilvl w:val="0"/>
          <w:numId w:val="6"/>
        </w:numPr>
        <w:tabs>
          <w:tab w:pos="1559" w:val="left" w:leader="none"/>
          <w:tab w:pos="1608" w:val="left" w:leader="none"/>
        </w:tabs>
        <w:spacing w:line="240" w:lineRule="auto" w:before="40" w:after="0"/>
        <w:ind w:left="1559" w:right="703" w:hanging="425"/>
        <w:jc w:val="both"/>
        <w:rPr>
          <w:sz w:val="18"/>
        </w:rPr>
      </w:pPr>
      <w:r>
        <w:rPr>
          <w:sz w:val="18"/>
        </w:rPr>
        <w:t>20%</w:t>
      </w:r>
      <w:r>
        <w:rPr>
          <w:spacing w:val="32"/>
          <w:sz w:val="18"/>
        </w:rPr>
        <w:t> </w:t>
      </w:r>
      <w:r>
        <w:rPr>
          <w:sz w:val="18"/>
        </w:rPr>
        <w:t>du</w:t>
      </w:r>
      <w:r>
        <w:rPr>
          <w:spacing w:val="-12"/>
          <w:sz w:val="18"/>
        </w:rPr>
        <w:t> </w:t>
      </w:r>
      <w:r>
        <w:rPr>
          <w:sz w:val="18"/>
        </w:rPr>
        <w:t>rendement</w:t>
      </w:r>
      <w:r>
        <w:rPr>
          <w:spacing w:val="-13"/>
          <w:sz w:val="18"/>
        </w:rPr>
        <w:t> </w:t>
      </w:r>
      <w:r>
        <w:rPr>
          <w:sz w:val="18"/>
        </w:rPr>
        <w:t>brut</w:t>
      </w:r>
      <w:r>
        <w:rPr>
          <w:spacing w:val="-12"/>
          <w:sz w:val="18"/>
        </w:rPr>
        <w:t> </w:t>
      </w:r>
      <w:r>
        <w:rPr>
          <w:sz w:val="18"/>
        </w:rPr>
        <w:t>des</w:t>
      </w:r>
      <w:r>
        <w:rPr>
          <w:spacing w:val="-12"/>
          <w:sz w:val="18"/>
        </w:rPr>
        <w:t> </w:t>
      </w:r>
      <w:r>
        <w:rPr>
          <w:sz w:val="18"/>
        </w:rPr>
        <w:t>loyers</w:t>
      </w:r>
      <w:r>
        <w:rPr>
          <w:spacing w:val="-12"/>
          <w:sz w:val="18"/>
        </w:rPr>
        <w:t> </w:t>
      </w:r>
      <w:r>
        <w:rPr>
          <w:sz w:val="18"/>
        </w:rPr>
        <w:t>ou</w:t>
      </w:r>
      <w:r>
        <w:rPr>
          <w:spacing w:val="-12"/>
          <w:sz w:val="18"/>
        </w:rPr>
        <w:t> </w:t>
      </w:r>
      <w:r>
        <w:rPr>
          <w:sz w:val="18"/>
        </w:rPr>
        <w:t>de</w:t>
      </w:r>
      <w:r>
        <w:rPr>
          <w:spacing w:val="-12"/>
          <w:sz w:val="18"/>
        </w:rPr>
        <w:t> </w:t>
      </w:r>
      <w:r>
        <w:rPr>
          <w:sz w:val="18"/>
        </w:rPr>
        <w:t>la</w:t>
      </w:r>
      <w:r>
        <w:rPr>
          <w:spacing w:val="-12"/>
          <w:sz w:val="18"/>
        </w:rPr>
        <w:t> </w:t>
      </w:r>
      <w:r>
        <w:rPr>
          <w:sz w:val="18"/>
        </w:rPr>
        <w:t>valeur</w:t>
      </w:r>
      <w:r>
        <w:rPr>
          <w:spacing w:val="-13"/>
          <w:sz w:val="18"/>
        </w:rPr>
        <w:t> </w:t>
      </w:r>
      <w:r>
        <w:rPr>
          <w:sz w:val="18"/>
        </w:rPr>
        <w:t>locative,</w:t>
      </w:r>
      <w:r>
        <w:rPr>
          <w:spacing w:val="-12"/>
          <w:sz w:val="18"/>
        </w:rPr>
        <w:t> </w:t>
      </w:r>
      <w:r>
        <w:rPr>
          <w:sz w:val="18"/>
        </w:rPr>
        <w:t>si</w:t>
      </w:r>
      <w:r>
        <w:rPr>
          <w:spacing w:val="-13"/>
          <w:sz w:val="18"/>
        </w:rPr>
        <w:t> </w:t>
      </w:r>
      <w:r>
        <w:rPr>
          <w:sz w:val="18"/>
        </w:rPr>
        <w:t>l'âge</w:t>
      </w:r>
      <w:r>
        <w:rPr>
          <w:spacing w:val="-12"/>
          <w:sz w:val="18"/>
        </w:rPr>
        <w:t> </w:t>
      </w:r>
      <w:r>
        <w:rPr>
          <w:sz w:val="18"/>
        </w:rPr>
        <w:t>du</w:t>
      </w:r>
      <w:r>
        <w:rPr>
          <w:spacing w:val="-12"/>
          <w:sz w:val="18"/>
        </w:rPr>
        <w:t> </w:t>
      </w:r>
      <w:r>
        <w:rPr>
          <w:sz w:val="18"/>
        </w:rPr>
        <w:t>bâtiment</w:t>
      </w:r>
      <w:r>
        <w:rPr>
          <w:spacing w:val="-13"/>
          <w:sz w:val="18"/>
        </w:rPr>
        <w:t> </w:t>
      </w:r>
      <w:r>
        <w:rPr>
          <w:sz w:val="18"/>
        </w:rPr>
        <w:t>à</w:t>
      </w:r>
      <w:r>
        <w:rPr>
          <w:spacing w:val="-12"/>
          <w:sz w:val="18"/>
        </w:rPr>
        <w:t> </w:t>
      </w:r>
      <w:r>
        <w:rPr>
          <w:sz w:val="18"/>
        </w:rPr>
        <w:t>la</w:t>
      </w:r>
      <w:r>
        <w:rPr>
          <w:spacing w:val="-12"/>
          <w:sz w:val="18"/>
        </w:rPr>
        <w:t> </w:t>
      </w:r>
      <w:r>
        <w:rPr>
          <w:sz w:val="18"/>
        </w:rPr>
        <w:t>fin</w:t>
      </w:r>
      <w:r>
        <w:rPr>
          <w:spacing w:val="-10"/>
          <w:sz w:val="18"/>
        </w:rPr>
        <w:t> </w:t>
      </w:r>
      <w:r>
        <w:rPr>
          <w:sz w:val="18"/>
        </w:rPr>
        <w:t>de</w:t>
      </w:r>
      <w:r>
        <w:rPr>
          <w:spacing w:val="-12"/>
          <w:sz w:val="18"/>
        </w:rPr>
        <w:t> </w:t>
      </w:r>
      <w:r>
        <w:rPr>
          <w:sz w:val="18"/>
        </w:rPr>
        <w:t>la</w:t>
      </w:r>
      <w:r>
        <w:rPr>
          <w:spacing w:val="-12"/>
          <w:sz w:val="18"/>
        </w:rPr>
        <w:t> </w:t>
      </w:r>
      <w:r>
        <w:rPr>
          <w:sz w:val="18"/>
        </w:rPr>
        <w:t>période fiscale est supérieur à dix ans, mais au maximum 12.000 francs</w:t>
      </w:r>
    </w:p>
    <w:p>
      <w:pPr>
        <w:pStyle w:val="BodyText"/>
        <w:spacing w:before="38"/>
        <w:ind w:left="1134" w:right="704"/>
        <w:jc w:val="both"/>
      </w:pPr>
      <w:r>
        <w:rPr>
          <w:position w:val="6"/>
          <w:sz w:val="12"/>
        </w:rPr>
        <w:t>3</w:t>
      </w:r>
      <w:r>
        <w:rPr>
          <w:spacing w:val="11"/>
          <w:position w:val="6"/>
          <w:sz w:val="12"/>
        </w:rPr>
        <w:t> </w:t>
      </w:r>
      <w:r>
        <w:rPr/>
        <w:t>La</w:t>
      </w:r>
      <w:r>
        <w:rPr>
          <w:spacing w:val="-5"/>
        </w:rPr>
        <w:t> </w:t>
      </w:r>
      <w:r>
        <w:rPr/>
        <w:t>déduction</w:t>
      </w:r>
      <w:r>
        <w:rPr>
          <w:spacing w:val="-8"/>
        </w:rPr>
        <w:t> </w:t>
      </w:r>
      <w:r>
        <w:rPr/>
        <w:t>forfaitaire</w:t>
      </w:r>
      <w:r>
        <w:rPr>
          <w:spacing w:val="-5"/>
        </w:rPr>
        <w:t> </w:t>
      </w:r>
      <w:r>
        <w:rPr/>
        <w:t>n'entre</w:t>
      </w:r>
      <w:r>
        <w:rPr>
          <w:spacing w:val="-5"/>
        </w:rPr>
        <w:t> </w:t>
      </w:r>
      <w:r>
        <w:rPr/>
        <w:t>pas</w:t>
      </w:r>
      <w:r>
        <w:rPr>
          <w:spacing w:val="-7"/>
        </w:rPr>
        <w:t> </w:t>
      </w:r>
      <w:r>
        <w:rPr/>
        <w:t>en</w:t>
      </w:r>
      <w:r>
        <w:rPr>
          <w:spacing w:val="-5"/>
        </w:rPr>
        <w:t> </w:t>
      </w:r>
      <w:r>
        <w:rPr/>
        <w:t>ligne</w:t>
      </w:r>
      <w:r>
        <w:rPr>
          <w:spacing w:val="-8"/>
        </w:rPr>
        <w:t> </w:t>
      </w:r>
      <w:r>
        <w:rPr/>
        <w:t>de</w:t>
      </w:r>
      <w:r>
        <w:rPr>
          <w:spacing w:val="-8"/>
        </w:rPr>
        <w:t> </w:t>
      </w:r>
      <w:r>
        <w:rPr/>
        <w:t>compte</w:t>
      </w:r>
      <w:r>
        <w:rPr>
          <w:spacing w:val="-5"/>
        </w:rPr>
        <w:t> </w:t>
      </w:r>
      <w:r>
        <w:rPr/>
        <w:t>pour</w:t>
      </w:r>
      <w:r>
        <w:rPr>
          <w:spacing w:val="-8"/>
        </w:rPr>
        <w:t> </w:t>
      </w:r>
      <w:r>
        <w:rPr/>
        <w:t>des</w:t>
      </w:r>
      <w:r>
        <w:rPr>
          <w:spacing w:val="-5"/>
        </w:rPr>
        <w:t> </w:t>
      </w:r>
      <w:r>
        <w:rPr/>
        <w:t>immeubles</w:t>
      </w:r>
      <w:r>
        <w:rPr>
          <w:spacing w:val="-7"/>
        </w:rPr>
        <w:t> </w:t>
      </w:r>
      <w:r>
        <w:rPr/>
        <w:t>privés</w:t>
      </w:r>
      <w:r>
        <w:rPr>
          <w:spacing w:val="-7"/>
        </w:rPr>
        <w:t> </w:t>
      </w:r>
      <w:r>
        <w:rPr/>
        <w:t>utilisés</w:t>
      </w:r>
      <w:r>
        <w:rPr>
          <w:spacing w:val="-7"/>
        </w:rPr>
        <w:t> </w:t>
      </w:r>
      <w:r>
        <w:rPr/>
        <w:t>par</w:t>
      </w:r>
      <w:r>
        <w:rPr>
          <w:spacing w:val="-6"/>
        </w:rPr>
        <w:t> </w:t>
      </w:r>
      <w:r>
        <w:rPr/>
        <w:t>des</w:t>
      </w:r>
      <w:r>
        <w:rPr>
          <w:spacing w:val="-5"/>
        </w:rPr>
        <w:t> </w:t>
      </w:r>
      <w:r>
        <w:rPr/>
        <w:t>tiers principalement à des fins commerciales.</w:t>
      </w:r>
    </w:p>
    <w:p>
      <w:pPr>
        <w:pStyle w:val="BodyText"/>
        <w:spacing w:after="0"/>
        <w:jc w:val="both"/>
        <w:sectPr>
          <w:pgSz w:w="11910" w:h="16840"/>
          <w:pgMar w:header="724" w:footer="687" w:top="960" w:bottom="880" w:left="850" w:right="992"/>
        </w:sectPr>
      </w:pPr>
    </w:p>
    <w:p>
      <w:pPr>
        <w:pStyle w:val="BodyText"/>
      </w:pPr>
    </w:p>
    <w:p>
      <w:pPr>
        <w:pStyle w:val="BodyText"/>
        <w:spacing w:before="58"/>
      </w:pPr>
    </w:p>
    <w:p>
      <w:pPr>
        <w:pStyle w:val="Heading8"/>
        <w:spacing w:before="0"/>
      </w:pPr>
      <w:r>
        <w:rPr/>
        <w:t>Art.</w:t>
      </w:r>
      <w:r>
        <w:rPr>
          <w:spacing w:val="-1"/>
        </w:rPr>
        <w:t> </w:t>
      </w:r>
      <w:r>
        <w:rPr/>
        <w:t>15 </w:t>
      </w:r>
      <w:r>
        <w:rPr>
          <w:spacing w:val="-2"/>
        </w:rPr>
        <w:t>RELCdir</w:t>
      </w:r>
    </w:p>
    <w:p>
      <w:pPr>
        <w:pStyle w:val="BodyText"/>
        <w:spacing w:before="58"/>
        <w:ind w:left="1134" w:right="703"/>
        <w:jc w:val="both"/>
      </w:pPr>
      <w:r>
        <w:rPr>
          <w:position w:val="6"/>
          <w:sz w:val="12"/>
        </w:rPr>
        <w:t>1</w:t>
      </w:r>
      <w:r>
        <w:rPr>
          <w:spacing w:val="17"/>
          <w:position w:val="6"/>
          <w:sz w:val="12"/>
        </w:rPr>
        <w:t> </w:t>
      </w:r>
      <w:r>
        <w:rPr/>
        <w:t>Le</w:t>
      </w:r>
      <w:r>
        <w:rPr>
          <w:spacing w:val="-1"/>
        </w:rPr>
        <w:t> </w:t>
      </w:r>
      <w:r>
        <w:rPr/>
        <w:t>contribuable</w:t>
      </w:r>
      <w:r>
        <w:rPr>
          <w:spacing w:val="-1"/>
        </w:rPr>
        <w:t> </w:t>
      </w:r>
      <w:r>
        <w:rPr/>
        <w:t>peut</w:t>
      </w:r>
      <w:r>
        <w:rPr>
          <w:spacing w:val="-2"/>
        </w:rPr>
        <w:t> </w:t>
      </w:r>
      <w:r>
        <w:rPr/>
        <w:t>choisir,</w:t>
      </w:r>
      <w:r>
        <w:rPr>
          <w:spacing w:val="-4"/>
        </w:rPr>
        <w:t> </w:t>
      </w:r>
      <w:r>
        <w:rPr/>
        <w:t>lors</w:t>
      </w:r>
      <w:r>
        <w:rPr>
          <w:spacing w:val="-1"/>
        </w:rPr>
        <w:t> </w:t>
      </w:r>
      <w:r>
        <w:rPr/>
        <w:t>de</w:t>
      </w:r>
      <w:r>
        <w:rPr>
          <w:spacing w:val="-1"/>
        </w:rPr>
        <w:t> </w:t>
      </w:r>
      <w:r>
        <w:rPr/>
        <w:t>chaque</w:t>
      </w:r>
      <w:r>
        <w:rPr>
          <w:spacing w:val="-1"/>
        </w:rPr>
        <w:t> </w:t>
      </w:r>
      <w:r>
        <w:rPr/>
        <w:t>période fiscale</w:t>
      </w:r>
      <w:r>
        <w:rPr>
          <w:spacing w:val="-1"/>
        </w:rPr>
        <w:t> </w:t>
      </w:r>
      <w:r>
        <w:rPr/>
        <w:t>et pour</w:t>
      </w:r>
      <w:r>
        <w:rPr>
          <w:spacing w:val="-2"/>
        </w:rPr>
        <w:t> </w:t>
      </w:r>
      <w:r>
        <w:rPr/>
        <w:t>chaque</w:t>
      </w:r>
      <w:r>
        <w:rPr>
          <w:spacing w:val="-1"/>
        </w:rPr>
        <w:t> </w:t>
      </w:r>
      <w:r>
        <w:rPr/>
        <w:t>immeuble, entre la</w:t>
      </w:r>
      <w:r>
        <w:rPr>
          <w:spacing w:val="-1"/>
        </w:rPr>
        <w:t> </w:t>
      </w:r>
      <w:r>
        <w:rPr/>
        <w:t>déduc-tion des frais effectifs et la déduction forfaitaire.</w:t>
      </w:r>
    </w:p>
    <w:p>
      <w:pPr>
        <w:pStyle w:val="Heading8"/>
      </w:pPr>
      <w:r>
        <w:rPr/>
        <w:t>Art.</w:t>
      </w:r>
      <w:r>
        <w:rPr>
          <w:spacing w:val="-1"/>
        </w:rPr>
        <w:t> </w:t>
      </w:r>
      <w:r>
        <w:rPr/>
        <w:t>16 </w:t>
      </w:r>
      <w:r>
        <w:rPr>
          <w:spacing w:val="-2"/>
        </w:rPr>
        <w:t>RELCdir</w:t>
      </w:r>
    </w:p>
    <w:p>
      <w:pPr>
        <w:pStyle w:val="BodyText"/>
        <w:spacing w:before="56"/>
        <w:ind w:left="1134" w:right="703"/>
        <w:jc w:val="both"/>
      </w:pPr>
      <w:r>
        <w:rPr>
          <w:position w:val="6"/>
          <w:sz w:val="12"/>
        </w:rPr>
        <w:t>1</w:t>
      </w:r>
      <w:r>
        <w:rPr>
          <w:spacing w:val="22"/>
          <w:position w:val="6"/>
          <w:sz w:val="12"/>
        </w:rPr>
        <w:t> </w:t>
      </w:r>
      <w:r>
        <w:rPr/>
        <w:t>Sont réputés investissements destinés à économiser l'énergie et à ménager l'environnement les frais encourus en vue de rationaliser la consommation d'énergie ou de recourir</w:t>
      </w:r>
      <w:r>
        <w:rPr>
          <w:spacing w:val="-1"/>
        </w:rPr>
        <w:t> </w:t>
      </w:r>
      <w:r>
        <w:rPr/>
        <w:t>aux énergies renouvelables. Ces</w:t>
      </w:r>
      <w:r>
        <w:rPr>
          <w:spacing w:val="-4"/>
        </w:rPr>
        <w:t> </w:t>
      </w:r>
      <w:r>
        <w:rPr/>
        <w:t>investissements</w:t>
      </w:r>
      <w:r>
        <w:rPr>
          <w:spacing w:val="-7"/>
        </w:rPr>
        <w:t> </w:t>
      </w:r>
      <w:r>
        <w:rPr/>
        <w:t>concernent</w:t>
      </w:r>
      <w:r>
        <w:rPr>
          <w:spacing w:val="-5"/>
        </w:rPr>
        <w:t> </w:t>
      </w:r>
      <w:r>
        <w:rPr/>
        <w:t>le</w:t>
      </w:r>
      <w:r>
        <w:rPr>
          <w:spacing w:val="-5"/>
        </w:rPr>
        <w:t> </w:t>
      </w:r>
      <w:r>
        <w:rPr/>
        <w:t>remplacement</w:t>
      </w:r>
      <w:r>
        <w:rPr>
          <w:spacing w:val="-8"/>
        </w:rPr>
        <w:t> </w:t>
      </w:r>
      <w:r>
        <w:rPr/>
        <w:t>d'éléments</w:t>
      </w:r>
      <w:r>
        <w:rPr>
          <w:spacing w:val="-7"/>
        </w:rPr>
        <w:t> </w:t>
      </w:r>
      <w:r>
        <w:rPr/>
        <w:t>de</w:t>
      </w:r>
      <w:r>
        <w:rPr>
          <w:spacing w:val="-7"/>
        </w:rPr>
        <w:t> </w:t>
      </w:r>
      <w:r>
        <w:rPr/>
        <w:t>construction</w:t>
      </w:r>
      <w:r>
        <w:rPr>
          <w:spacing w:val="-7"/>
        </w:rPr>
        <w:t> </w:t>
      </w:r>
      <w:r>
        <w:rPr/>
        <w:t>ou</w:t>
      </w:r>
      <w:r>
        <w:rPr>
          <w:spacing w:val="-7"/>
        </w:rPr>
        <w:t> </w:t>
      </w:r>
      <w:r>
        <w:rPr/>
        <w:t>d'installations</w:t>
      </w:r>
      <w:r>
        <w:rPr>
          <w:spacing w:val="-7"/>
        </w:rPr>
        <w:t> </w:t>
      </w:r>
      <w:r>
        <w:rPr/>
        <w:t>vétustes et l'adjonction d'éléments de construction ou d'installations dans des bâtiments existants.</w:t>
      </w:r>
    </w:p>
    <w:p>
      <w:pPr>
        <w:pStyle w:val="Heading8"/>
        <w:spacing w:before="94"/>
      </w:pPr>
      <w:r>
        <w:rPr/>
        <w:t>Art.</w:t>
      </w:r>
      <w:r>
        <w:rPr>
          <w:spacing w:val="-1"/>
        </w:rPr>
        <w:t> </w:t>
      </w:r>
      <w:r>
        <w:rPr/>
        <w:t>18 </w:t>
      </w:r>
      <w:r>
        <w:rPr>
          <w:spacing w:val="-2"/>
        </w:rPr>
        <w:t>RELCdir</w:t>
      </w:r>
    </w:p>
    <w:p>
      <w:pPr>
        <w:pStyle w:val="BodyText"/>
        <w:spacing w:before="55"/>
        <w:ind w:left="1134" w:right="700"/>
        <w:jc w:val="both"/>
      </w:pPr>
      <w:r>
        <w:rPr>
          <w:position w:val="6"/>
          <w:sz w:val="12"/>
        </w:rPr>
        <w:t>1</w:t>
      </w:r>
      <w:r>
        <w:rPr>
          <w:spacing w:val="13"/>
          <w:position w:val="6"/>
          <w:sz w:val="12"/>
        </w:rPr>
        <w:t> </w:t>
      </w:r>
      <w:r>
        <w:rPr/>
        <w:t>La</w:t>
      </w:r>
      <w:r>
        <w:rPr>
          <w:spacing w:val="-4"/>
        </w:rPr>
        <w:t> </w:t>
      </w:r>
      <w:r>
        <w:rPr/>
        <w:t>détermination</w:t>
      </w:r>
      <w:r>
        <w:rPr>
          <w:spacing w:val="-4"/>
        </w:rPr>
        <w:t> </w:t>
      </w:r>
      <w:r>
        <w:rPr/>
        <w:t>des</w:t>
      </w:r>
      <w:r>
        <w:rPr>
          <w:spacing w:val="-3"/>
        </w:rPr>
        <w:t> </w:t>
      </w:r>
      <w:r>
        <w:rPr/>
        <w:t>investissements</w:t>
      </w:r>
      <w:r>
        <w:rPr>
          <w:spacing w:val="-3"/>
        </w:rPr>
        <w:t> </w:t>
      </w:r>
      <w:r>
        <w:rPr/>
        <w:t>considérés</w:t>
      </w:r>
      <w:r>
        <w:rPr>
          <w:spacing w:val="-6"/>
        </w:rPr>
        <w:t> </w:t>
      </w:r>
      <w:r>
        <w:rPr/>
        <w:t>comme</w:t>
      </w:r>
      <w:r>
        <w:rPr>
          <w:spacing w:val="-4"/>
        </w:rPr>
        <w:t> </w:t>
      </w:r>
      <w:r>
        <w:rPr/>
        <w:t>mesures</w:t>
      </w:r>
      <w:r>
        <w:rPr>
          <w:spacing w:val="-3"/>
        </w:rPr>
        <w:t> </w:t>
      </w:r>
      <w:r>
        <w:rPr/>
        <w:t>en</w:t>
      </w:r>
      <w:r>
        <w:rPr>
          <w:spacing w:val="-4"/>
        </w:rPr>
        <w:t> </w:t>
      </w:r>
      <w:r>
        <w:rPr/>
        <w:t>faveur</w:t>
      </w:r>
      <w:r>
        <w:rPr>
          <w:spacing w:val="-4"/>
        </w:rPr>
        <w:t> </w:t>
      </w:r>
      <w:r>
        <w:rPr/>
        <w:t>de</w:t>
      </w:r>
      <w:r>
        <w:rPr>
          <w:spacing w:val="-4"/>
        </w:rPr>
        <w:t> </w:t>
      </w:r>
      <w:r>
        <w:rPr/>
        <w:t>l'utilisation</w:t>
      </w:r>
      <w:r>
        <w:rPr>
          <w:spacing w:val="-4"/>
        </w:rPr>
        <w:t> </w:t>
      </w:r>
      <w:r>
        <w:rPr/>
        <w:t>rationnelle de l'énergie et du recours aux énergies renouvelables s'effectue conformément à l</w:t>
      </w:r>
      <w:hyperlink r:id="rId48">
        <w:r>
          <w:rPr/>
          <w:t>'</w:t>
        </w:r>
        <w:r>
          <w:rPr>
            <w:color w:val="0462C0"/>
            <w:u w:val="single" w:color="0462C0"/>
          </w:rPr>
          <w:t>ordonnance du Dé-</w:t>
        </w:r>
      </w:hyperlink>
      <w:hyperlink r:id="rId48">
        <w:r>
          <w:rPr>
            <w:color w:val="0462C0"/>
            <w:u w:val="single" w:color="0462C0"/>
          </w:rPr>
          <w:t>partement fédéral des finances, du 24 août 1992.</w:t>
        </w:r>
      </w:hyperlink>
    </w:p>
    <w:p>
      <w:pPr>
        <w:pStyle w:val="Heading8"/>
        <w:spacing w:before="95"/>
      </w:pPr>
      <w:r>
        <w:rPr/>
        <w:t>Art.</w:t>
      </w:r>
      <w:r>
        <w:rPr>
          <w:spacing w:val="-1"/>
        </w:rPr>
        <w:t> </w:t>
      </w:r>
      <w:r>
        <w:rPr/>
        <w:t>19 </w:t>
      </w:r>
      <w:r>
        <w:rPr>
          <w:spacing w:val="-2"/>
        </w:rPr>
        <w:t>RELCdir</w:t>
      </w:r>
    </w:p>
    <w:p>
      <w:pPr>
        <w:pStyle w:val="BodyText"/>
        <w:spacing w:before="55"/>
        <w:ind w:left="1134" w:right="703"/>
        <w:jc w:val="both"/>
      </w:pPr>
      <w:r>
        <w:rPr>
          <w:position w:val="6"/>
          <w:sz w:val="12"/>
        </w:rPr>
        <w:t>1</w:t>
      </w:r>
      <w:r>
        <w:rPr>
          <w:spacing w:val="9"/>
          <w:position w:val="6"/>
          <w:sz w:val="12"/>
        </w:rPr>
        <w:t> </w:t>
      </w:r>
      <w:r>
        <w:rPr/>
        <w:t>Le</w:t>
      </w:r>
      <w:r>
        <w:rPr>
          <w:spacing w:val="-8"/>
        </w:rPr>
        <w:t> </w:t>
      </w:r>
      <w:r>
        <w:rPr/>
        <w:t>taux</w:t>
      </w:r>
      <w:r>
        <w:rPr>
          <w:spacing w:val="-10"/>
        </w:rPr>
        <w:t> </w:t>
      </w:r>
      <w:r>
        <w:rPr/>
        <w:t>de</w:t>
      </w:r>
      <w:r>
        <w:rPr>
          <w:spacing w:val="-10"/>
        </w:rPr>
        <w:t> </w:t>
      </w:r>
      <w:r>
        <w:rPr/>
        <w:t>déduction</w:t>
      </w:r>
      <w:r>
        <w:rPr>
          <w:spacing w:val="-8"/>
        </w:rPr>
        <w:t> </w:t>
      </w:r>
      <w:r>
        <w:rPr/>
        <w:t>pour</w:t>
      </w:r>
      <w:r>
        <w:rPr>
          <w:spacing w:val="-11"/>
        </w:rPr>
        <w:t> </w:t>
      </w:r>
      <w:r>
        <w:rPr/>
        <w:t>les</w:t>
      </w:r>
      <w:r>
        <w:rPr>
          <w:spacing w:val="-10"/>
        </w:rPr>
        <w:t> </w:t>
      </w:r>
      <w:r>
        <w:rPr/>
        <w:t>mesures</w:t>
      </w:r>
      <w:r>
        <w:rPr>
          <w:spacing w:val="-7"/>
        </w:rPr>
        <w:t> </w:t>
      </w:r>
      <w:r>
        <w:rPr/>
        <w:t>en</w:t>
      </w:r>
      <w:r>
        <w:rPr>
          <w:spacing w:val="-10"/>
        </w:rPr>
        <w:t> </w:t>
      </w:r>
      <w:r>
        <w:rPr/>
        <w:t>faveur</w:t>
      </w:r>
      <w:r>
        <w:rPr>
          <w:spacing w:val="-11"/>
        </w:rPr>
        <w:t> </w:t>
      </w:r>
      <w:r>
        <w:rPr/>
        <w:t>de</w:t>
      </w:r>
      <w:r>
        <w:rPr>
          <w:spacing w:val="-8"/>
        </w:rPr>
        <w:t> </w:t>
      </w:r>
      <w:r>
        <w:rPr/>
        <w:t>l'utilisation</w:t>
      </w:r>
      <w:r>
        <w:rPr>
          <w:spacing w:val="-8"/>
        </w:rPr>
        <w:t> </w:t>
      </w:r>
      <w:r>
        <w:rPr/>
        <w:t>rationnelle</w:t>
      </w:r>
      <w:r>
        <w:rPr>
          <w:spacing w:val="-8"/>
        </w:rPr>
        <w:t> </w:t>
      </w:r>
      <w:r>
        <w:rPr/>
        <w:t>de</w:t>
      </w:r>
      <w:r>
        <w:rPr>
          <w:spacing w:val="-10"/>
        </w:rPr>
        <w:t> </w:t>
      </w:r>
      <w:r>
        <w:rPr/>
        <w:t>l'énergie</w:t>
      </w:r>
      <w:r>
        <w:rPr>
          <w:spacing w:val="-10"/>
        </w:rPr>
        <w:t> </w:t>
      </w:r>
      <w:r>
        <w:rPr/>
        <w:t>se</w:t>
      </w:r>
      <w:r>
        <w:rPr>
          <w:spacing w:val="-12"/>
        </w:rPr>
        <w:t> </w:t>
      </w:r>
      <w:r>
        <w:rPr/>
        <w:t>monte</w:t>
      </w:r>
      <w:r>
        <w:rPr>
          <w:spacing w:val="-8"/>
        </w:rPr>
        <w:t> </w:t>
      </w:r>
      <w:r>
        <w:rPr/>
        <w:t>à</w:t>
      </w:r>
      <w:r>
        <w:rPr>
          <w:spacing w:val="-8"/>
        </w:rPr>
        <w:t> </w:t>
      </w:r>
      <w:r>
        <w:rPr/>
        <w:t>50% au cours des cinq premières années après l'acquisition de l'immeuble et, passé ce délai, à 100%.</w:t>
      </w:r>
    </w:p>
    <w:p>
      <w:pPr>
        <w:pStyle w:val="BodyText"/>
        <w:spacing w:before="36"/>
        <w:ind w:left="1134" w:right="701"/>
        <w:jc w:val="both"/>
      </w:pPr>
      <w:r>
        <w:rPr>
          <w:position w:val="6"/>
          <w:sz w:val="12"/>
        </w:rPr>
        <w:t>2</w:t>
      </w:r>
      <w:r>
        <w:rPr>
          <w:spacing w:val="35"/>
          <w:position w:val="6"/>
          <w:sz w:val="12"/>
        </w:rPr>
        <w:t> </w:t>
      </w:r>
      <w:r>
        <w:rPr/>
        <w:t>Les dépenses d’investissement liées aux installations utilisant des énergies renouvelables (énergie solaire, géothermie, chaleur ambiante captée avec ou sans pompe à chaleur, énergie éolienne et bio-masse (y compris le bois et le biogaz) sont intégralement déductibles dès l’acquisition de l’immeuble.</w:t>
      </w:r>
    </w:p>
    <w:p>
      <w:pPr>
        <w:pStyle w:val="BodyText"/>
        <w:spacing w:before="42"/>
        <w:ind w:left="1134"/>
        <w:jc w:val="both"/>
      </w:pPr>
      <w:r>
        <w:rPr/>
        <w:t>Voir</w:t>
      </w:r>
      <w:r>
        <w:rPr>
          <w:spacing w:val="-3"/>
        </w:rPr>
        <w:t> </w:t>
      </w:r>
      <w:r>
        <w:rPr/>
        <w:t>aussi</w:t>
      </w:r>
      <w:r>
        <w:rPr>
          <w:spacing w:val="-1"/>
        </w:rPr>
        <w:t> </w:t>
      </w:r>
      <w:r>
        <w:rPr/>
        <w:t>la</w:t>
      </w:r>
      <w:r>
        <w:rPr>
          <w:spacing w:val="-5"/>
        </w:rPr>
        <w:t> </w:t>
      </w:r>
      <w:hyperlink r:id="rId49">
        <w:r>
          <w:rPr>
            <w:color w:val="0462C0"/>
            <w:u w:val="single" w:color="0462C0"/>
          </w:rPr>
          <w:t>Notice</w:t>
        </w:r>
        <w:r>
          <w:rPr>
            <w:color w:val="0462C0"/>
            <w:spacing w:val="-1"/>
            <w:u w:val="single" w:color="0462C0"/>
          </w:rPr>
          <w:t> </w:t>
        </w:r>
        <w:r>
          <w:rPr>
            <w:color w:val="0462C0"/>
            <w:u w:val="single" w:color="0462C0"/>
          </w:rPr>
          <w:t>4</w:t>
        </w:r>
        <w:r>
          <w:rPr>
            <w:color w:val="0462C0"/>
            <w:spacing w:val="-5"/>
            <w:u w:val="single" w:color="0462C0"/>
          </w:rPr>
          <w:t> </w:t>
        </w:r>
        <w:r>
          <w:rPr>
            <w:color w:val="0462C0"/>
            <w:u w:val="single" w:color="0462C0"/>
          </w:rPr>
          <w:t>-</w:t>
        </w:r>
        <w:r>
          <w:rPr>
            <w:color w:val="0462C0"/>
            <w:spacing w:val="-2"/>
            <w:u w:val="single" w:color="0462C0"/>
          </w:rPr>
          <w:t> </w:t>
        </w:r>
        <w:r>
          <w:rPr>
            <w:color w:val="0462C0"/>
            <w:u w:val="single" w:color="0462C0"/>
          </w:rPr>
          <w:t>Catalogue</w:t>
        </w:r>
        <w:r>
          <w:rPr>
            <w:color w:val="0462C0"/>
            <w:spacing w:val="-2"/>
            <w:u w:val="single" w:color="0462C0"/>
          </w:rPr>
          <w:t> </w:t>
        </w:r>
        <w:r>
          <w:rPr>
            <w:color w:val="0462C0"/>
            <w:u w:val="single" w:color="0462C0"/>
          </w:rPr>
          <w:t>pour</w:t>
        </w:r>
        <w:r>
          <w:rPr>
            <w:color w:val="0462C0"/>
            <w:spacing w:val="-2"/>
            <w:u w:val="single" w:color="0462C0"/>
          </w:rPr>
          <w:t> </w:t>
        </w:r>
        <w:r>
          <w:rPr>
            <w:color w:val="0462C0"/>
            <w:u w:val="single" w:color="0462C0"/>
          </w:rPr>
          <w:t>la</w:t>
        </w:r>
        <w:r>
          <w:rPr>
            <w:color w:val="0462C0"/>
            <w:spacing w:val="-2"/>
            <w:u w:val="single" w:color="0462C0"/>
          </w:rPr>
          <w:t> </w:t>
        </w:r>
        <w:r>
          <w:rPr>
            <w:color w:val="0462C0"/>
            <w:u w:val="single" w:color="0462C0"/>
          </w:rPr>
          <w:t>déduction</w:t>
        </w:r>
        <w:r>
          <w:rPr>
            <w:color w:val="0462C0"/>
            <w:spacing w:val="-1"/>
            <w:u w:val="single" w:color="0462C0"/>
          </w:rPr>
          <w:t> </w:t>
        </w:r>
        <w:r>
          <w:rPr>
            <w:color w:val="0462C0"/>
            <w:u w:val="single" w:color="0462C0"/>
          </w:rPr>
          <w:t>et</w:t>
        </w:r>
        <w:r>
          <w:rPr>
            <w:color w:val="0462C0"/>
            <w:spacing w:val="-5"/>
            <w:u w:val="single" w:color="0462C0"/>
          </w:rPr>
          <w:t> </w:t>
        </w:r>
        <w:r>
          <w:rPr>
            <w:color w:val="0462C0"/>
            <w:u w:val="single" w:color="0462C0"/>
          </w:rPr>
          <w:t>la</w:t>
        </w:r>
        <w:r>
          <w:rPr>
            <w:color w:val="0462C0"/>
            <w:spacing w:val="-1"/>
            <w:u w:val="single" w:color="0462C0"/>
          </w:rPr>
          <w:t> </w:t>
        </w:r>
        <w:r>
          <w:rPr>
            <w:color w:val="0462C0"/>
            <w:u w:val="single" w:color="0462C0"/>
          </w:rPr>
          <w:t>répartition</w:t>
        </w:r>
        <w:r>
          <w:rPr>
            <w:color w:val="0462C0"/>
            <w:spacing w:val="-2"/>
            <w:u w:val="single" w:color="0462C0"/>
          </w:rPr>
          <w:t> </w:t>
        </w:r>
        <w:r>
          <w:rPr>
            <w:color w:val="0462C0"/>
            <w:u w:val="single" w:color="0462C0"/>
          </w:rPr>
          <w:t>des</w:t>
        </w:r>
        <w:r>
          <w:rPr>
            <w:color w:val="0462C0"/>
            <w:spacing w:val="-1"/>
            <w:u w:val="single" w:color="0462C0"/>
          </w:rPr>
          <w:t> </w:t>
        </w:r>
        <w:r>
          <w:rPr>
            <w:color w:val="0462C0"/>
            <w:u w:val="single" w:color="0462C0"/>
          </w:rPr>
          <w:t>frais</w:t>
        </w:r>
        <w:r>
          <w:rPr>
            <w:color w:val="0462C0"/>
            <w:spacing w:val="-2"/>
            <w:u w:val="single" w:color="0462C0"/>
          </w:rPr>
          <w:t> </w:t>
        </w:r>
        <w:r>
          <w:rPr>
            <w:color w:val="0462C0"/>
            <w:u w:val="single" w:color="0462C0"/>
          </w:rPr>
          <w:t>relatifs</w:t>
        </w:r>
        <w:r>
          <w:rPr>
            <w:color w:val="0462C0"/>
            <w:spacing w:val="-1"/>
            <w:u w:val="single" w:color="0462C0"/>
          </w:rPr>
          <w:t> </w:t>
        </w:r>
        <w:r>
          <w:rPr>
            <w:color w:val="0462C0"/>
            <w:u w:val="single" w:color="0462C0"/>
          </w:rPr>
          <w:t>aux</w:t>
        </w:r>
        <w:r>
          <w:rPr>
            <w:color w:val="0462C0"/>
            <w:spacing w:val="-3"/>
            <w:u w:val="single" w:color="0462C0"/>
          </w:rPr>
          <w:t> </w:t>
        </w:r>
        <w:r>
          <w:rPr>
            <w:color w:val="0462C0"/>
            <w:spacing w:val="-2"/>
            <w:u w:val="single" w:color="0462C0"/>
          </w:rPr>
          <w:t>immeubles</w:t>
        </w:r>
        <w:r>
          <w:rPr>
            <w:spacing w:val="-2"/>
          </w:rPr>
          <w:t>,</w:t>
        </w:r>
      </w:hyperlink>
    </w:p>
    <w:p>
      <w:pPr>
        <w:pStyle w:val="BodyText"/>
        <w:spacing w:before="107"/>
        <w:rPr>
          <w:sz w:val="22"/>
        </w:rPr>
      </w:pPr>
    </w:p>
    <w:p>
      <w:pPr>
        <w:pStyle w:val="Heading5"/>
        <w:jc w:val="both"/>
      </w:pPr>
      <w:bookmarkStart w:name="Déductions générales" w:id="15"/>
      <w:bookmarkEnd w:id="15"/>
      <w:r>
        <w:rPr/>
      </w:r>
      <w:r>
        <w:rPr>
          <w:color w:val="2D73B4"/>
        </w:rPr>
        <w:t>Déductions</w:t>
      </w:r>
      <w:r>
        <w:rPr>
          <w:color w:val="2D73B4"/>
          <w:spacing w:val="-7"/>
        </w:rPr>
        <w:t> </w:t>
      </w:r>
      <w:r>
        <w:rPr>
          <w:color w:val="2D73B4"/>
          <w:spacing w:val="-2"/>
        </w:rPr>
        <w:t>générales</w:t>
      </w:r>
    </w:p>
    <w:p>
      <w:pPr>
        <w:pStyle w:val="BodyText"/>
        <w:spacing w:before="58"/>
        <w:ind w:left="1134"/>
        <w:jc w:val="both"/>
      </w:pPr>
      <w:r>
        <w:rPr/>
        <w:t>(Art.</w:t>
      </w:r>
      <w:r>
        <w:rPr>
          <w:spacing w:val="-1"/>
        </w:rPr>
        <w:t> </w:t>
      </w:r>
      <w:r>
        <w:rPr/>
        <w:t>36</w:t>
      </w:r>
      <w:r>
        <w:rPr>
          <w:spacing w:val="-3"/>
        </w:rPr>
        <w:t> </w:t>
      </w:r>
      <w:r>
        <w:rPr/>
        <w:t>LCdir; </w:t>
      </w:r>
      <w:r>
        <w:rPr>
          <w:spacing w:val="-2"/>
        </w:rPr>
        <w:t>REGAE)</w:t>
      </w:r>
    </w:p>
    <w:p>
      <w:pPr>
        <w:pStyle w:val="BodyText"/>
        <w:spacing w:before="154"/>
      </w:pPr>
    </w:p>
    <w:p>
      <w:pPr>
        <w:pStyle w:val="Heading7"/>
        <w:jc w:val="both"/>
      </w:pPr>
      <w:r>
        <w:rPr>
          <w:color w:val="950000"/>
        </w:rPr>
        <w:t>Primes d’assurances-vie, maladie, accident et intérêts des capitaux d‘épargne</w:t>
      </w:r>
      <w:r>
        <w:rPr>
          <w:color w:val="950000"/>
          <w:spacing w:val="80"/>
        </w:rPr>
        <w:t> </w:t>
      </w:r>
      <w:r>
        <w:rPr>
          <w:color w:val="950000"/>
        </w:rPr>
        <w:drawing>
          <wp:inline distT="0" distB="0" distL="0" distR="0">
            <wp:extent cx="201248" cy="114905"/>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248" cy="114905"/>
                    </a:xfrm>
                    <a:prstGeom prst="rect">
                      <a:avLst/>
                    </a:prstGeom>
                  </pic:spPr>
                </pic:pic>
              </a:graphicData>
            </a:graphic>
          </wp:inline>
        </w:drawing>
      </w:r>
      <w:r>
        <w:rPr>
          <w:color w:val="950000"/>
        </w:rPr>
      </w:r>
    </w:p>
    <w:p>
      <w:pPr>
        <w:pStyle w:val="Heading8"/>
        <w:spacing w:before="93"/>
        <w:jc w:val="both"/>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g</w:t>
      </w:r>
      <w:r>
        <w:rPr>
          <w:spacing w:val="-2"/>
        </w:rPr>
        <w:t> </w:t>
      </w:r>
      <w:r>
        <w:rPr>
          <w:spacing w:val="-4"/>
        </w:rPr>
        <w:t>LCdir</w:t>
      </w:r>
    </w:p>
    <w:p>
      <w:pPr>
        <w:pStyle w:val="BodyText"/>
        <w:spacing w:before="55"/>
        <w:ind w:left="1134"/>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7"/>
        </w:numPr>
        <w:tabs>
          <w:tab w:pos="1559" w:val="left" w:leader="none"/>
        </w:tabs>
        <w:spacing w:line="240" w:lineRule="auto" w:before="40" w:after="0"/>
        <w:ind w:left="1559" w:right="703" w:hanging="425"/>
        <w:jc w:val="both"/>
        <w:rPr>
          <w:sz w:val="18"/>
        </w:rPr>
      </w:pPr>
      <w:r>
        <w:rPr>
          <w:sz w:val="18"/>
        </w:rPr>
        <w:t>les</w:t>
      </w:r>
      <w:r>
        <w:rPr>
          <w:spacing w:val="-2"/>
          <w:sz w:val="18"/>
        </w:rPr>
        <w:t> </w:t>
      </w:r>
      <w:r>
        <w:rPr>
          <w:sz w:val="18"/>
        </w:rPr>
        <w:t>primes d'assurance-vie,</w:t>
      </w:r>
      <w:r>
        <w:rPr>
          <w:spacing w:val="-3"/>
          <w:sz w:val="18"/>
        </w:rPr>
        <w:t> </w:t>
      </w:r>
      <w:r>
        <w:rPr>
          <w:sz w:val="18"/>
        </w:rPr>
        <w:t>d'assurance-maladie,</w:t>
      </w:r>
      <w:r>
        <w:rPr>
          <w:spacing w:val="-3"/>
          <w:sz w:val="18"/>
        </w:rPr>
        <w:t> </w:t>
      </w:r>
      <w:r>
        <w:rPr>
          <w:sz w:val="18"/>
        </w:rPr>
        <w:t>ainsi que</w:t>
      </w:r>
      <w:r>
        <w:rPr>
          <w:spacing w:val="-2"/>
          <w:sz w:val="18"/>
        </w:rPr>
        <w:t> </w:t>
      </w:r>
      <w:r>
        <w:rPr>
          <w:sz w:val="18"/>
        </w:rPr>
        <w:t>les</w:t>
      </w:r>
      <w:r>
        <w:rPr>
          <w:spacing w:val="-2"/>
          <w:sz w:val="18"/>
        </w:rPr>
        <w:t> </w:t>
      </w:r>
      <w:r>
        <w:rPr>
          <w:sz w:val="18"/>
        </w:rPr>
        <w:t>intérêts</w:t>
      </w:r>
      <w:r>
        <w:rPr>
          <w:spacing w:val="-2"/>
          <w:sz w:val="18"/>
        </w:rPr>
        <w:t> </w:t>
      </w:r>
      <w:r>
        <w:rPr>
          <w:sz w:val="18"/>
        </w:rPr>
        <w:t>des</w:t>
      </w:r>
      <w:r>
        <w:rPr>
          <w:spacing w:val="-2"/>
          <w:sz w:val="18"/>
        </w:rPr>
        <w:t> </w:t>
      </w:r>
      <w:r>
        <w:rPr>
          <w:sz w:val="18"/>
        </w:rPr>
        <w:t>capitaux</w:t>
      </w:r>
      <w:r>
        <w:rPr>
          <w:spacing w:val="-2"/>
          <w:sz w:val="18"/>
        </w:rPr>
        <w:t> </w:t>
      </w:r>
      <w:r>
        <w:rPr>
          <w:sz w:val="18"/>
        </w:rPr>
        <w:t>d'épargne</w:t>
      </w:r>
      <w:r>
        <w:rPr>
          <w:spacing w:val="-2"/>
          <w:sz w:val="18"/>
        </w:rPr>
        <w:t> </w:t>
      </w:r>
      <w:r>
        <w:rPr>
          <w:sz w:val="18"/>
        </w:rPr>
        <w:t>au profit du contribuable, le cas échéant de son conjoint et des personnes à sa charge au sens de l'article</w:t>
      </w:r>
      <w:r>
        <w:rPr>
          <w:spacing w:val="-4"/>
          <w:sz w:val="18"/>
        </w:rPr>
        <w:t> </w:t>
      </w:r>
      <w:r>
        <w:rPr>
          <w:sz w:val="18"/>
        </w:rPr>
        <w:t>39,</w:t>
      </w:r>
      <w:r>
        <w:rPr>
          <w:spacing w:val="-4"/>
          <w:sz w:val="18"/>
        </w:rPr>
        <w:t> </w:t>
      </w:r>
      <w:r>
        <w:rPr>
          <w:sz w:val="18"/>
        </w:rPr>
        <w:t>jusqu'à</w:t>
      </w:r>
      <w:r>
        <w:rPr>
          <w:spacing w:val="-4"/>
          <w:sz w:val="18"/>
        </w:rPr>
        <w:t> </w:t>
      </w:r>
      <w:r>
        <w:rPr>
          <w:sz w:val="18"/>
        </w:rPr>
        <w:t>concurrence</w:t>
      </w:r>
      <w:r>
        <w:rPr>
          <w:spacing w:val="-4"/>
          <w:sz w:val="18"/>
        </w:rPr>
        <w:t> </w:t>
      </w:r>
      <w:r>
        <w:rPr>
          <w:sz w:val="18"/>
        </w:rPr>
        <w:t>d'un</w:t>
      </w:r>
      <w:r>
        <w:rPr>
          <w:spacing w:val="-4"/>
          <w:sz w:val="18"/>
        </w:rPr>
        <w:t> </w:t>
      </w:r>
      <w:r>
        <w:rPr>
          <w:sz w:val="18"/>
        </w:rPr>
        <w:t>montant</w:t>
      </w:r>
      <w:r>
        <w:rPr>
          <w:spacing w:val="-4"/>
          <w:sz w:val="18"/>
        </w:rPr>
        <w:t> </w:t>
      </w:r>
      <w:r>
        <w:rPr>
          <w:sz w:val="18"/>
        </w:rPr>
        <w:t>global</w:t>
      </w:r>
      <w:r>
        <w:rPr>
          <w:spacing w:val="-4"/>
          <w:sz w:val="18"/>
        </w:rPr>
        <w:t> </w:t>
      </w:r>
      <w:r>
        <w:rPr>
          <w:sz w:val="18"/>
        </w:rPr>
        <w:t>de</w:t>
      </w:r>
      <w:r>
        <w:rPr>
          <w:spacing w:val="-4"/>
          <w:sz w:val="18"/>
        </w:rPr>
        <w:t> </w:t>
      </w:r>
      <w:r>
        <w:rPr>
          <w:sz w:val="18"/>
        </w:rPr>
        <w:t>4.900</w:t>
      </w:r>
      <w:r>
        <w:rPr>
          <w:spacing w:val="-4"/>
          <w:sz w:val="18"/>
        </w:rPr>
        <w:t> </w:t>
      </w:r>
      <w:r>
        <w:rPr>
          <w:sz w:val="18"/>
        </w:rPr>
        <w:t>francs</w:t>
      </w:r>
      <w:r>
        <w:rPr>
          <w:spacing w:val="-4"/>
          <w:sz w:val="18"/>
        </w:rPr>
        <w:t> </w:t>
      </w:r>
      <w:r>
        <w:rPr>
          <w:sz w:val="18"/>
        </w:rPr>
        <w:t>pour</w:t>
      </w:r>
      <w:r>
        <w:rPr>
          <w:spacing w:val="-4"/>
          <w:sz w:val="18"/>
        </w:rPr>
        <w:t> </w:t>
      </w:r>
      <w:r>
        <w:rPr>
          <w:sz w:val="18"/>
        </w:rPr>
        <w:t>les</w:t>
      </w:r>
      <w:r>
        <w:rPr>
          <w:spacing w:val="-4"/>
          <w:sz w:val="18"/>
        </w:rPr>
        <w:t> </w:t>
      </w:r>
      <w:r>
        <w:rPr>
          <w:sz w:val="18"/>
        </w:rPr>
        <w:t>contribuables</w:t>
      </w:r>
      <w:r>
        <w:rPr>
          <w:spacing w:val="-6"/>
          <w:sz w:val="18"/>
        </w:rPr>
        <w:t> </w:t>
      </w:r>
      <w:r>
        <w:rPr>
          <w:sz w:val="18"/>
        </w:rPr>
        <w:t>mariés vivant en ménage commun et d'un montant de 2.500 francs pour les autres contribuables; ces montants sont augmentés de 25% pour les contribuables qui ne versent pas de cotisations selon les lettres </w:t>
      </w:r>
      <w:r>
        <w:rPr>
          <w:rFonts w:ascii="Arial" w:hAnsi="Arial"/>
          <w:i/>
          <w:sz w:val="18"/>
        </w:rPr>
        <w:t>e </w:t>
      </w:r>
      <w:r>
        <w:rPr>
          <w:sz w:val="18"/>
        </w:rPr>
        <w:t>et </w:t>
      </w:r>
      <w:r>
        <w:rPr>
          <w:rFonts w:ascii="Arial" w:hAnsi="Arial"/>
          <w:i/>
          <w:sz w:val="18"/>
        </w:rPr>
        <w:t>f</w:t>
      </w:r>
      <w:r>
        <w:rPr>
          <w:sz w:val="18"/>
        </w:rPr>
        <w:t>. Ils sont augmentés de 800 francs pour chaque personne pour laquelle le contri-buable peut faire valoir une déduction au sens de l'article 39, alinéas 1 et 2 ;</w:t>
      </w:r>
    </w:p>
    <w:p>
      <w:pPr>
        <w:pStyle w:val="BodyText"/>
        <w:spacing w:before="154"/>
      </w:pPr>
    </w:p>
    <w:p>
      <w:pPr>
        <w:spacing w:line="321" w:lineRule="auto" w:before="1"/>
        <w:ind w:left="1134" w:right="6852" w:firstLine="0"/>
        <w:jc w:val="left"/>
        <w:rPr>
          <w:sz w:val="18"/>
        </w:rPr>
      </w:pPr>
      <w:r>
        <w:rPr>
          <w:color w:val="950000"/>
          <w:sz w:val="20"/>
        </w:rPr>
        <w:t>Frais médicaux</w:t>
      </w:r>
      <w:r>
        <w:rPr>
          <w:color w:val="950000"/>
          <w:spacing w:val="80"/>
          <w:sz w:val="20"/>
        </w:rPr>
        <w:t> </w:t>
      </w:r>
      <w:r>
        <w:rPr>
          <w:color w:val="950000"/>
          <w:spacing w:val="3"/>
          <w:sz w:val="20"/>
        </w:rPr>
        <w:drawing>
          <wp:inline distT="0" distB="0" distL="0" distR="0">
            <wp:extent cx="201255" cy="114933"/>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55" cy="114933"/>
                    </a:xfrm>
                    <a:prstGeom prst="rect">
                      <a:avLst/>
                    </a:prstGeom>
                  </pic:spPr>
                </pic:pic>
              </a:graphicData>
            </a:graphic>
          </wp:inline>
        </w:drawing>
      </w:r>
      <w:r>
        <w:rPr>
          <w:color w:val="950000"/>
          <w:spacing w:val="3"/>
          <w:sz w:val="20"/>
        </w:rPr>
      </w:r>
      <w:r>
        <w:rPr>
          <w:rFonts w:ascii="Times New Roman" w:hAnsi="Times New Roman"/>
          <w:color w:val="950000"/>
          <w:spacing w:val="3"/>
          <w:sz w:val="20"/>
        </w:rPr>
        <w:t> </w:t>
      </w:r>
      <w:r>
        <w:rPr>
          <w:rFonts w:ascii="Arial" w:hAnsi="Arial"/>
          <w:b/>
          <w:sz w:val="18"/>
        </w:rPr>
        <w:t>Art.</w:t>
      </w:r>
      <w:r>
        <w:rPr>
          <w:rFonts w:ascii="Arial" w:hAnsi="Arial"/>
          <w:b/>
          <w:spacing w:val="-2"/>
          <w:sz w:val="18"/>
        </w:rPr>
        <w:t> </w:t>
      </w:r>
      <w:r>
        <w:rPr>
          <w:rFonts w:ascii="Arial" w:hAnsi="Arial"/>
          <w:b/>
          <w:sz w:val="18"/>
        </w:rPr>
        <w:t>36,</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h</w:t>
      </w:r>
      <w:r>
        <w:rPr>
          <w:rFonts w:ascii="Arial" w:hAnsi="Arial"/>
          <w:b/>
          <w:spacing w:val="-4"/>
          <w:sz w:val="18"/>
        </w:rPr>
        <w:t> </w:t>
      </w:r>
      <w:r>
        <w:rPr>
          <w:rFonts w:ascii="Arial" w:hAnsi="Arial"/>
          <w:b/>
          <w:sz w:val="18"/>
        </w:rPr>
        <w:t>LCdir </w:t>
      </w:r>
      <w:r>
        <w:rPr>
          <w:position w:val="6"/>
          <w:sz w:val="12"/>
        </w:rPr>
        <w:t>1</w:t>
      </w:r>
      <w:r>
        <w:rPr>
          <w:spacing w:val="15"/>
          <w:position w:val="6"/>
          <w:sz w:val="12"/>
        </w:rPr>
        <w:t> </w:t>
      </w:r>
      <w:r>
        <w:rPr>
          <w:sz w:val="18"/>
        </w:rPr>
        <w:t>Sont</w:t>
      </w:r>
      <w:r>
        <w:rPr>
          <w:spacing w:val="-3"/>
          <w:sz w:val="18"/>
        </w:rPr>
        <w:t> </w:t>
      </w:r>
      <w:r>
        <w:rPr>
          <w:sz w:val="18"/>
        </w:rPr>
        <w:t>déduits</w:t>
      </w:r>
      <w:r>
        <w:rPr>
          <w:spacing w:val="-3"/>
          <w:sz w:val="18"/>
        </w:rPr>
        <w:t> </w:t>
      </w:r>
      <w:r>
        <w:rPr>
          <w:sz w:val="18"/>
        </w:rPr>
        <w:t>du revenu </w:t>
      </w:r>
      <w:r>
        <w:rPr>
          <w:spacing w:val="-10"/>
          <w:sz w:val="18"/>
        </w:rPr>
        <w:t>:</w:t>
      </w:r>
    </w:p>
    <w:p>
      <w:pPr>
        <w:pStyle w:val="ListParagraph"/>
        <w:numPr>
          <w:ilvl w:val="0"/>
          <w:numId w:val="7"/>
        </w:numPr>
        <w:tabs>
          <w:tab w:pos="1559" w:val="left" w:leader="none"/>
        </w:tabs>
        <w:spacing w:line="177" w:lineRule="exact" w:before="0" w:after="0"/>
        <w:ind w:left="1559" w:right="0" w:hanging="425"/>
        <w:jc w:val="left"/>
        <w:rPr>
          <w:sz w:val="18"/>
        </w:rPr>
      </w:pPr>
      <w:r>
        <w:rPr>
          <w:sz w:val="18"/>
        </w:rPr>
        <w:t>les</w:t>
      </w:r>
      <w:r>
        <w:rPr>
          <w:spacing w:val="-6"/>
          <w:sz w:val="18"/>
        </w:rPr>
        <w:t> </w:t>
      </w:r>
      <w:r>
        <w:rPr>
          <w:sz w:val="18"/>
        </w:rPr>
        <w:t>frais</w:t>
      </w:r>
      <w:r>
        <w:rPr>
          <w:spacing w:val="-3"/>
          <w:sz w:val="18"/>
        </w:rPr>
        <w:t> </w:t>
      </w:r>
      <w:r>
        <w:rPr>
          <w:sz w:val="18"/>
        </w:rPr>
        <w:t>provoqués</w:t>
      </w:r>
      <w:r>
        <w:rPr>
          <w:spacing w:val="-3"/>
          <w:sz w:val="18"/>
        </w:rPr>
        <w:t> </w:t>
      </w:r>
      <w:r>
        <w:rPr>
          <w:sz w:val="18"/>
        </w:rPr>
        <w:t>par</w:t>
      </w:r>
      <w:r>
        <w:rPr>
          <w:spacing w:val="-7"/>
          <w:sz w:val="18"/>
        </w:rPr>
        <w:t> </w:t>
      </w:r>
      <w:r>
        <w:rPr>
          <w:sz w:val="18"/>
        </w:rPr>
        <w:t>la</w:t>
      </w:r>
      <w:r>
        <w:rPr>
          <w:spacing w:val="-6"/>
          <w:sz w:val="18"/>
        </w:rPr>
        <w:t> </w:t>
      </w:r>
      <w:r>
        <w:rPr>
          <w:sz w:val="18"/>
        </w:rPr>
        <w:t>maladie</w:t>
      </w:r>
      <w:r>
        <w:rPr>
          <w:spacing w:val="-4"/>
          <w:sz w:val="18"/>
        </w:rPr>
        <w:t> </w:t>
      </w:r>
      <w:r>
        <w:rPr>
          <w:sz w:val="18"/>
        </w:rPr>
        <w:t>et</w:t>
      </w:r>
      <w:r>
        <w:rPr>
          <w:spacing w:val="-4"/>
          <w:sz w:val="18"/>
        </w:rPr>
        <w:t> </w:t>
      </w:r>
      <w:r>
        <w:rPr>
          <w:sz w:val="18"/>
        </w:rPr>
        <w:t>les</w:t>
      </w:r>
      <w:r>
        <w:rPr>
          <w:spacing w:val="-3"/>
          <w:sz w:val="18"/>
        </w:rPr>
        <w:t> </w:t>
      </w:r>
      <w:r>
        <w:rPr>
          <w:sz w:val="18"/>
        </w:rPr>
        <w:t>accidents</w:t>
      </w:r>
      <w:r>
        <w:rPr>
          <w:spacing w:val="-6"/>
          <w:sz w:val="18"/>
        </w:rPr>
        <w:t> </w:t>
      </w:r>
      <w:r>
        <w:rPr>
          <w:sz w:val="18"/>
        </w:rPr>
        <w:t>du</w:t>
      </w:r>
      <w:r>
        <w:rPr>
          <w:spacing w:val="-6"/>
          <w:sz w:val="18"/>
        </w:rPr>
        <w:t> </w:t>
      </w:r>
      <w:r>
        <w:rPr>
          <w:sz w:val="18"/>
        </w:rPr>
        <w:t>contribuable,</w:t>
      </w:r>
      <w:r>
        <w:rPr>
          <w:spacing w:val="-4"/>
          <w:sz w:val="18"/>
        </w:rPr>
        <w:t> </w:t>
      </w:r>
      <w:r>
        <w:rPr>
          <w:sz w:val="18"/>
        </w:rPr>
        <w:t>le</w:t>
      </w:r>
      <w:r>
        <w:rPr>
          <w:spacing w:val="-6"/>
          <w:sz w:val="18"/>
        </w:rPr>
        <w:t> </w:t>
      </w:r>
      <w:r>
        <w:rPr>
          <w:sz w:val="18"/>
        </w:rPr>
        <w:t>cas</w:t>
      </w:r>
      <w:r>
        <w:rPr>
          <w:spacing w:val="-3"/>
          <w:sz w:val="18"/>
        </w:rPr>
        <w:t> </w:t>
      </w:r>
      <w:r>
        <w:rPr>
          <w:sz w:val="18"/>
        </w:rPr>
        <w:t>échéant</w:t>
      </w:r>
      <w:r>
        <w:rPr>
          <w:spacing w:val="-7"/>
          <w:sz w:val="18"/>
        </w:rPr>
        <w:t> </w:t>
      </w:r>
      <w:r>
        <w:rPr>
          <w:sz w:val="18"/>
        </w:rPr>
        <w:t>de</w:t>
      </w:r>
      <w:r>
        <w:rPr>
          <w:spacing w:val="-6"/>
          <w:sz w:val="18"/>
        </w:rPr>
        <w:t> </w:t>
      </w:r>
      <w:r>
        <w:rPr>
          <w:sz w:val="18"/>
        </w:rPr>
        <w:t>son</w:t>
      </w:r>
      <w:r>
        <w:rPr>
          <w:spacing w:val="-5"/>
          <w:sz w:val="18"/>
        </w:rPr>
        <w:t> </w:t>
      </w:r>
      <w:r>
        <w:rPr>
          <w:spacing w:val="-2"/>
          <w:sz w:val="18"/>
        </w:rPr>
        <w:t>conjoint,</w:t>
      </w:r>
    </w:p>
    <w:p>
      <w:pPr>
        <w:pStyle w:val="BodyText"/>
        <w:ind w:left="1559" w:right="703"/>
        <w:jc w:val="both"/>
      </w:pPr>
      <w:r>
        <w:rPr/>
        <w:t>ou d'une personne à sa charge au sens de l'article 39, lorsque le contribuable supporte lui-même ces frais et pour la part qui excède</w:t>
      </w:r>
      <w:r>
        <w:rPr>
          <w:spacing w:val="-1"/>
        </w:rPr>
        <w:t> </w:t>
      </w:r>
      <w:r>
        <w:rPr/>
        <w:t>5% de</w:t>
      </w:r>
      <w:r>
        <w:rPr>
          <w:spacing w:val="-1"/>
        </w:rPr>
        <w:t> </w:t>
      </w:r>
      <w:r>
        <w:rPr/>
        <w:t>son revenu net, calculé selon l'article</w:t>
      </w:r>
      <w:r>
        <w:rPr>
          <w:spacing w:val="-1"/>
        </w:rPr>
        <w:t> </w:t>
      </w:r>
      <w:r>
        <w:rPr/>
        <w:t>28,</w:t>
      </w:r>
      <w:r>
        <w:rPr>
          <w:spacing w:val="-2"/>
        </w:rPr>
        <w:t> </w:t>
      </w:r>
      <w:r>
        <w:rPr/>
        <w:t>mais sans les déductions mentionnées au présent article, lettres h et i ;</w:t>
      </w:r>
    </w:p>
    <w:p>
      <w:pPr>
        <w:pStyle w:val="BodyText"/>
        <w:spacing w:before="153"/>
      </w:pPr>
    </w:p>
    <w:p>
      <w:pPr>
        <w:pStyle w:val="Heading7"/>
        <w:jc w:val="both"/>
      </w:pPr>
      <w:r>
        <w:rPr>
          <w:color w:val="950000"/>
        </w:rPr>
        <w:t>Versements bénévoles (dons)</w:t>
      </w:r>
      <w:r>
        <w:rPr>
          <w:color w:val="950000"/>
          <w:spacing w:val="80"/>
        </w:rPr>
        <w:t> </w:t>
      </w:r>
      <w:r>
        <w:rPr>
          <w:color w:val="950000"/>
          <w:spacing w:val="1"/>
        </w:rPr>
        <w:drawing>
          <wp:inline distT="0" distB="0" distL="0" distR="0">
            <wp:extent cx="201269" cy="114876"/>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69" cy="114876"/>
                    </a:xfrm>
                    <a:prstGeom prst="rect">
                      <a:avLst/>
                    </a:prstGeom>
                  </pic:spPr>
                </pic:pic>
              </a:graphicData>
            </a:graphic>
          </wp:inline>
        </w:drawing>
      </w:r>
      <w:r>
        <w:rPr>
          <w:color w:val="950000"/>
          <w:spacing w:val="1"/>
        </w:rPr>
      </w:r>
    </w:p>
    <w:p>
      <w:pPr>
        <w:pStyle w:val="Heading8"/>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i</w:t>
      </w:r>
      <w:r>
        <w:rPr>
          <w:spacing w:val="-2"/>
        </w:rPr>
        <w:t> </w:t>
      </w:r>
      <w:r>
        <w:rPr>
          <w:spacing w:val="-4"/>
        </w:rPr>
        <w:t>LCdir</w:t>
      </w:r>
    </w:p>
    <w:p>
      <w:pPr>
        <w:pStyle w:val="BodyText"/>
        <w:spacing w:before="55"/>
        <w:ind w:left="1134"/>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7"/>
        </w:numPr>
        <w:tabs>
          <w:tab w:pos="1559" w:val="left" w:leader="none"/>
        </w:tabs>
        <w:spacing w:line="240" w:lineRule="auto" w:before="41" w:after="0"/>
        <w:ind w:left="1559" w:right="703" w:hanging="425"/>
        <w:jc w:val="both"/>
        <w:rPr>
          <w:sz w:val="18"/>
        </w:rPr>
      </w:pPr>
      <w:r>
        <w:rPr>
          <w:sz w:val="18"/>
        </w:rPr>
        <w:t>les</w:t>
      </w:r>
      <w:r>
        <w:rPr>
          <w:spacing w:val="-6"/>
          <w:sz w:val="18"/>
        </w:rPr>
        <w:t> </w:t>
      </w:r>
      <w:r>
        <w:rPr>
          <w:sz w:val="18"/>
        </w:rPr>
        <w:t>dons</w:t>
      </w:r>
      <w:r>
        <w:rPr>
          <w:spacing w:val="-8"/>
          <w:sz w:val="18"/>
        </w:rPr>
        <w:t> </w:t>
      </w:r>
      <w:r>
        <w:rPr>
          <w:sz w:val="18"/>
        </w:rPr>
        <w:t>en</w:t>
      </w:r>
      <w:r>
        <w:rPr>
          <w:spacing w:val="-6"/>
          <w:sz w:val="18"/>
        </w:rPr>
        <w:t> </w:t>
      </w:r>
      <w:r>
        <w:rPr>
          <w:sz w:val="18"/>
        </w:rPr>
        <w:t>espèces</w:t>
      </w:r>
      <w:r>
        <w:rPr>
          <w:spacing w:val="-8"/>
          <w:sz w:val="18"/>
        </w:rPr>
        <w:t> </w:t>
      </w:r>
      <w:r>
        <w:rPr>
          <w:sz w:val="18"/>
        </w:rPr>
        <w:t>et</w:t>
      </w:r>
      <w:r>
        <w:rPr>
          <w:spacing w:val="-7"/>
          <w:sz w:val="18"/>
        </w:rPr>
        <w:t> </w:t>
      </w:r>
      <w:r>
        <w:rPr>
          <w:sz w:val="18"/>
        </w:rPr>
        <w:t>sous</w:t>
      </w:r>
      <w:r>
        <w:rPr>
          <w:spacing w:val="-6"/>
          <w:sz w:val="18"/>
        </w:rPr>
        <w:t> </w:t>
      </w:r>
      <w:r>
        <w:rPr>
          <w:sz w:val="18"/>
        </w:rPr>
        <w:t>forme</w:t>
      </w:r>
      <w:r>
        <w:rPr>
          <w:spacing w:val="-6"/>
          <w:sz w:val="18"/>
        </w:rPr>
        <w:t> </w:t>
      </w:r>
      <w:r>
        <w:rPr>
          <w:sz w:val="18"/>
        </w:rPr>
        <w:t>d’autres</w:t>
      </w:r>
      <w:r>
        <w:rPr>
          <w:spacing w:val="-6"/>
          <w:sz w:val="18"/>
        </w:rPr>
        <w:t> </w:t>
      </w:r>
      <w:r>
        <w:rPr>
          <w:sz w:val="18"/>
        </w:rPr>
        <w:t>valeurs</w:t>
      </w:r>
      <w:r>
        <w:rPr>
          <w:spacing w:val="-6"/>
          <w:sz w:val="18"/>
        </w:rPr>
        <w:t> </w:t>
      </w:r>
      <w:r>
        <w:rPr>
          <w:sz w:val="18"/>
        </w:rPr>
        <w:t>patrimoniales</w:t>
      </w:r>
      <w:r>
        <w:rPr>
          <w:spacing w:val="-8"/>
          <w:sz w:val="18"/>
        </w:rPr>
        <w:t> </w:t>
      </w:r>
      <w:r>
        <w:rPr>
          <w:sz w:val="18"/>
        </w:rPr>
        <w:t>en</w:t>
      </w:r>
      <w:r>
        <w:rPr>
          <w:spacing w:val="-6"/>
          <w:sz w:val="18"/>
        </w:rPr>
        <w:t> </w:t>
      </w:r>
      <w:r>
        <w:rPr>
          <w:sz w:val="18"/>
        </w:rPr>
        <w:t>faveur</w:t>
      </w:r>
      <w:r>
        <w:rPr>
          <w:spacing w:val="-9"/>
          <w:sz w:val="18"/>
        </w:rPr>
        <w:t> </w:t>
      </w:r>
      <w:r>
        <w:rPr>
          <w:sz w:val="18"/>
        </w:rPr>
        <w:t>de</w:t>
      </w:r>
      <w:r>
        <w:rPr>
          <w:spacing w:val="-6"/>
          <w:sz w:val="18"/>
        </w:rPr>
        <w:t> </w:t>
      </w:r>
      <w:r>
        <w:rPr>
          <w:sz w:val="18"/>
        </w:rPr>
        <w:t>personnes</w:t>
      </w:r>
      <w:r>
        <w:rPr>
          <w:spacing w:val="-6"/>
          <w:sz w:val="18"/>
        </w:rPr>
        <w:t> </w:t>
      </w:r>
      <w:r>
        <w:rPr>
          <w:sz w:val="18"/>
        </w:rPr>
        <w:t>morales qui ont</w:t>
      </w:r>
      <w:r>
        <w:rPr>
          <w:spacing w:val="-1"/>
          <w:sz w:val="18"/>
        </w:rPr>
        <w:t> </w:t>
      </w:r>
      <w:r>
        <w:rPr>
          <w:sz w:val="18"/>
        </w:rPr>
        <w:t>leur</w:t>
      </w:r>
      <w:r>
        <w:rPr>
          <w:spacing w:val="-1"/>
          <w:sz w:val="18"/>
        </w:rPr>
        <w:t> </w:t>
      </w:r>
      <w:r>
        <w:rPr>
          <w:sz w:val="18"/>
        </w:rPr>
        <w:t>siège en Suisse et</w:t>
      </w:r>
      <w:r>
        <w:rPr>
          <w:spacing w:val="-3"/>
          <w:sz w:val="18"/>
        </w:rPr>
        <w:t> </w:t>
      </w:r>
      <w:r>
        <w:rPr>
          <w:sz w:val="18"/>
        </w:rPr>
        <w:t>sont</w:t>
      </w:r>
      <w:r>
        <w:rPr>
          <w:spacing w:val="-1"/>
          <w:sz w:val="18"/>
        </w:rPr>
        <w:t> </w:t>
      </w:r>
      <w:r>
        <w:rPr>
          <w:sz w:val="18"/>
        </w:rPr>
        <w:t>exonérées de l’impôt</w:t>
      </w:r>
      <w:r>
        <w:rPr>
          <w:spacing w:val="-1"/>
          <w:sz w:val="18"/>
        </w:rPr>
        <w:t> </w:t>
      </w:r>
      <w:r>
        <w:rPr>
          <w:sz w:val="18"/>
        </w:rPr>
        <w:t>en raison de leurs buts de service</w:t>
      </w:r>
      <w:r>
        <w:rPr>
          <w:spacing w:val="-3"/>
          <w:sz w:val="18"/>
        </w:rPr>
        <w:t> </w:t>
      </w:r>
      <w:r>
        <w:rPr>
          <w:sz w:val="18"/>
        </w:rPr>
        <w:t>public ou d’utilité publique (art. 81, al. 1, let. </w:t>
      </w:r>
      <w:r>
        <w:rPr>
          <w:rFonts w:ascii="Arial" w:hAnsi="Arial"/>
          <w:i/>
          <w:sz w:val="18"/>
        </w:rPr>
        <w:t>f</w:t>
      </w:r>
      <w:r>
        <w:rPr>
          <w:sz w:val="18"/>
        </w:rPr>
        <w:t>), ou en faveur de</w:t>
      </w:r>
      <w:r>
        <w:rPr>
          <w:spacing w:val="-1"/>
          <w:sz w:val="18"/>
        </w:rPr>
        <w:t> </w:t>
      </w:r>
      <w:r>
        <w:rPr>
          <w:sz w:val="18"/>
        </w:rPr>
        <w:t>la Confédération, des cantons, des com-munes et de leurs établissements (art. 81, al. 1, let. </w:t>
      </w:r>
      <w:r>
        <w:rPr>
          <w:rFonts w:ascii="Arial" w:hAnsi="Arial"/>
          <w:i/>
          <w:sz w:val="18"/>
        </w:rPr>
        <w:t>a </w:t>
      </w:r>
      <w:r>
        <w:rPr>
          <w:sz w:val="18"/>
        </w:rPr>
        <w:t>à </w:t>
      </w:r>
      <w:r>
        <w:rPr>
          <w:rFonts w:ascii="Arial" w:hAnsi="Arial"/>
          <w:i/>
          <w:sz w:val="18"/>
        </w:rPr>
        <w:t>c</w:t>
      </w:r>
      <w:r>
        <w:rPr>
          <w:sz w:val="18"/>
        </w:rPr>
        <w:t>), jusqu’à concurrence de 5% du revenu net</w:t>
      </w:r>
      <w:r>
        <w:rPr>
          <w:spacing w:val="-7"/>
          <w:sz w:val="18"/>
        </w:rPr>
        <w:t> </w:t>
      </w:r>
      <w:r>
        <w:rPr>
          <w:sz w:val="18"/>
        </w:rPr>
        <w:t>calculé</w:t>
      </w:r>
      <w:r>
        <w:rPr>
          <w:spacing w:val="-9"/>
          <w:sz w:val="18"/>
        </w:rPr>
        <w:t> </w:t>
      </w:r>
      <w:r>
        <w:rPr>
          <w:sz w:val="18"/>
        </w:rPr>
        <w:t>selon</w:t>
      </w:r>
      <w:r>
        <w:rPr>
          <w:spacing w:val="-9"/>
          <w:sz w:val="18"/>
        </w:rPr>
        <w:t> </w:t>
      </w:r>
      <w:r>
        <w:rPr>
          <w:sz w:val="18"/>
        </w:rPr>
        <w:t>l'article</w:t>
      </w:r>
      <w:r>
        <w:rPr>
          <w:spacing w:val="-6"/>
          <w:sz w:val="18"/>
        </w:rPr>
        <w:t> </w:t>
      </w:r>
      <w:r>
        <w:rPr>
          <w:sz w:val="18"/>
        </w:rPr>
        <w:t>28,</w:t>
      </w:r>
      <w:r>
        <w:rPr>
          <w:spacing w:val="-7"/>
          <w:sz w:val="18"/>
        </w:rPr>
        <w:t> </w:t>
      </w:r>
      <w:r>
        <w:rPr>
          <w:sz w:val="18"/>
        </w:rPr>
        <w:t>mais</w:t>
      </w:r>
      <w:r>
        <w:rPr>
          <w:spacing w:val="-8"/>
          <w:sz w:val="18"/>
        </w:rPr>
        <w:t> </w:t>
      </w:r>
      <w:r>
        <w:rPr>
          <w:sz w:val="18"/>
        </w:rPr>
        <w:t>sans</w:t>
      </w:r>
      <w:r>
        <w:rPr>
          <w:spacing w:val="-6"/>
          <w:sz w:val="18"/>
        </w:rPr>
        <w:t> </w:t>
      </w:r>
      <w:r>
        <w:rPr>
          <w:sz w:val="18"/>
        </w:rPr>
        <w:t>la</w:t>
      </w:r>
      <w:r>
        <w:rPr>
          <w:spacing w:val="-6"/>
          <w:sz w:val="18"/>
        </w:rPr>
        <w:t> </w:t>
      </w:r>
      <w:r>
        <w:rPr>
          <w:sz w:val="18"/>
        </w:rPr>
        <w:t>déduction</w:t>
      </w:r>
      <w:r>
        <w:rPr>
          <w:spacing w:val="-6"/>
          <w:sz w:val="18"/>
        </w:rPr>
        <w:t> </w:t>
      </w:r>
      <w:r>
        <w:rPr>
          <w:sz w:val="18"/>
        </w:rPr>
        <w:t>mentionnée</w:t>
      </w:r>
      <w:r>
        <w:rPr>
          <w:spacing w:val="-6"/>
          <w:sz w:val="18"/>
        </w:rPr>
        <w:t> </w:t>
      </w:r>
      <w:r>
        <w:rPr>
          <w:sz w:val="18"/>
        </w:rPr>
        <w:t>au</w:t>
      </w:r>
      <w:r>
        <w:rPr>
          <w:spacing w:val="-9"/>
          <w:sz w:val="18"/>
        </w:rPr>
        <w:t> </w:t>
      </w:r>
      <w:r>
        <w:rPr>
          <w:sz w:val="18"/>
        </w:rPr>
        <w:t>présent</w:t>
      </w:r>
      <w:r>
        <w:rPr>
          <w:spacing w:val="-9"/>
          <w:sz w:val="18"/>
        </w:rPr>
        <w:t> </w:t>
      </w:r>
      <w:r>
        <w:rPr>
          <w:sz w:val="18"/>
        </w:rPr>
        <w:t>alinéa,</w:t>
      </w:r>
      <w:r>
        <w:rPr>
          <w:spacing w:val="-7"/>
          <w:sz w:val="18"/>
        </w:rPr>
        <w:t> </w:t>
      </w:r>
      <w:r>
        <w:rPr>
          <w:sz w:val="18"/>
        </w:rPr>
        <w:t>à</w:t>
      </w:r>
      <w:r>
        <w:rPr>
          <w:spacing w:val="-9"/>
          <w:sz w:val="18"/>
        </w:rPr>
        <w:t> </w:t>
      </w:r>
      <w:r>
        <w:rPr>
          <w:sz w:val="18"/>
        </w:rPr>
        <w:t>condition</w:t>
      </w:r>
      <w:r>
        <w:rPr>
          <w:spacing w:val="-6"/>
          <w:sz w:val="18"/>
        </w:rPr>
        <w:t> </w:t>
      </w:r>
      <w:r>
        <w:rPr>
          <w:sz w:val="18"/>
        </w:rPr>
        <w:t>que ces dons s’élèvent au moins à 100 francs par année fiscale ;</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rPr>
          <w:sz w:val="20"/>
        </w:rPr>
      </w:pPr>
    </w:p>
    <w:p>
      <w:pPr>
        <w:pStyle w:val="Heading7"/>
      </w:pPr>
      <w:r>
        <w:rPr>
          <w:color w:val="950000"/>
        </w:rPr>
        <w:t>Versements aux partis politiques</w:t>
      </w:r>
      <w:r>
        <w:rPr>
          <w:color w:val="950000"/>
          <w:spacing w:val="80"/>
        </w:rPr>
        <w:t> </w:t>
      </w:r>
      <w:r>
        <w:rPr>
          <w:color w:val="950000"/>
          <w:spacing w:val="1"/>
        </w:rPr>
        <w:drawing>
          <wp:inline distT="0" distB="0" distL="0" distR="0">
            <wp:extent cx="201269" cy="114902"/>
            <wp:effectExtent l="0" t="0" r="0" b="0"/>
            <wp:docPr id="41" name="Image 41" descr="">
              <a:hlinkClick r:id="rId53"/>
            </wp:docPr>
            <wp:cNvGraphicFramePr>
              <a:graphicFrameLocks/>
            </wp:cNvGraphicFramePr>
            <a:graphic>
              <a:graphicData uri="http://schemas.openxmlformats.org/drawingml/2006/picture">
                <pic:pic>
                  <pic:nvPicPr>
                    <pic:cNvPr id="41" name="Image 41" descr="">
                      <a:hlinkClick r:id="rId53"/>
                    </pic:cNvPr>
                    <pic:cNvPicPr/>
                  </pic:nvPicPr>
                  <pic:blipFill>
                    <a:blip r:embed="rId11" cstate="print"/>
                    <a:stretch>
                      <a:fillRect/>
                    </a:stretch>
                  </pic:blipFill>
                  <pic:spPr>
                    <a:xfrm>
                      <a:off x="0" y="0"/>
                      <a:ext cx="201269" cy="114902"/>
                    </a:xfrm>
                    <a:prstGeom prst="rect">
                      <a:avLst/>
                    </a:prstGeom>
                  </pic:spPr>
                </pic:pic>
              </a:graphicData>
            </a:graphic>
          </wp:inline>
        </w:drawing>
      </w:r>
      <w:r>
        <w:rPr>
          <w:color w:val="950000"/>
          <w:spacing w:val="1"/>
        </w:rPr>
      </w:r>
    </w:p>
    <w:p>
      <w:pPr>
        <w:pStyle w:val="Heading8"/>
        <w:spacing w:before="94"/>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j</w:t>
      </w:r>
      <w:r>
        <w:rPr>
          <w:spacing w:val="-2"/>
        </w:rPr>
        <w:t> </w:t>
      </w:r>
      <w:r>
        <w:rPr>
          <w:spacing w:val="-4"/>
        </w:rPr>
        <w:t>LCdir</w:t>
      </w:r>
    </w:p>
    <w:p>
      <w:pPr>
        <w:pStyle w:val="BodyText"/>
        <w:spacing w:before="55"/>
        <w:ind w:left="1134"/>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7"/>
        </w:numPr>
        <w:tabs>
          <w:tab w:pos="1559" w:val="left" w:leader="none"/>
        </w:tabs>
        <w:spacing w:line="240" w:lineRule="auto" w:before="40" w:after="0"/>
        <w:ind w:left="1559" w:right="701" w:hanging="425"/>
        <w:jc w:val="left"/>
        <w:rPr>
          <w:sz w:val="18"/>
        </w:rPr>
      </w:pPr>
      <w:r>
        <w:rPr>
          <w:sz w:val="18"/>
        </w:rPr>
        <w:t>les cotisations et les</w:t>
      </w:r>
      <w:r>
        <w:rPr>
          <w:spacing w:val="-1"/>
          <w:sz w:val="18"/>
        </w:rPr>
        <w:t> </w:t>
      </w:r>
      <w:r>
        <w:rPr>
          <w:sz w:val="18"/>
        </w:rPr>
        <w:t>versements à concurrence d'un montant de 5.200 francs en faveur d'un parti politique, à l'une des conditions suivantes :</w:t>
      </w:r>
    </w:p>
    <w:p>
      <w:pPr>
        <w:pStyle w:val="ListParagraph"/>
        <w:numPr>
          <w:ilvl w:val="1"/>
          <w:numId w:val="7"/>
        </w:numPr>
        <w:tabs>
          <w:tab w:pos="1843" w:val="left" w:leader="none"/>
          <w:tab w:pos="1845" w:val="left" w:leader="none"/>
        </w:tabs>
        <w:spacing w:line="240" w:lineRule="auto" w:before="40" w:after="0"/>
        <w:ind w:left="1845" w:right="704" w:hanging="286"/>
        <w:jc w:val="left"/>
        <w:rPr>
          <w:sz w:val="18"/>
        </w:rPr>
      </w:pPr>
      <w:r>
        <w:rPr>
          <w:sz w:val="18"/>
        </w:rPr>
        <w:t>être inscrit au registre des partis conformément à l'article 76a de la loi fédérale sur les droits politiques (LDP), du 17 décembre 1976 ;</w:t>
      </w:r>
    </w:p>
    <w:p>
      <w:pPr>
        <w:pStyle w:val="ListParagraph"/>
        <w:numPr>
          <w:ilvl w:val="1"/>
          <w:numId w:val="7"/>
        </w:numPr>
        <w:tabs>
          <w:tab w:pos="1843" w:val="left" w:leader="none"/>
        </w:tabs>
        <w:spacing w:line="240" w:lineRule="auto" w:before="40" w:after="0"/>
        <w:ind w:left="1843" w:right="0" w:hanging="284"/>
        <w:jc w:val="left"/>
        <w:rPr>
          <w:sz w:val="18"/>
        </w:rPr>
      </w:pPr>
      <w:r>
        <w:rPr>
          <w:sz w:val="18"/>
        </w:rPr>
        <w:t>être</w:t>
      </w:r>
      <w:r>
        <w:rPr>
          <w:spacing w:val="-3"/>
          <w:sz w:val="18"/>
        </w:rPr>
        <w:t> </w:t>
      </w:r>
      <w:r>
        <w:rPr>
          <w:sz w:val="18"/>
        </w:rPr>
        <w:t>représenté</w:t>
      </w:r>
      <w:r>
        <w:rPr>
          <w:spacing w:val="-5"/>
          <w:sz w:val="18"/>
        </w:rPr>
        <w:t> </w:t>
      </w:r>
      <w:r>
        <w:rPr>
          <w:sz w:val="18"/>
        </w:rPr>
        <w:t>dans</w:t>
      </w:r>
      <w:r>
        <w:rPr>
          <w:spacing w:val="-2"/>
          <w:sz w:val="18"/>
        </w:rPr>
        <w:t> </w:t>
      </w:r>
      <w:r>
        <w:rPr>
          <w:sz w:val="18"/>
        </w:rPr>
        <w:t>un</w:t>
      </w:r>
      <w:r>
        <w:rPr>
          <w:spacing w:val="-2"/>
          <w:sz w:val="18"/>
        </w:rPr>
        <w:t> </w:t>
      </w:r>
      <w:r>
        <w:rPr>
          <w:sz w:val="18"/>
        </w:rPr>
        <w:t>Parlement</w:t>
      </w:r>
      <w:r>
        <w:rPr>
          <w:spacing w:val="-5"/>
          <w:sz w:val="18"/>
        </w:rPr>
        <w:t> </w:t>
      </w:r>
      <w:r>
        <w:rPr>
          <w:sz w:val="18"/>
        </w:rPr>
        <w:t>cantonal</w:t>
      </w:r>
      <w:r>
        <w:rPr>
          <w:spacing w:val="-2"/>
          <w:sz w:val="18"/>
        </w:rPr>
        <w:t> </w:t>
      </w:r>
      <w:r>
        <w:rPr>
          <w:spacing w:val="-10"/>
          <w:sz w:val="18"/>
        </w:rPr>
        <w:t>;</w:t>
      </w:r>
    </w:p>
    <w:p>
      <w:pPr>
        <w:pStyle w:val="ListParagraph"/>
        <w:numPr>
          <w:ilvl w:val="1"/>
          <w:numId w:val="7"/>
        </w:numPr>
        <w:tabs>
          <w:tab w:pos="1843" w:val="left" w:leader="none"/>
        </w:tabs>
        <w:spacing w:line="240" w:lineRule="auto" w:before="40" w:after="0"/>
        <w:ind w:left="1843" w:right="0" w:hanging="284"/>
        <w:jc w:val="left"/>
        <w:rPr>
          <w:sz w:val="18"/>
        </w:rPr>
      </w:pPr>
      <w:r>
        <w:rPr>
          <w:sz w:val="18"/>
        </w:rPr>
        <w:t>avoir</w:t>
      </w:r>
      <w:r>
        <w:rPr>
          <w:spacing w:val="-6"/>
          <w:sz w:val="18"/>
        </w:rPr>
        <w:t> </w:t>
      </w:r>
      <w:r>
        <w:rPr>
          <w:sz w:val="18"/>
        </w:rPr>
        <w:t>obtenu</w:t>
      </w:r>
      <w:r>
        <w:rPr>
          <w:spacing w:val="-4"/>
          <w:sz w:val="18"/>
        </w:rPr>
        <w:t> </w:t>
      </w:r>
      <w:r>
        <w:rPr>
          <w:sz w:val="18"/>
        </w:rPr>
        <w:t>au</w:t>
      </w:r>
      <w:r>
        <w:rPr>
          <w:spacing w:val="-4"/>
          <w:sz w:val="18"/>
        </w:rPr>
        <w:t> </w:t>
      </w:r>
      <w:r>
        <w:rPr>
          <w:sz w:val="18"/>
        </w:rPr>
        <w:t>moins</w:t>
      </w:r>
      <w:r>
        <w:rPr>
          <w:spacing w:val="-1"/>
          <w:sz w:val="18"/>
        </w:rPr>
        <w:t> </w:t>
      </w:r>
      <w:r>
        <w:rPr>
          <w:sz w:val="18"/>
        </w:rPr>
        <w:t>3</w:t>
      </w:r>
      <w:r>
        <w:rPr>
          <w:spacing w:val="-4"/>
          <w:sz w:val="18"/>
        </w:rPr>
        <w:t> </w:t>
      </w:r>
      <w:r>
        <w:rPr>
          <w:sz w:val="18"/>
        </w:rPr>
        <w:t>%</w:t>
      </w:r>
      <w:r>
        <w:rPr>
          <w:spacing w:val="-1"/>
          <w:sz w:val="18"/>
        </w:rPr>
        <w:t> </w:t>
      </w:r>
      <w:r>
        <w:rPr>
          <w:sz w:val="18"/>
        </w:rPr>
        <w:t>des</w:t>
      </w:r>
      <w:r>
        <w:rPr>
          <w:spacing w:val="-1"/>
          <w:sz w:val="18"/>
        </w:rPr>
        <w:t> </w:t>
      </w:r>
      <w:r>
        <w:rPr>
          <w:sz w:val="18"/>
        </w:rPr>
        <w:t>voix</w:t>
      </w:r>
      <w:r>
        <w:rPr>
          <w:spacing w:val="-3"/>
          <w:sz w:val="18"/>
        </w:rPr>
        <w:t> </w:t>
      </w:r>
      <w:r>
        <w:rPr>
          <w:sz w:val="18"/>
        </w:rPr>
        <w:t>lors</w:t>
      </w:r>
      <w:r>
        <w:rPr>
          <w:spacing w:val="-1"/>
          <w:sz w:val="18"/>
        </w:rPr>
        <w:t> </w:t>
      </w:r>
      <w:r>
        <w:rPr>
          <w:sz w:val="18"/>
        </w:rPr>
        <w:t>des</w:t>
      </w:r>
      <w:r>
        <w:rPr>
          <w:spacing w:val="-2"/>
          <w:sz w:val="18"/>
        </w:rPr>
        <w:t> </w:t>
      </w:r>
      <w:r>
        <w:rPr>
          <w:sz w:val="18"/>
        </w:rPr>
        <w:t>dernières</w:t>
      </w:r>
      <w:r>
        <w:rPr>
          <w:spacing w:val="-3"/>
          <w:sz w:val="18"/>
        </w:rPr>
        <w:t> </w:t>
      </w:r>
      <w:r>
        <w:rPr>
          <w:sz w:val="18"/>
        </w:rPr>
        <w:t>élections</w:t>
      </w:r>
      <w:r>
        <w:rPr>
          <w:spacing w:val="-2"/>
          <w:sz w:val="18"/>
        </w:rPr>
        <w:t> </w:t>
      </w:r>
      <w:r>
        <w:rPr>
          <w:sz w:val="18"/>
        </w:rPr>
        <w:t>au</w:t>
      </w:r>
      <w:r>
        <w:rPr>
          <w:spacing w:val="-2"/>
          <w:sz w:val="18"/>
        </w:rPr>
        <w:t> </w:t>
      </w:r>
      <w:r>
        <w:rPr>
          <w:sz w:val="18"/>
        </w:rPr>
        <w:t>Parlement</w:t>
      </w:r>
      <w:r>
        <w:rPr>
          <w:spacing w:val="-3"/>
          <w:sz w:val="18"/>
        </w:rPr>
        <w:t> </w:t>
      </w:r>
      <w:r>
        <w:rPr>
          <w:sz w:val="18"/>
        </w:rPr>
        <w:t>d'un</w:t>
      </w:r>
      <w:r>
        <w:rPr>
          <w:spacing w:val="-2"/>
          <w:sz w:val="18"/>
        </w:rPr>
        <w:t> </w:t>
      </w:r>
      <w:r>
        <w:rPr>
          <w:sz w:val="18"/>
        </w:rPr>
        <w:t>canton</w:t>
      </w:r>
      <w:r>
        <w:rPr>
          <w:spacing w:val="-3"/>
          <w:sz w:val="18"/>
        </w:rPr>
        <w:t> </w:t>
      </w:r>
      <w:r>
        <w:rPr>
          <w:spacing w:val="-10"/>
          <w:sz w:val="18"/>
        </w:rPr>
        <w:t>;</w:t>
      </w:r>
    </w:p>
    <w:p>
      <w:pPr>
        <w:pStyle w:val="BodyText"/>
        <w:spacing w:before="153"/>
      </w:pPr>
    </w:p>
    <w:p>
      <w:pPr>
        <w:pStyle w:val="Heading7"/>
      </w:pPr>
      <w:r>
        <w:rPr>
          <w:color w:val="950000"/>
        </w:rPr>
        <w:t>Frais de formation et perfectionnement dans la profession</w:t>
      </w:r>
      <w:r>
        <w:rPr>
          <w:color w:val="950000"/>
          <w:spacing w:val="80"/>
        </w:rPr>
        <w:t> </w:t>
      </w:r>
      <w:r>
        <w:rPr>
          <w:color w:val="950000"/>
          <w:spacing w:val="1"/>
        </w:rPr>
        <w:drawing>
          <wp:inline distT="0" distB="0" distL="0" distR="0">
            <wp:extent cx="201281" cy="114878"/>
            <wp:effectExtent l="0" t="0" r="0" b="0"/>
            <wp:docPr id="42" name="Image 42" descr="">
              <a:hlinkClick r:id="rId54"/>
            </wp:docPr>
            <wp:cNvGraphicFramePr>
              <a:graphicFrameLocks/>
            </wp:cNvGraphicFramePr>
            <a:graphic>
              <a:graphicData uri="http://schemas.openxmlformats.org/drawingml/2006/picture">
                <pic:pic>
                  <pic:nvPicPr>
                    <pic:cNvPr id="42" name="Image 42" descr="">
                      <a:hlinkClick r:id="rId54"/>
                    </pic:cNvPr>
                    <pic:cNvPicPr/>
                  </pic:nvPicPr>
                  <pic:blipFill>
                    <a:blip r:embed="rId11" cstate="print"/>
                    <a:stretch>
                      <a:fillRect/>
                    </a:stretch>
                  </pic:blipFill>
                  <pic:spPr>
                    <a:xfrm>
                      <a:off x="0" y="0"/>
                      <a:ext cx="201281" cy="114878"/>
                    </a:xfrm>
                    <a:prstGeom prst="rect">
                      <a:avLst/>
                    </a:prstGeom>
                  </pic:spPr>
                </pic:pic>
              </a:graphicData>
            </a:graphic>
          </wp:inline>
        </w:drawing>
      </w:r>
      <w:r>
        <w:rPr>
          <w:color w:val="950000"/>
          <w:spacing w:val="1"/>
        </w:rPr>
      </w:r>
    </w:p>
    <w:p>
      <w:pPr>
        <w:pStyle w:val="Heading8"/>
        <w:spacing w:before="93"/>
      </w:pPr>
      <w:r>
        <w:rPr/>
        <w:t>Art.</w:t>
      </w:r>
      <w:r>
        <w:rPr>
          <w:spacing w:val="-3"/>
        </w:rPr>
        <w:t> </w:t>
      </w:r>
      <w:r>
        <w:rPr/>
        <w:t>36,</w:t>
      </w:r>
      <w:r>
        <w:rPr>
          <w:spacing w:val="-1"/>
        </w:rPr>
        <w:t> </w:t>
      </w:r>
      <w:r>
        <w:rPr/>
        <w:t>al.</w:t>
      </w:r>
      <w:r>
        <w:rPr>
          <w:spacing w:val="-2"/>
        </w:rPr>
        <w:t> </w:t>
      </w:r>
      <w:r>
        <w:rPr/>
        <w:t>1,</w:t>
      </w:r>
      <w:r>
        <w:rPr>
          <w:spacing w:val="-1"/>
        </w:rPr>
        <w:t> </w:t>
      </w:r>
      <w:r>
        <w:rPr/>
        <w:t>let.</w:t>
      </w:r>
      <w:r>
        <w:rPr>
          <w:spacing w:val="-1"/>
        </w:rPr>
        <w:t> </w:t>
      </w:r>
      <w:r>
        <w:rPr/>
        <w:t>k</w:t>
      </w:r>
      <w:r>
        <w:rPr>
          <w:spacing w:val="-2"/>
        </w:rPr>
        <w:t> </w:t>
      </w:r>
      <w:r>
        <w:rPr>
          <w:spacing w:val="-4"/>
        </w:rPr>
        <w:t>LCdir</w:t>
      </w:r>
    </w:p>
    <w:p>
      <w:pPr>
        <w:pStyle w:val="BodyText"/>
        <w:spacing w:before="56"/>
        <w:ind w:left="1134"/>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7"/>
        </w:numPr>
        <w:tabs>
          <w:tab w:pos="1559" w:val="left" w:leader="none"/>
        </w:tabs>
        <w:spacing w:line="240" w:lineRule="auto" w:before="40" w:after="0"/>
        <w:ind w:left="1559" w:right="703" w:hanging="425"/>
        <w:jc w:val="both"/>
        <w:rPr>
          <w:sz w:val="18"/>
        </w:rPr>
      </w:pPr>
      <w:r>
        <w:rPr>
          <w:sz w:val="18"/>
        </w:rPr>
        <w:t>les frais de formation et de perfectionnement à des fins professionnelles, frais de reconversion compris,</w:t>
      </w:r>
      <w:r>
        <w:rPr>
          <w:spacing w:val="-7"/>
          <w:sz w:val="18"/>
        </w:rPr>
        <w:t> </w:t>
      </w:r>
      <w:r>
        <w:rPr>
          <w:sz w:val="18"/>
        </w:rPr>
        <w:t>jusqu'à</w:t>
      </w:r>
      <w:r>
        <w:rPr>
          <w:spacing w:val="-6"/>
          <w:sz w:val="18"/>
        </w:rPr>
        <w:t> </w:t>
      </w:r>
      <w:r>
        <w:rPr>
          <w:sz w:val="18"/>
        </w:rPr>
        <w:t>concurrence</w:t>
      </w:r>
      <w:r>
        <w:rPr>
          <w:spacing w:val="-9"/>
          <w:sz w:val="18"/>
        </w:rPr>
        <w:t> </w:t>
      </w:r>
      <w:r>
        <w:rPr>
          <w:sz w:val="18"/>
        </w:rPr>
        <w:t>de</w:t>
      </w:r>
      <w:r>
        <w:rPr>
          <w:spacing w:val="-6"/>
          <w:sz w:val="18"/>
        </w:rPr>
        <w:t> </w:t>
      </w:r>
      <w:r>
        <w:rPr>
          <w:sz w:val="18"/>
        </w:rPr>
        <w:t>12.400</w:t>
      </w:r>
      <w:r>
        <w:rPr>
          <w:spacing w:val="-6"/>
          <w:sz w:val="18"/>
        </w:rPr>
        <w:t> </w:t>
      </w:r>
      <w:r>
        <w:rPr>
          <w:sz w:val="18"/>
        </w:rPr>
        <w:t>francs</w:t>
      </w:r>
      <w:r>
        <w:rPr>
          <w:spacing w:val="-6"/>
          <w:sz w:val="18"/>
        </w:rPr>
        <w:t> </w:t>
      </w:r>
      <w:r>
        <w:rPr>
          <w:sz w:val="18"/>
        </w:rPr>
        <w:t>pour</w:t>
      </w:r>
      <w:r>
        <w:rPr>
          <w:spacing w:val="-7"/>
          <w:sz w:val="18"/>
        </w:rPr>
        <w:t> </w:t>
      </w:r>
      <w:r>
        <w:rPr>
          <w:sz w:val="18"/>
        </w:rPr>
        <w:t>autant</w:t>
      </w:r>
      <w:r>
        <w:rPr>
          <w:spacing w:val="-7"/>
          <w:sz w:val="18"/>
        </w:rPr>
        <w:t> </w:t>
      </w:r>
      <w:r>
        <w:rPr>
          <w:sz w:val="18"/>
        </w:rPr>
        <w:t>que</w:t>
      </w:r>
      <w:r>
        <w:rPr>
          <w:spacing w:val="-6"/>
          <w:sz w:val="18"/>
        </w:rPr>
        <w:t> </w:t>
      </w:r>
      <w:r>
        <w:rPr>
          <w:sz w:val="18"/>
        </w:rPr>
        <w:t>le</w:t>
      </w:r>
      <w:r>
        <w:rPr>
          <w:spacing w:val="-6"/>
          <w:sz w:val="18"/>
        </w:rPr>
        <w:t> </w:t>
      </w:r>
      <w:r>
        <w:rPr>
          <w:sz w:val="18"/>
        </w:rPr>
        <w:t>contribuable</w:t>
      </w:r>
      <w:r>
        <w:rPr>
          <w:spacing w:val="-6"/>
          <w:sz w:val="18"/>
        </w:rPr>
        <w:t> </w:t>
      </w:r>
      <w:r>
        <w:rPr>
          <w:sz w:val="18"/>
        </w:rPr>
        <w:t>remplisse</w:t>
      </w:r>
      <w:r>
        <w:rPr>
          <w:spacing w:val="-6"/>
          <w:sz w:val="18"/>
        </w:rPr>
        <w:t> </w:t>
      </w:r>
      <w:r>
        <w:rPr>
          <w:sz w:val="18"/>
        </w:rPr>
        <w:t>l'une</w:t>
      </w:r>
      <w:r>
        <w:rPr>
          <w:spacing w:val="-6"/>
          <w:sz w:val="18"/>
        </w:rPr>
        <w:t> </w:t>
      </w:r>
      <w:r>
        <w:rPr>
          <w:sz w:val="18"/>
        </w:rPr>
        <w:t>des conditions suivantes :</w:t>
      </w:r>
    </w:p>
    <w:p>
      <w:pPr>
        <w:pStyle w:val="ListParagraph"/>
        <w:numPr>
          <w:ilvl w:val="1"/>
          <w:numId w:val="7"/>
        </w:numPr>
        <w:tabs>
          <w:tab w:pos="1843" w:val="left" w:leader="none"/>
        </w:tabs>
        <w:spacing w:line="240" w:lineRule="auto" w:before="39" w:after="0"/>
        <w:ind w:left="1843" w:right="0" w:hanging="284"/>
        <w:jc w:val="both"/>
        <w:rPr>
          <w:sz w:val="18"/>
        </w:rPr>
      </w:pPr>
      <w:r>
        <w:rPr>
          <w:sz w:val="18"/>
        </w:rPr>
        <w:t>il</w:t>
      </w:r>
      <w:r>
        <w:rPr>
          <w:spacing w:val="-1"/>
          <w:sz w:val="18"/>
        </w:rPr>
        <w:t> </w:t>
      </w:r>
      <w:r>
        <w:rPr>
          <w:sz w:val="18"/>
        </w:rPr>
        <w:t>est</w:t>
      </w:r>
      <w:r>
        <w:rPr>
          <w:spacing w:val="-2"/>
          <w:sz w:val="18"/>
        </w:rPr>
        <w:t> </w:t>
      </w:r>
      <w:r>
        <w:rPr>
          <w:sz w:val="18"/>
        </w:rPr>
        <w:t>titulaire</w:t>
      </w:r>
      <w:r>
        <w:rPr>
          <w:spacing w:val="-4"/>
          <w:sz w:val="18"/>
        </w:rPr>
        <w:t> </w:t>
      </w:r>
      <w:r>
        <w:rPr>
          <w:sz w:val="18"/>
        </w:rPr>
        <w:t>d’un</w:t>
      </w:r>
      <w:r>
        <w:rPr>
          <w:spacing w:val="-3"/>
          <w:sz w:val="18"/>
        </w:rPr>
        <w:t> </w:t>
      </w:r>
      <w:r>
        <w:rPr>
          <w:sz w:val="18"/>
        </w:rPr>
        <w:t>diplôme</w:t>
      </w:r>
      <w:r>
        <w:rPr>
          <w:spacing w:val="-1"/>
          <w:sz w:val="18"/>
        </w:rPr>
        <w:t> </w:t>
      </w:r>
      <w:r>
        <w:rPr>
          <w:sz w:val="18"/>
        </w:rPr>
        <w:t>du</w:t>
      </w:r>
      <w:r>
        <w:rPr>
          <w:spacing w:val="-4"/>
          <w:sz w:val="18"/>
        </w:rPr>
        <w:t> </w:t>
      </w:r>
      <w:r>
        <w:rPr>
          <w:sz w:val="18"/>
        </w:rPr>
        <w:t>degré</w:t>
      </w:r>
      <w:r>
        <w:rPr>
          <w:spacing w:val="-3"/>
          <w:sz w:val="18"/>
        </w:rPr>
        <w:t> </w:t>
      </w:r>
      <w:r>
        <w:rPr>
          <w:sz w:val="18"/>
        </w:rPr>
        <w:t>secondaire</w:t>
      </w:r>
      <w:r>
        <w:rPr>
          <w:spacing w:val="-4"/>
          <w:sz w:val="18"/>
        </w:rPr>
        <w:t> </w:t>
      </w:r>
      <w:r>
        <w:rPr>
          <w:sz w:val="18"/>
        </w:rPr>
        <w:t>II</w:t>
      </w:r>
      <w:r>
        <w:rPr>
          <w:spacing w:val="-1"/>
          <w:sz w:val="18"/>
        </w:rPr>
        <w:t> </w:t>
      </w:r>
      <w:r>
        <w:rPr>
          <w:spacing w:val="-10"/>
          <w:sz w:val="18"/>
        </w:rPr>
        <w:t>;</w:t>
      </w:r>
    </w:p>
    <w:p>
      <w:pPr>
        <w:pStyle w:val="ListParagraph"/>
        <w:numPr>
          <w:ilvl w:val="1"/>
          <w:numId w:val="7"/>
        </w:numPr>
        <w:tabs>
          <w:tab w:pos="1843" w:val="left" w:leader="none"/>
          <w:tab w:pos="1845" w:val="left" w:leader="none"/>
        </w:tabs>
        <w:spacing w:line="240" w:lineRule="auto" w:before="41" w:after="0"/>
        <w:ind w:left="1845" w:right="703" w:hanging="286"/>
        <w:jc w:val="both"/>
        <w:rPr>
          <w:sz w:val="18"/>
        </w:rPr>
      </w:pPr>
      <w:r>
        <w:rPr>
          <w:sz w:val="18"/>
        </w:rPr>
        <w:t>il a atteint l’âge de 20 ans et suit une formation visant à l’obtention d’un diplôme autre qu’un premier diplôme du degré secondaire II.</w:t>
      </w:r>
    </w:p>
    <w:p>
      <w:pPr>
        <w:pStyle w:val="BodyText"/>
        <w:spacing w:before="153"/>
      </w:pPr>
    </w:p>
    <w:p>
      <w:pPr>
        <w:pStyle w:val="Heading7"/>
        <w:spacing w:before="1"/>
        <w:jc w:val="both"/>
      </w:pPr>
      <w:r>
        <w:rPr>
          <w:color w:val="950000"/>
        </w:rPr>
        <w:t>Déduction sur l’un des revenus du travail des conjoints</w:t>
      </w:r>
      <w:r>
        <w:rPr>
          <w:color w:val="950000"/>
          <w:spacing w:val="80"/>
          <w:w w:val="150"/>
        </w:rPr>
        <w:t> </w:t>
      </w:r>
      <w:r>
        <w:rPr>
          <w:color w:val="950000"/>
        </w:rPr>
        <w:drawing>
          <wp:inline distT="0" distB="0" distL="0" distR="0">
            <wp:extent cx="201260" cy="114916"/>
            <wp:effectExtent l="0" t="0" r="0" b="0"/>
            <wp:docPr id="43" name="Image 43" descr="">
              <a:hlinkClick r:id="rId55"/>
            </wp:docPr>
            <wp:cNvGraphicFramePr>
              <a:graphicFrameLocks/>
            </wp:cNvGraphicFramePr>
            <a:graphic>
              <a:graphicData uri="http://schemas.openxmlformats.org/drawingml/2006/picture">
                <pic:pic>
                  <pic:nvPicPr>
                    <pic:cNvPr id="43" name="Image 43" descr="">
                      <a:hlinkClick r:id="rId55"/>
                    </pic:cNvPr>
                    <pic:cNvPicPr/>
                  </pic:nvPicPr>
                  <pic:blipFill>
                    <a:blip r:embed="rId11" cstate="print"/>
                    <a:stretch>
                      <a:fillRect/>
                    </a:stretch>
                  </pic:blipFill>
                  <pic:spPr>
                    <a:xfrm>
                      <a:off x="0" y="0"/>
                      <a:ext cx="201260" cy="114916"/>
                    </a:xfrm>
                    <a:prstGeom prst="rect">
                      <a:avLst/>
                    </a:prstGeom>
                  </pic:spPr>
                </pic:pic>
              </a:graphicData>
            </a:graphic>
          </wp:inline>
        </w:drawing>
      </w:r>
      <w:r>
        <w:rPr>
          <w:color w:val="950000"/>
        </w:rPr>
      </w:r>
    </w:p>
    <w:p>
      <w:pPr>
        <w:pStyle w:val="Heading8"/>
        <w:spacing w:before="91"/>
      </w:pPr>
      <w:r>
        <w:rPr/>
        <w:t>Art.</w:t>
      </w:r>
      <w:r>
        <w:rPr>
          <w:spacing w:val="-1"/>
        </w:rPr>
        <w:t> </w:t>
      </w:r>
      <w:r>
        <w:rPr/>
        <w:t>36, al.</w:t>
      </w:r>
      <w:r>
        <w:rPr>
          <w:spacing w:val="-3"/>
        </w:rPr>
        <w:t> </w:t>
      </w:r>
      <w:r>
        <w:rPr/>
        <w:t>2</w:t>
      </w:r>
      <w:r>
        <w:rPr>
          <w:spacing w:val="1"/>
        </w:rPr>
        <w:t> </w:t>
      </w:r>
      <w:r>
        <w:rPr>
          <w:spacing w:val="-2"/>
        </w:rPr>
        <w:t>LCdir</w:t>
      </w:r>
    </w:p>
    <w:p>
      <w:pPr>
        <w:pStyle w:val="BodyText"/>
        <w:spacing w:before="56"/>
        <w:ind w:left="1134" w:right="703"/>
        <w:jc w:val="both"/>
      </w:pPr>
      <w:r>
        <w:rPr>
          <w:position w:val="6"/>
          <w:sz w:val="12"/>
        </w:rPr>
        <w:t>2</w:t>
      </w:r>
      <w:r>
        <w:rPr>
          <w:spacing w:val="-2"/>
          <w:position w:val="6"/>
          <w:sz w:val="12"/>
        </w:rPr>
        <w:t> </w:t>
      </w:r>
      <w:r>
        <w:rPr/>
        <w:t>Lorsque</w:t>
      </w:r>
      <w:r>
        <w:rPr>
          <w:spacing w:val="-4"/>
        </w:rPr>
        <w:t> </w:t>
      </w:r>
      <w:r>
        <w:rPr/>
        <w:t>les</w:t>
      </w:r>
      <w:r>
        <w:rPr>
          <w:spacing w:val="-1"/>
        </w:rPr>
        <w:t> </w:t>
      </w:r>
      <w:r>
        <w:rPr/>
        <w:t>époux</w:t>
      </w:r>
      <w:r>
        <w:rPr>
          <w:spacing w:val="-1"/>
        </w:rPr>
        <w:t> </w:t>
      </w:r>
      <w:r>
        <w:rPr/>
        <w:t>vivent</w:t>
      </w:r>
      <w:r>
        <w:rPr>
          <w:spacing w:val="-4"/>
        </w:rPr>
        <w:t> </w:t>
      </w:r>
      <w:r>
        <w:rPr/>
        <w:t>en</w:t>
      </w:r>
      <w:r>
        <w:rPr>
          <w:spacing w:val="-4"/>
        </w:rPr>
        <w:t> </w:t>
      </w:r>
      <w:r>
        <w:rPr/>
        <w:t>ménage</w:t>
      </w:r>
      <w:r>
        <w:rPr>
          <w:spacing w:val="-4"/>
        </w:rPr>
        <w:t> </w:t>
      </w:r>
      <w:r>
        <w:rPr/>
        <w:t>commun,</w:t>
      </w:r>
      <w:r>
        <w:rPr>
          <w:spacing w:val="-2"/>
        </w:rPr>
        <w:t> </w:t>
      </w:r>
      <w:r>
        <w:rPr/>
        <w:t>un</w:t>
      </w:r>
      <w:r>
        <w:rPr>
          <w:spacing w:val="-1"/>
        </w:rPr>
        <w:t> </w:t>
      </w:r>
      <w:r>
        <w:rPr/>
        <w:t>montant</w:t>
      </w:r>
      <w:r>
        <w:rPr>
          <w:spacing w:val="-4"/>
        </w:rPr>
        <w:t> </w:t>
      </w:r>
      <w:r>
        <w:rPr/>
        <w:t>équivalent</w:t>
      </w:r>
      <w:r>
        <w:rPr>
          <w:spacing w:val="-4"/>
        </w:rPr>
        <w:t> </w:t>
      </w:r>
      <w:r>
        <w:rPr/>
        <w:t>à</w:t>
      </w:r>
      <w:r>
        <w:rPr>
          <w:spacing w:val="-1"/>
        </w:rPr>
        <w:t> </w:t>
      </w:r>
      <w:r>
        <w:rPr/>
        <w:t>25%</w:t>
      </w:r>
      <w:r>
        <w:rPr>
          <w:spacing w:val="-4"/>
        </w:rPr>
        <w:t> </w:t>
      </w:r>
      <w:r>
        <w:rPr/>
        <w:t>mais</w:t>
      </w:r>
      <w:r>
        <w:rPr>
          <w:spacing w:val="-1"/>
        </w:rPr>
        <w:t> </w:t>
      </w:r>
      <w:r>
        <w:rPr/>
        <w:t>au</w:t>
      </w:r>
      <w:r>
        <w:rPr>
          <w:spacing w:val="-1"/>
        </w:rPr>
        <w:t> </w:t>
      </w:r>
      <w:r>
        <w:rPr/>
        <w:t>maximum</w:t>
      </w:r>
      <w:r>
        <w:rPr>
          <w:spacing w:val="-1"/>
        </w:rPr>
        <w:t> </w:t>
      </w:r>
      <w:r>
        <w:rPr/>
        <w:t>1.200 francs,</w:t>
      </w:r>
      <w:r>
        <w:rPr>
          <w:spacing w:val="-7"/>
        </w:rPr>
        <w:t> </w:t>
      </w:r>
      <w:r>
        <w:rPr/>
        <w:t>est</w:t>
      </w:r>
      <w:r>
        <w:rPr>
          <w:spacing w:val="-6"/>
        </w:rPr>
        <w:t> </w:t>
      </w:r>
      <w:r>
        <w:rPr/>
        <w:t>déduit</w:t>
      </w:r>
      <w:r>
        <w:rPr>
          <w:spacing w:val="-6"/>
        </w:rPr>
        <w:t> </w:t>
      </w:r>
      <w:r>
        <w:rPr/>
        <w:t>du</w:t>
      </w:r>
      <w:r>
        <w:rPr>
          <w:spacing w:val="-6"/>
        </w:rPr>
        <w:t> </w:t>
      </w:r>
      <w:r>
        <w:rPr/>
        <w:t>produit</w:t>
      </w:r>
      <w:r>
        <w:rPr>
          <w:spacing w:val="-4"/>
        </w:rPr>
        <w:t> </w:t>
      </w:r>
      <w:r>
        <w:rPr/>
        <w:t>du</w:t>
      </w:r>
      <w:r>
        <w:rPr>
          <w:spacing w:val="-6"/>
        </w:rPr>
        <w:t> </w:t>
      </w:r>
      <w:r>
        <w:rPr/>
        <w:t>travail</w:t>
      </w:r>
      <w:r>
        <w:rPr>
          <w:spacing w:val="-6"/>
        </w:rPr>
        <w:t> </w:t>
      </w:r>
      <w:r>
        <w:rPr/>
        <w:t>le</w:t>
      </w:r>
      <w:r>
        <w:rPr>
          <w:spacing w:val="-6"/>
        </w:rPr>
        <w:t> </w:t>
      </w:r>
      <w:r>
        <w:rPr/>
        <w:t>moins</w:t>
      </w:r>
      <w:r>
        <w:rPr>
          <w:spacing w:val="-6"/>
        </w:rPr>
        <w:t> </w:t>
      </w:r>
      <w:r>
        <w:rPr/>
        <w:t>élevé</w:t>
      </w:r>
      <w:r>
        <w:rPr>
          <w:spacing w:val="-6"/>
        </w:rPr>
        <w:t> </w:t>
      </w:r>
      <w:r>
        <w:rPr/>
        <w:t>qu'obtient</w:t>
      </w:r>
      <w:r>
        <w:rPr>
          <w:spacing w:val="-4"/>
        </w:rPr>
        <w:t> </w:t>
      </w:r>
      <w:r>
        <w:rPr/>
        <w:t>l'un</w:t>
      </w:r>
      <w:r>
        <w:rPr>
          <w:spacing w:val="-4"/>
        </w:rPr>
        <w:t> </w:t>
      </w:r>
      <w:r>
        <w:rPr/>
        <w:t>des</w:t>
      </w:r>
      <w:r>
        <w:rPr>
          <w:spacing w:val="-6"/>
        </w:rPr>
        <w:t> </w:t>
      </w:r>
      <w:r>
        <w:rPr/>
        <w:t>conjoints</w:t>
      </w:r>
      <w:r>
        <w:rPr>
          <w:spacing w:val="-6"/>
        </w:rPr>
        <w:t> </w:t>
      </w:r>
      <w:r>
        <w:rPr/>
        <w:t>pour</w:t>
      </w:r>
      <w:r>
        <w:rPr>
          <w:spacing w:val="-7"/>
        </w:rPr>
        <w:t> </w:t>
      </w:r>
      <w:r>
        <w:rPr/>
        <w:t>une</w:t>
      </w:r>
      <w:r>
        <w:rPr>
          <w:spacing w:val="-8"/>
        </w:rPr>
        <w:t> </w:t>
      </w:r>
      <w:r>
        <w:rPr/>
        <w:t>activité</w:t>
      </w:r>
      <w:r>
        <w:rPr>
          <w:spacing w:val="-4"/>
        </w:rPr>
        <w:t> </w:t>
      </w:r>
      <w:r>
        <w:rPr/>
        <w:t>indé-pendante de la profession, du commerce ou de l'entreprise de l'autre ; une déduction analogue est ac-cordée lorsque l'un des conjoints fournit un travail important pour seconder l'autre dans sa profession, son commerce ou son entreprise ;</w:t>
      </w:r>
    </w:p>
    <w:p>
      <w:pPr>
        <w:pStyle w:val="BodyText"/>
        <w:spacing w:before="155"/>
      </w:pPr>
    </w:p>
    <w:p>
      <w:pPr>
        <w:pStyle w:val="Heading7"/>
        <w:jc w:val="both"/>
      </w:pPr>
      <w:r>
        <w:rPr>
          <w:color w:val="950000"/>
        </w:rPr>
        <w:t>Frais de garde</w:t>
      </w:r>
      <w:r>
        <w:rPr>
          <w:color w:val="950000"/>
          <w:spacing w:val="80"/>
        </w:rPr>
        <w:t> </w:t>
      </w:r>
      <w:r>
        <w:rPr>
          <w:color w:val="950000"/>
          <w:spacing w:val="2"/>
        </w:rPr>
        <w:drawing>
          <wp:inline distT="0" distB="0" distL="0" distR="0">
            <wp:extent cx="201259" cy="114893"/>
            <wp:effectExtent l="0" t="0" r="0" b="0"/>
            <wp:docPr id="44" name="Image 44" descr="">
              <a:hlinkClick r:id="rId56"/>
            </wp:docPr>
            <wp:cNvGraphicFramePr>
              <a:graphicFrameLocks/>
            </wp:cNvGraphicFramePr>
            <a:graphic>
              <a:graphicData uri="http://schemas.openxmlformats.org/drawingml/2006/picture">
                <pic:pic>
                  <pic:nvPicPr>
                    <pic:cNvPr id="44" name="Image 44" descr="">
                      <a:hlinkClick r:id="rId56"/>
                    </pic:cNvPr>
                    <pic:cNvPicPr/>
                  </pic:nvPicPr>
                  <pic:blipFill>
                    <a:blip r:embed="rId11" cstate="print"/>
                    <a:stretch>
                      <a:fillRect/>
                    </a:stretch>
                  </pic:blipFill>
                  <pic:spPr>
                    <a:xfrm>
                      <a:off x="0" y="0"/>
                      <a:ext cx="201259" cy="114893"/>
                    </a:xfrm>
                    <a:prstGeom prst="rect">
                      <a:avLst/>
                    </a:prstGeom>
                  </pic:spPr>
                </pic:pic>
              </a:graphicData>
            </a:graphic>
          </wp:inline>
        </w:drawing>
      </w:r>
      <w:r>
        <w:rPr>
          <w:color w:val="950000"/>
          <w:spacing w:val="2"/>
        </w:rPr>
      </w:r>
    </w:p>
    <w:p>
      <w:pPr>
        <w:pStyle w:val="Heading8"/>
      </w:pPr>
      <w:r>
        <w:rPr/>
        <w:t>Art.</w:t>
      </w:r>
      <w:r>
        <w:rPr>
          <w:spacing w:val="-1"/>
        </w:rPr>
        <w:t> </w:t>
      </w:r>
      <w:r>
        <w:rPr/>
        <w:t>36, al.</w:t>
      </w:r>
      <w:r>
        <w:rPr>
          <w:spacing w:val="-3"/>
        </w:rPr>
        <w:t> </w:t>
      </w:r>
      <w:r>
        <w:rPr/>
        <w:t>3</w:t>
      </w:r>
      <w:r>
        <w:rPr>
          <w:spacing w:val="1"/>
        </w:rPr>
        <w:t> </w:t>
      </w:r>
      <w:r>
        <w:rPr>
          <w:spacing w:val="-2"/>
        </w:rPr>
        <w:t>LCdir</w:t>
      </w:r>
    </w:p>
    <w:p>
      <w:pPr>
        <w:pStyle w:val="BodyText"/>
        <w:spacing w:before="55"/>
        <w:ind w:left="1134" w:right="701"/>
        <w:jc w:val="both"/>
      </w:pPr>
      <w:r>
        <w:rPr>
          <w:rFonts w:ascii="Arial" w:hAnsi="Arial"/>
          <w:b/>
          <w:position w:val="6"/>
          <w:sz w:val="12"/>
        </w:rPr>
        <w:t>3 </w:t>
      </w:r>
      <w:r>
        <w:rPr/>
        <w:t>Un montant pour chaque enfant dont la garde est assurée par un tiers, correspondant au plus à la participation des</w:t>
      </w:r>
      <w:r>
        <w:rPr>
          <w:spacing w:val="-1"/>
        </w:rPr>
        <w:t> </w:t>
      </w:r>
      <w:r>
        <w:rPr/>
        <w:t>représentants légaux</w:t>
      </w:r>
      <w:r>
        <w:rPr>
          <w:spacing w:val="-1"/>
        </w:rPr>
        <w:t> </w:t>
      </w:r>
      <w:r>
        <w:rPr/>
        <w:t>aux</w:t>
      </w:r>
      <w:r>
        <w:rPr>
          <w:spacing w:val="-1"/>
        </w:rPr>
        <w:t> </w:t>
      </w:r>
      <w:r>
        <w:rPr/>
        <w:t>coûts</w:t>
      </w:r>
      <w:r>
        <w:rPr>
          <w:spacing w:val="-1"/>
        </w:rPr>
        <w:t> </w:t>
      </w:r>
      <w:r>
        <w:rPr/>
        <w:t>de</w:t>
      </w:r>
      <w:r>
        <w:rPr>
          <w:spacing w:val="-1"/>
        </w:rPr>
        <w:t> </w:t>
      </w:r>
      <w:r>
        <w:rPr/>
        <w:t>l'accueil</w:t>
      </w:r>
      <w:r>
        <w:rPr>
          <w:spacing w:val="-1"/>
        </w:rPr>
        <w:t> </w:t>
      </w:r>
      <w:r>
        <w:rPr/>
        <w:t>extrafamilial, telle que</w:t>
      </w:r>
      <w:r>
        <w:rPr>
          <w:spacing w:val="-1"/>
        </w:rPr>
        <w:t> </w:t>
      </w:r>
      <w:r>
        <w:rPr/>
        <w:t>définie</w:t>
      </w:r>
      <w:r>
        <w:rPr>
          <w:spacing w:val="-1"/>
        </w:rPr>
        <w:t> </w:t>
      </w:r>
      <w:r>
        <w:rPr/>
        <w:t>par</w:t>
      </w:r>
      <w:r>
        <w:rPr>
          <w:spacing w:val="-2"/>
        </w:rPr>
        <w:t> </w:t>
      </w:r>
      <w:r>
        <w:rPr/>
        <w:t>la</w:t>
      </w:r>
      <w:r>
        <w:rPr>
          <w:spacing w:val="-1"/>
        </w:rPr>
        <w:t> </w:t>
      </w:r>
      <w:r>
        <w:rPr/>
        <w:t>loi</w:t>
      </w:r>
      <w:r>
        <w:rPr>
          <w:spacing w:val="-1"/>
        </w:rPr>
        <w:t> </w:t>
      </w:r>
      <w:r>
        <w:rPr/>
        <w:t>sur l'accueil</w:t>
      </w:r>
      <w:r>
        <w:rPr>
          <w:spacing w:val="-6"/>
        </w:rPr>
        <w:t> </w:t>
      </w:r>
      <w:r>
        <w:rPr/>
        <w:t>des</w:t>
      </w:r>
      <w:r>
        <w:rPr>
          <w:spacing w:val="-6"/>
        </w:rPr>
        <w:t> </w:t>
      </w:r>
      <w:r>
        <w:rPr/>
        <w:t>enfants</w:t>
      </w:r>
      <w:r>
        <w:rPr>
          <w:spacing w:val="-6"/>
        </w:rPr>
        <w:t> </w:t>
      </w:r>
      <w:r>
        <w:rPr/>
        <w:t>(LAE),</w:t>
      </w:r>
      <w:r>
        <w:rPr>
          <w:spacing w:val="-7"/>
        </w:rPr>
        <w:t> </w:t>
      </w:r>
      <w:r>
        <w:rPr/>
        <w:t>du</w:t>
      </w:r>
      <w:r>
        <w:rPr>
          <w:spacing w:val="-9"/>
        </w:rPr>
        <w:t> </w:t>
      </w:r>
      <w:r>
        <w:rPr/>
        <w:t>28</w:t>
      </w:r>
      <w:r>
        <w:rPr>
          <w:spacing w:val="-6"/>
        </w:rPr>
        <w:t> </w:t>
      </w:r>
      <w:r>
        <w:rPr/>
        <w:t>septembre</w:t>
      </w:r>
      <w:r>
        <w:rPr>
          <w:spacing w:val="-6"/>
        </w:rPr>
        <w:t> </w:t>
      </w:r>
      <w:r>
        <w:rPr/>
        <w:t>2010,</w:t>
      </w:r>
      <w:r>
        <w:rPr>
          <w:spacing w:val="-9"/>
        </w:rPr>
        <w:t> </w:t>
      </w:r>
      <w:r>
        <w:rPr/>
        <w:t>et</w:t>
      </w:r>
      <w:r>
        <w:rPr>
          <w:spacing w:val="-7"/>
        </w:rPr>
        <w:t> </w:t>
      </w:r>
      <w:r>
        <w:rPr/>
        <w:t>ses</w:t>
      </w:r>
      <w:r>
        <w:rPr>
          <w:spacing w:val="-6"/>
        </w:rPr>
        <w:t> </w:t>
      </w:r>
      <w:r>
        <w:rPr/>
        <w:t>dispositions</w:t>
      </w:r>
      <w:r>
        <w:rPr>
          <w:spacing w:val="-6"/>
        </w:rPr>
        <w:t> </w:t>
      </w:r>
      <w:r>
        <w:rPr/>
        <w:t>d'exécution</w:t>
      </w:r>
      <w:r>
        <w:rPr>
          <w:spacing w:val="-6"/>
        </w:rPr>
        <w:t> </w:t>
      </w:r>
      <w:r>
        <w:rPr/>
        <w:t>est</w:t>
      </w:r>
      <w:r>
        <w:rPr>
          <w:spacing w:val="-7"/>
        </w:rPr>
        <w:t> </w:t>
      </w:r>
      <w:r>
        <w:rPr/>
        <w:t>déduit</w:t>
      </w:r>
      <w:r>
        <w:rPr>
          <w:spacing w:val="-7"/>
        </w:rPr>
        <w:t> </w:t>
      </w:r>
      <w:r>
        <w:rPr/>
        <w:t>du</w:t>
      </w:r>
      <w:r>
        <w:rPr>
          <w:spacing w:val="-6"/>
        </w:rPr>
        <w:t> </w:t>
      </w:r>
      <w:r>
        <w:rPr/>
        <w:t>revenu, si</w:t>
      </w:r>
      <w:r>
        <w:rPr>
          <w:spacing w:val="-1"/>
        </w:rPr>
        <w:t> </w:t>
      </w:r>
      <w:r>
        <w:rPr/>
        <w:t>l'enfant</w:t>
      </w:r>
      <w:r>
        <w:rPr>
          <w:spacing w:val="-2"/>
        </w:rPr>
        <w:t> </w:t>
      </w:r>
      <w:r>
        <w:rPr/>
        <w:t>a</w:t>
      </w:r>
      <w:r>
        <w:rPr>
          <w:spacing w:val="-1"/>
        </w:rPr>
        <w:t> </w:t>
      </w:r>
      <w:r>
        <w:rPr/>
        <w:t>moins</w:t>
      </w:r>
      <w:r>
        <w:rPr>
          <w:spacing w:val="-1"/>
        </w:rPr>
        <w:t> </w:t>
      </w:r>
      <w:r>
        <w:rPr/>
        <w:t>de</w:t>
      </w:r>
      <w:r>
        <w:rPr>
          <w:spacing w:val="-1"/>
        </w:rPr>
        <w:t> </w:t>
      </w:r>
      <w:r>
        <w:rPr/>
        <w:t>14</w:t>
      </w:r>
      <w:r>
        <w:rPr>
          <w:spacing w:val="-1"/>
        </w:rPr>
        <w:t> </w:t>
      </w:r>
      <w:r>
        <w:rPr/>
        <w:t>ans et vit dans</w:t>
      </w:r>
      <w:r>
        <w:rPr>
          <w:spacing w:val="-1"/>
        </w:rPr>
        <w:t> </w:t>
      </w:r>
      <w:r>
        <w:rPr/>
        <w:t>le</w:t>
      </w:r>
      <w:r>
        <w:rPr>
          <w:spacing w:val="-1"/>
        </w:rPr>
        <w:t> </w:t>
      </w:r>
      <w:r>
        <w:rPr/>
        <w:t>même</w:t>
      </w:r>
      <w:r>
        <w:rPr>
          <w:spacing w:val="-1"/>
        </w:rPr>
        <w:t> </w:t>
      </w:r>
      <w:r>
        <w:rPr/>
        <w:t>ménage</w:t>
      </w:r>
      <w:r>
        <w:rPr>
          <w:spacing w:val="-1"/>
        </w:rPr>
        <w:t> </w:t>
      </w:r>
      <w:r>
        <w:rPr/>
        <w:t>que le</w:t>
      </w:r>
      <w:r>
        <w:rPr>
          <w:spacing w:val="-1"/>
        </w:rPr>
        <w:t> </w:t>
      </w:r>
      <w:r>
        <w:rPr/>
        <w:t>contribuable</w:t>
      </w:r>
      <w:r>
        <w:rPr>
          <w:spacing w:val="-1"/>
        </w:rPr>
        <w:t> </w:t>
      </w:r>
      <w:r>
        <w:rPr/>
        <w:t>assurant</w:t>
      </w:r>
      <w:r>
        <w:rPr>
          <w:spacing w:val="-2"/>
        </w:rPr>
        <w:t> </w:t>
      </w:r>
      <w:r>
        <w:rPr/>
        <w:t>son</w:t>
      </w:r>
      <w:r>
        <w:rPr>
          <w:spacing w:val="-1"/>
        </w:rPr>
        <w:t> </w:t>
      </w:r>
      <w:r>
        <w:rPr/>
        <w:t>entretien et si</w:t>
      </w:r>
      <w:r>
        <w:rPr>
          <w:spacing w:val="-1"/>
        </w:rPr>
        <w:t> </w:t>
      </w:r>
      <w:r>
        <w:rPr/>
        <w:t>les frais de</w:t>
      </w:r>
      <w:r>
        <w:rPr>
          <w:spacing w:val="-1"/>
        </w:rPr>
        <w:t> </w:t>
      </w:r>
      <w:r>
        <w:rPr/>
        <w:t>garde,</w:t>
      </w:r>
      <w:r>
        <w:rPr>
          <w:spacing w:val="-2"/>
        </w:rPr>
        <w:t> </w:t>
      </w:r>
      <w:r>
        <w:rPr/>
        <w:t>documentés,</w:t>
      </w:r>
      <w:r>
        <w:rPr>
          <w:spacing w:val="-2"/>
        </w:rPr>
        <w:t> </w:t>
      </w:r>
      <w:r>
        <w:rPr/>
        <w:t>ont</w:t>
      </w:r>
      <w:r>
        <w:rPr>
          <w:spacing w:val="-2"/>
        </w:rPr>
        <w:t> </w:t>
      </w:r>
      <w:r>
        <w:rPr/>
        <w:t>un</w:t>
      </w:r>
      <w:r>
        <w:rPr>
          <w:spacing w:val="-1"/>
        </w:rPr>
        <w:t> </w:t>
      </w:r>
      <w:r>
        <w:rPr/>
        <w:t>lien de</w:t>
      </w:r>
      <w:r>
        <w:rPr>
          <w:spacing w:val="-1"/>
        </w:rPr>
        <w:t> </w:t>
      </w:r>
      <w:r>
        <w:rPr/>
        <w:t>causalité</w:t>
      </w:r>
      <w:r>
        <w:rPr>
          <w:spacing w:val="-1"/>
        </w:rPr>
        <w:t> </w:t>
      </w:r>
      <w:r>
        <w:rPr/>
        <w:t>direct</w:t>
      </w:r>
      <w:r>
        <w:rPr>
          <w:spacing w:val="-2"/>
        </w:rPr>
        <w:t> </w:t>
      </w:r>
      <w:r>
        <w:rPr/>
        <w:t>avec</w:t>
      </w:r>
      <w:r>
        <w:rPr>
          <w:spacing w:val="-1"/>
        </w:rPr>
        <w:t> </w:t>
      </w:r>
      <w:r>
        <w:rPr/>
        <w:t>l'activité</w:t>
      </w:r>
      <w:r>
        <w:rPr>
          <w:spacing w:val="-1"/>
        </w:rPr>
        <w:t> </w:t>
      </w:r>
      <w:r>
        <w:rPr/>
        <w:t>lucrative,</w:t>
      </w:r>
      <w:r>
        <w:rPr>
          <w:spacing w:val="-2"/>
        </w:rPr>
        <w:t> </w:t>
      </w:r>
      <w:r>
        <w:rPr/>
        <w:t>la</w:t>
      </w:r>
      <w:r>
        <w:rPr>
          <w:spacing w:val="-1"/>
        </w:rPr>
        <w:t> </w:t>
      </w:r>
      <w:r>
        <w:rPr/>
        <w:t>formation</w:t>
      </w:r>
      <w:r>
        <w:rPr>
          <w:spacing w:val="-1"/>
        </w:rPr>
        <w:t> </w:t>
      </w:r>
      <w:r>
        <w:rPr/>
        <w:t>ou l'incapacité de gain du contribuable.</w:t>
      </w:r>
    </w:p>
    <w:p>
      <w:pPr>
        <w:pStyle w:val="Heading8"/>
        <w:spacing w:before="95"/>
      </w:pPr>
      <w:r>
        <w:rPr/>
        <w:t>Art.</w:t>
      </w:r>
      <w:r>
        <w:rPr>
          <w:spacing w:val="-1"/>
        </w:rPr>
        <w:t> </w:t>
      </w:r>
      <w:r>
        <w:rPr/>
        <w:t>35, al.</w:t>
      </w:r>
      <w:r>
        <w:rPr>
          <w:spacing w:val="-3"/>
        </w:rPr>
        <w:t> </w:t>
      </w:r>
      <w:r>
        <w:rPr/>
        <w:t>1</w:t>
      </w:r>
      <w:r>
        <w:rPr>
          <w:spacing w:val="1"/>
        </w:rPr>
        <w:t> </w:t>
      </w:r>
      <w:r>
        <w:rPr>
          <w:spacing w:val="-2"/>
        </w:rPr>
        <w:t>REGAE</w:t>
      </w:r>
    </w:p>
    <w:p>
      <w:pPr>
        <w:pStyle w:val="BodyText"/>
        <w:spacing w:before="56"/>
        <w:ind w:left="1134" w:right="700"/>
      </w:pPr>
      <w:r>
        <w:rPr>
          <w:position w:val="6"/>
          <w:sz w:val="12"/>
        </w:rPr>
        <w:t>1</w:t>
      </w:r>
      <w:r>
        <w:rPr>
          <w:spacing w:val="23"/>
          <w:position w:val="6"/>
          <w:sz w:val="12"/>
        </w:rPr>
        <w:t> </w:t>
      </w:r>
      <w:r>
        <w:rPr/>
        <w:t>Pour être subventionnées, les structures d'accueil préscolaire doivent accueillir les enfants au moins 11 heures par jour durant 240 jours par année civile.</w:t>
      </w:r>
    </w:p>
    <w:p>
      <w:pPr>
        <w:pStyle w:val="Heading8"/>
      </w:pPr>
      <w:r>
        <w:rPr/>
        <w:t>Art.</w:t>
      </w:r>
      <w:r>
        <w:rPr>
          <w:spacing w:val="-3"/>
        </w:rPr>
        <w:t> </w:t>
      </w:r>
      <w:r>
        <w:rPr/>
        <w:t>40 </w:t>
      </w:r>
      <w:r>
        <w:rPr>
          <w:spacing w:val="-2"/>
        </w:rPr>
        <w:t>REGAE</w:t>
      </w:r>
    </w:p>
    <w:p>
      <w:pPr>
        <w:pStyle w:val="BodyText"/>
        <w:spacing w:before="60"/>
        <w:ind w:left="1134"/>
      </w:pPr>
      <w:r>
        <w:rPr/>
        <w:t>Les</w:t>
      </w:r>
      <w:r>
        <w:rPr>
          <w:spacing w:val="-3"/>
        </w:rPr>
        <w:t> </w:t>
      </w:r>
      <w:r>
        <w:rPr/>
        <w:t>prix</w:t>
      </w:r>
      <w:r>
        <w:rPr>
          <w:spacing w:val="-3"/>
        </w:rPr>
        <w:t> </w:t>
      </w:r>
      <w:r>
        <w:rPr/>
        <w:t>de</w:t>
      </w:r>
      <w:r>
        <w:rPr>
          <w:spacing w:val="-1"/>
        </w:rPr>
        <w:t> </w:t>
      </w:r>
      <w:r>
        <w:rPr/>
        <w:t>référence</w:t>
      </w:r>
      <w:r>
        <w:rPr>
          <w:spacing w:val="-4"/>
        </w:rPr>
        <w:t> </w:t>
      </w:r>
      <w:r>
        <w:rPr/>
        <w:t>de</w:t>
      </w:r>
      <w:r>
        <w:rPr>
          <w:spacing w:val="-1"/>
        </w:rPr>
        <w:t> </w:t>
      </w:r>
      <w:r>
        <w:rPr/>
        <w:t>facturation</w:t>
      </w:r>
      <w:r>
        <w:rPr>
          <w:spacing w:val="-4"/>
        </w:rPr>
        <w:t> </w:t>
      </w:r>
      <w:r>
        <w:rPr/>
        <w:t>correspondent,</w:t>
      </w:r>
      <w:r>
        <w:rPr>
          <w:spacing w:val="-4"/>
        </w:rPr>
        <w:t> </w:t>
      </w:r>
      <w:r>
        <w:rPr/>
        <w:t>par</w:t>
      </w:r>
      <w:r>
        <w:rPr>
          <w:spacing w:val="-2"/>
        </w:rPr>
        <w:t> </w:t>
      </w:r>
      <w:r>
        <w:rPr/>
        <w:t>jour,</w:t>
      </w:r>
      <w:r>
        <w:rPr>
          <w:spacing w:val="-4"/>
        </w:rPr>
        <w:t> </w:t>
      </w:r>
      <w:r>
        <w:rPr/>
        <w:t>à </w:t>
      </w:r>
      <w:r>
        <w:rPr>
          <w:spacing w:val="-10"/>
        </w:rPr>
        <w:t>:</w:t>
      </w:r>
    </w:p>
    <w:p>
      <w:pPr>
        <w:pStyle w:val="ListParagraph"/>
        <w:numPr>
          <w:ilvl w:val="0"/>
          <w:numId w:val="8"/>
        </w:numPr>
        <w:tabs>
          <w:tab w:pos="1394" w:val="left" w:leader="none"/>
        </w:tabs>
        <w:spacing w:line="240" w:lineRule="auto" w:before="40" w:after="0"/>
        <w:ind w:left="1394" w:right="0" w:hanging="260"/>
        <w:jc w:val="left"/>
        <w:rPr>
          <w:sz w:val="18"/>
        </w:rPr>
      </w:pPr>
      <w:r>
        <w:rPr>
          <w:sz w:val="18"/>
        </w:rPr>
        <w:t>85</w:t>
      </w:r>
      <w:r>
        <w:rPr>
          <w:spacing w:val="-5"/>
          <w:sz w:val="18"/>
        </w:rPr>
        <w:t> </w:t>
      </w:r>
      <w:r>
        <w:rPr>
          <w:sz w:val="18"/>
        </w:rPr>
        <w:t>francs</w:t>
      </w:r>
      <w:r>
        <w:rPr>
          <w:spacing w:val="-4"/>
          <w:sz w:val="18"/>
        </w:rPr>
        <w:t> </w:t>
      </w:r>
      <w:r>
        <w:rPr>
          <w:sz w:val="18"/>
        </w:rPr>
        <w:t>pour</w:t>
      </w:r>
      <w:r>
        <w:rPr>
          <w:spacing w:val="-5"/>
          <w:sz w:val="18"/>
        </w:rPr>
        <w:t> </w:t>
      </w:r>
      <w:r>
        <w:rPr>
          <w:sz w:val="18"/>
        </w:rPr>
        <w:t>l'accueil</w:t>
      </w:r>
      <w:r>
        <w:rPr>
          <w:spacing w:val="-2"/>
          <w:sz w:val="18"/>
        </w:rPr>
        <w:t> </w:t>
      </w:r>
      <w:r>
        <w:rPr>
          <w:sz w:val="18"/>
        </w:rPr>
        <w:t>préscolaire</w:t>
      </w:r>
      <w:r>
        <w:rPr>
          <w:spacing w:val="-1"/>
          <w:sz w:val="18"/>
        </w:rPr>
        <w:t> </w:t>
      </w:r>
      <w:r>
        <w:rPr>
          <w:spacing w:val="-10"/>
          <w:sz w:val="18"/>
        </w:rPr>
        <w:t>;</w:t>
      </w:r>
    </w:p>
    <w:p>
      <w:pPr>
        <w:pStyle w:val="ListParagraph"/>
        <w:numPr>
          <w:ilvl w:val="0"/>
          <w:numId w:val="8"/>
        </w:numPr>
        <w:tabs>
          <w:tab w:pos="1394" w:val="left" w:leader="none"/>
        </w:tabs>
        <w:spacing w:line="240" w:lineRule="auto" w:before="40" w:after="0"/>
        <w:ind w:left="1394" w:right="0" w:hanging="260"/>
        <w:jc w:val="left"/>
        <w:rPr>
          <w:sz w:val="18"/>
        </w:rPr>
      </w:pPr>
      <w:r>
        <w:rPr>
          <w:sz w:val="18"/>
        </w:rPr>
        <w:t>60</w:t>
      </w:r>
      <w:r>
        <w:rPr>
          <w:spacing w:val="-5"/>
          <w:sz w:val="18"/>
        </w:rPr>
        <w:t> </w:t>
      </w:r>
      <w:r>
        <w:rPr>
          <w:sz w:val="18"/>
        </w:rPr>
        <w:t>francs</w:t>
      </w:r>
      <w:r>
        <w:rPr>
          <w:spacing w:val="-4"/>
          <w:sz w:val="18"/>
        </w:rPr>
        <w:t> </w:t>
      </w:r>
      <w:r>
        <w:rPr>
          <w:sz w:val="18"/>
        </w:rPr>
        <w:t>pour</w:t>
      </w:r>
      <w:r>
        <w:rPr>
          <w:spacing w:val="-5"/>
          <w:sz w:val="18"/>
        </w:rPr>
        <w:t> </w:t>
      </w:r>
      <w:r>
        <w:rPr>
          <w:sz w:val="18"/>
        </w:rPr>
        <w:t>l'accueil</w:t>
      </w:r>
      <w:r>
        <w:rPr>
          <w:spacing w:val="-2"/>
          <w:sz w:val="18"/>
        </w:rPr>
        <w:t> </w:t>
      </w:r>
      <w:r>
        <w:rPr>
          <w:sz w:val="18"/>
        </w:rPr>
        <w:t>parascolaire</w:t>
      </w:r>
      <w:r>
        <w:rPr>
          <w:spacing w:val="-2"/>
          <w:sz w:val="18"/>
        </w:rPr>
        <w:t> </w:t>
      </w:r>
      <w:r>
        <w:rPr>
          <w:sz w:val="18"/>
        </w:rPr>
        <w:t>1er</w:t>
      </w:r>
      <w:r>
        <w:rPr>
          <w:spacing w:val="-3"/>
          <w:sz w:val="18"/>
        </w:rPr>
        <w:t> </w:t>
      </w:r>
      <w:r>
        <w:rPr>
          <w:sz w:val="18"/>
        </w:rPr>
        <w:t>cycle</w:t>
      </w:r>
      <w:r>
        <w:rPr>
          <w:spacing w:val="-5"/>
          <w:sz w:val="18"/>
        </w:rPr>
        <w:t> </w:t>
      </w:r>
      <w:r>
        <w:rPr>
          <w:sz w:val="18"/>
        </w:rPr>
        <w:t>scolaire</w:t>
      </w:r>
      <w:r>
        <w:rPr>
          <w:spacing w:val="-1"/>
          <w:sz w:val="18"/>
        </w:rPr>
        <w:t> </w:t>
      </w:r>
      <w:r>
        <w:rPr>
          <w:spacing w:val="-10"/>
          <w:sz w:val="18"/>
        </w:rPr>
        <w:t>;</w:t>
      </w:r>
    </w:p>
    <w:p>
      <w:pPr>
        <w:pStyle w:val="ListParagraph"/>
        <w:numPr>
          <w:ilvl w:val="0"/>
          <w:numId w:val="8"/>
        </w:numPr>
        <w:tabs>
          <w:tab w:pos="1384" w:val="left" w:leader="none"/>
        </w:tabs>
        <w:spacing w:line="240" w:lineRule="auto" w:before="40" w:after="0"/>
        <w:ind w:left="1384" w:right="0" w:hanging="250"/>
        <w:jc w:val="left"/>
        <w:rPr>
          <w:sz w:val="18"/>
        </w:rPr>
      </w:pPr>
      <w:r>
        <w:rPr>
          <w:sz w:val="18"/>
        </w:rPr>
        <w:t>50</w:t>
      </w:r>
      <w:r>
        <w:rPr>
          <w:spacing w:val="-5"/>
          <w:sz w:val="18"/>
        </w:rPr>
        <w:t> </w:t>
      </w:r>
      <w:r>
        <w:rPr>
          <w:sz w:val="18"/>
        </w:rPr>
        <w:t>francs</w:t>
      </w:r>
      <w:r>
        <w:rPr>
          <w:spacing w:val="-3"/>
          <w:sz w:val="18"/>
        </w:rPr>
        <w:t> </w:t>
      </w:r>
      <w:r>
        <w:rPr>
          <w:sz w:val="18"/>
        </w:rPr>
        <w:t>pour</w:t>
      </w:r>
      <w:r>
        <w:rPr>
          <w:spacing w:val="-4"/>
          <w:sz w:val="18"/>
        </w:rPr>
        <w:t> </w:t>
      </w:r>
      <w:r>
        <w:rPr>
          <w:sz w:val="18"/>
        </w:rPr>
        <w:t>l'accueil</w:t>
      </w:r>
      <w:r>
        <w:rPr>
          <w:spacing w:val="-4"/>
          <w:sz w:val="18"/>
        </w:rPr>
        <w:t> </w:t>
      </w:r>
      <w:r>
        <w:rPr>
          <w:sz w:val="18"/>
        </w:rPr>
        <w:t>parascolaire</w:t>
      </w:r>
      <w:r>
        <w:rPr>
          <w:spacing w:val="-2"/>
          <w:sz w:val="18"/>
        </w:rPr>
        <w:t> </w:t>
      </w:r>
      <w:r>
        <w:rPr>
          <w:sz w:val="18"/>
        </w:rPr>
        <w:t>2ème</w:t>
      </w:r>
      <w:r>
        <w:rPr>
          <w:spacing w:val="-4"/>
          <w:sz w:val="18"/>
        </w:rPr>
        <w:t> </w:t>
      </w:r>
      <w:r>
        <w:rPr>
          <w:sz w:val="18"/>
        </w:rPr>
        <w:t>cycle</w:t>
      </w:r>
      <w:r>
        <w:rPr>
          <w:spacing w:val="-1"/>
          <w:sz w:val="18"/>
        </w:rPr>
        <w:t> </w:t>
      </w:r>
      <w:r>
        <w:rPr>
          <w:spacing w:val="-2"/>
          <w:sz w:val="18"/>
        </w:rPr>
        <w:t>scolaire.</w:t>
      </w:r>
    </w:p>
    <w:p>
      <w:pPr>
        <w:pStyle w:val="BodyText"/>
        <w:spacing w:before="154"/>
      </w:pPr>
    </w:p>
    <w:p>
      <w:pPr>
        <w:pStyle w:val="Heading7"/>
        <w:jc w:val="both"/>
      </w:pPr>
      <w:r>
        <w:rPr>
          <w:color w:val="950000"/>
        </w:rPr>
        <w:t>Déductions des gains unitaires provenant des jeux d’argent</w:t>
      </w:r>
      <w:r>
        <w:rPr>
          <w:color w:val="950000"/>
          <w:spacing w:val="80"/>
          <w:w w:val="150"/>
        </w:rPr>
        <w:t> </w:t>
      </w:r>
      <w:r>
        <w:rPr>
          <w:color w:val="950000"/>
          <w:spacing w:val="3"/>
        </w:rPr>
        <w:drawing>
          <wp:inline distT="0" distB="0" distL="0" distR="0">
            <wp:extent cx="201253" cy="114909"/>
            <wp:effectExtent l="0" t="0" r="0" b="0"/>
            <wp:docPr id="45" name="Image 45" descr="">
              <a:hlinkClick r:id="rId37"/>
            </wp:docPr>
            <wp:cNvGraphicFramePr>
              <a:graphicFrameLocks/>
            </wp:cNvGraphicFramePr>
            <a:graphic>
              <a:graphicData uri="http://schemas.openxmlformats.org/drawingml/2006/picture">
                <pic:pic>
                  <pic:nvPicPr>
                    <pic:cNvPr id="45" name="Image 45" descr="">
                      <a:hlinkClick r:id="rId37"/>
                    </pic:cNvPr>
                    <pic:cNvPicPr/>
                  </pic:nvPicPr>
                  <pic:blipFill>
                    <a:blip r:embed="rId11" cstate="print"/>
                    <a:stretch>
                      <a:fillRect/>
                    </a:stretch>
                  </pic:blipFill>
                  <pic:spPr>
                    <a:xfrm>
                      <a:off x="0" y="0"/>
                      <a:ext cx="201253" cy="114909"/>
                    </a:xfrm>
                    <a:prstGeom prst="rect">
                      <a:avLst/>
                    </a:prstGeom>
                  </pic:spPr>
                </pic:pic>
              </a:graphicData>
            </a:graphic>
          </wp:inline>
        </w:drawing>
      </w:r>
      <w:r>
        <w:rPr>
          <w:color w:val="950000"/>
          <w:spacing w:val="3"/>
        </w:rPr>
      </w:r>
    </w:p>
    <w:p>
      <w:pPr>
        <w:pStyle w:val="Heading8"/>
        <w:spacing w:before="93"/>
      </w:pPr>
      <w:r>
        <w:rPr/>
        <w:t>Art.</w:t>
      </w:r>
      <w:r>
        <w:rPr>
          <w:spacing w:val="-1"/>
        </w:rPr>
        <w:t> </w:t>
      </w:r>
      <w:r>
        <w:rPr/>
        <w:t>36, al.</w:t>
      </w:r>
      <w:r>
        <w:rPr>
          <w:spacing w:val="-3"/>
        </w:rPr>
        <w:t> </w:t>
      </w:r>
      <w:r>
        <w:rPr/>
        <w:t>4</w:t>
      </w:r>
      <w:r>
        <w:rPr>
          <w:spacing w:val="1"/>
        </w:rPr>
        <w:t> </w:t>
      </w:r>
      <w:r>
        <w:rPr>
          <w:spacing w:val="-2"/>
        </w:rPr>
        <w:t>LCdir</w:t>
      </w:r>
    </w:p>
    <w:p>
      <w:pPr>
        <w:pStyle w:val="BodyText"/>
        <w:spacing w:before="56"/>
        <w:ind w:left="1134" w:right="701"/>
        <w:jc w:val="both"/>
      </w:pPr>
      <w:r>
        <w:rPr>
          <w:rFonts w:ascii="Arial" w:hAnsi="Arial"/>
          <w:b/>
          <w:position w:val="6"/>
          <w:sz w:val="12"/>
        </w:rPr>
        <w:t>4</w:t>
      </w:r>
      <w:r>
        <w:rPr>
          <w:rFonts w:ascii="Arial" w:hAnsi="Arial"/>
          <w:b/>
          <w:spacing w:val="-2"/>
          <w:position w:val="6"/>
          <w:sz w:val="12"/>
        </w:rPr>
        <w:t> </w:t>
      </w:r>
      <w:r>
        <w:rPr/>
        <w:t>Sont</w:t>
      </w:r>
      <w:r>
        <w:rPr>
          <w:spacing w:val="-4"/>
        </w:rPr>
        <w:t> </w:t>
      </w:r>
      <w:r>
        <w:rPr/>
        <w:t>déduits</w:t>
      </w:r>
      <w:r>
        <w:rPr>
          <w:spacing w:val="-1"/>
        </w:rPr>
        <w:t> </w:t>
      </w:r>
      <w:r>
        <w:rPr/>
        <w:t>des</w:t>
      </w:r>
      <w:r>
        <w:rPr>
          <w:spacing w:val="-1"/>
        </w:rPr>
        <w:t> </w:t>
      </w:r>
      <w:r>
        <w:rPr/>
        <w:t>gains</w:t>
      </w:r>
      <w:r>
        <w:rPr>
          <w:spacing w:val="-1"/>
        </w:rPr>
        <w:t> </w:t>
      </w:r>
      <w:r>
        <w:rPr/>
        <w:t>unitaires</w:t>
      </w:r>
      <w:r>
        <w:rPr>
          <w:spacing w:val="-1"/>
        </w:rPr>
        <w:t> </w:t>
      </w:r>
      <w:r>
        <w:rPr/>
        <w:t>provenant</w:t>
      </w:r>
      <w:r>
        <w:rPr>
          <w:spacing w:val="-4"/>
        </w:rPr>
        <w:t> </w:t>
      </w:r>
      <w:r>
        <w:rPr/>
        <w:t>des</w:t>
      </w:r>
      <w:r>
        <w:rPr>
          <w:spacing w:val="-1"/>
        </w:rPr>
        <w:t> </w:t>
      </w:r>
      <w:r>
        <w:rPr/>
        <w:t>jeux</w:t>
      </w:r>
      <w:r>
        <w:rPr>
          <w:spacing w:val="-1"/>
        </w:rPr>
        <w:t> </w:t>
      </w:r>
      <w:r>
        <w:rPr/>
        <w:t>d’argent</w:t>
      </w:r>
      <w:r>
        <w:rPr>
          <w:spacing w:val="-2"/>
        </w:rPr>
        <w:t> </w:t>
      </w:r>
      <w:r>
        <w:rPr/>
        <w:t>non</w:t>
      </w:r>
      <w:r>
        <w:rPr>
          <w:spacing w:val="-1"/>
        </w:rPr>
        <w:t> </w:t>
      </w:r>
      <w:r>
        <w:rPr/>
        <w:t>exonérés</w:t>
      </w:r>
      <w:r>
        <w:rPr>
          <w:spacing w:val="-3"/>
        </w:rPr>
        <w:t> </w:t>
      </w:r>
      <w:r>
        <w:rPr/>
        <w:t>de</w:t>
      </w:r>
      <w:r>
        <w:rPr>
          <w:spacing w:val="-4"/>
        </w:rPr>
        <w:t> </w:t>
      </w:r>
      <w:r>
        <w:rPr/>
        <w:t>l’impôt</w:t>
      </w:r>
      <w:r>
        <w:rPr>
          <w:spacing w:val="-4"/>
        </w:rPr>
        <w:t> </w:t>
      </w:r>
      <w:r>
        <w:rPr/>
        <w:t>selon</w:t>
      </w:r>
      <w:r>
        <w:rPr>
          <w:spacing w:val="-1"/>
        </w:rPr>
        <w:t> </w:t>
      </w:r>
      <w:r>
        <w:rPr/>
        <w:t>l’article</w:t>
      </w:r>
      <w:r>
        <w:rPr>
          <w:spacing w:val="-4"/>
        </w:rPr>
        <w:t> </w:t>
      </w:r>
      <w:r>
        <w:rPr/>
        <w:t>27 let.</w:t>
      </w:r>
      <w:r>
        <w:rPr>
          <w:spacing w:val="-3"/>
        </w:rPr>
        <w:t> </w:t>
      </w:r>
      <w:r>
        <w:rPr/>
        <w:t>i</w:t>
      </w:r>
      <w:r>
        <w:rPr>
          <w:spacing w:val="-3"/>
        </w:rPr>
        <w:t> </w:t>
      </w:r>
      <w:r>
        <w:rPr/>
        <w:t>bis</w:t>
      </w:r>
      <w:r>
        <w:rPr>
          <w:spacing w:val="-2"/>
        </w:rPr>
        <w:t> </w:t>
      </w:r>
      <w:r>
        <w:rPr/>
        <w:t>à</w:t>
      </w:r>
      <w:r>
        <w:rPr>
          <w:spacing w:val="-3"/>
        </w:rPr>
        <w:t> </w:t>
      </w:r>
      <w:r>
        <w:rPr/>
        <w:t>j,</w:t>
      </w:r>
      <w:r>
        <w:rPr>
          <w:spacing w:val="-6"/>
        </w:rPr>
        <w:t> </w:t>
      </w:r>
      <w:r>
        <w:rPr/>
        <w:t>5%</w:t>
      </w:r>
      <w:r>
        <w:rPr>
          <w:spacing w:val="-3"/>
        </w:rPr>
        <w:t> </w:t>
      </w:r>
      <w:r>
        <w:rPr/>
        <w:t>à</w:t>
      </w:r>
      <w:r>
        <w:rPr>
          <w:spacing w:val="-3"/>
        </w:rPr>
        <w:t> </w:t>
      </w:r>
      <w:r>
        <w:rPr/>
        <w:t>titre</w:t>
      </w:r>
      <w:r>
        <w:rPr>
          <w:spacing w:val="-3"/>
        </w:rPr>
        <w:t> </w:t>
      </w:r>
      <w:r>
        <w:rPr/>
        <w:t>de</w:t>
      </w:r>
      <w:r>
        <w:rPr>
          <w:spacing w:val="-3"/>
        </w:rPr>
        <w:t> </w:t>
      </w:r>
      <w:r>
        <w:rPr/>
        <w:t>mise,</w:t>
      </w:r>
      <w:r>
        <w:rPr>
          <w:spacing w:val="-5"/>
        </w:rPr>
        <w:t> </w:t>
      </w:r>
      <w:r>
        <w:rPr/>
        <w:t>mais</w:t>
      </w:r>
      <w:r>
        <w:rPr>
          <w:spacing w:val="-5"/>
        </w:rPr>
        <w:t> </w:t>
      </w:r>
      <w:r>
        <w:rPr/>
        <w:t>au</w:t>
      </w:r>
      <w:r>
        <w:rPr>
          <w:spacing w:val="-3"/>
        </w:rPr>
        <w:t> </w:t>
      </w:r>
      <w:r>
        <w:rPr/>
        <w:t>plus</w:t>
      </w:r>
      <w:r>
        <w:rPr>
          <w:spacing w:val="-2"/>
        </w:rPr>
        <w:t> </w:t>
      </w:r>
      <w:r>
        <w:rPr/>
        <w:t>5.200</w:t>
      </w:r>
      <w:r>
        <w:rPr>
          <w:spacing w:val="-3"/>
        </w:rPr>
        <w:t> </w:t>
      </w:r>
      <w:r>
        <w:rPr/>
        <w:t>francs.</w:t>
      </w:r>
      <w:r>
        <w:rPr>
          <w:spacing w:val="-3"/>
        </w:rPr>
        <w:t> </w:t>
      </w:r>
      <w:r>
        <w:rPr/>
        <w:t>Sont</w:t>
      </w:r>
      <w:r>
        <w:rPr>
          <w:spacing w:val="-3"/>
        </w:rPr>
        <w:t> </w:t>
      </w:r>
      <w:r>
        <w:rPr/>
        <w:t>déduits</w:t>
      </w:r>
      <w:r>
        <w:rPr>
          <w:spacing w:val="-2"/>
        </w:rPr>
        <w:t> </w:t>
      </w:r>
      <w:r>
        <w:rPr/>
        <w:t>des</w:t>
      </w:r>
      <w:r>
        <w:rPr>
          <w:spacing w:val="-2"/>
        </w:rPr>
        <w:t> </w:t>
      </w:r>
      <w:r>
        <w:rPr/>
        <w:t>97</w:t>
      </w:r>
      <w:r>
        <w:rPr>
          <w:spacing w:val="-3"/>
        </w:rPr>
        <w:t> </w:t>
      </w:r>
      <w:r>
        <w:rPr/>
        <w:t>unitaires</w:t>
      </w:r>
      <w:r>
        <w:rPr>
          <w:spacing w:val="-2"/>
        </w:rPr>
        <w:t> </w:t>
      </w:r>
      <w:r>
        <w:rPr/>
        <w:t>provenant</w:t>
      </w:r>
      <w:r>
        <w:rPr>
          <w:spacing w:val="-3"/>
        </w:rPr>
        <w:t> </w:t>
      </w:r>
      <w:r>
        <w:rPr/>
        <w:t>de</w:t>
      </w:r>
      <w:r>
        <w:rPr>
          <w:spacing w:val="-3"/>
        </w:rPr>
        <w:t> </w:t>
      </w:r>
      <w:r>
        <w:rPr/>
        <w:t>la participation en ligne à des jeux de casino visés à l’article 27 i bis), les mises prélevées du compte en ligne du joueur au cours de l’année fiscale, mais au plus 25.800 francs.</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bookmarkStart w:name="Détermination du revenu imposable" w:id="16"/>
      <w:bookmarkEnd w:id="16"/>
      <w:r>
        <w:rPr>
          <w:b w:val="0"/>
        </w:rPr>
      </w:r>
      <w:bookmarkStart w:name="_bookmark6" w:id="17"/>
      <w:bookmarkEnd w:id="17"/>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Heading7"/>
        <w:spacing w:before="60"/>
        <w:ind w:left="851"/>
      </w:pPr>
      <w:r>
        <w:rPr/>
        <w:t>Le</w:t>
      </w:r>
      <w:r>
        <w:rPr>
          <w:spacing w:val="-4"/>
        </w:rPr>
        <w:t> </w:t>
      </w:r>
      <w:r>
        <w:rPr/>
        <w:t>revenu</w:t>
      </w:r>
      <w:r>
        <w:rPr>
          <w:spacing w:val="-2"/>
        </w:rPr>
        <w:t> </w:t>
      </w:r>
      <w:r>
        <w:rPr/>
        <w:t>imposable</w:t>
      </w:r>
      <w:r>
        <w:rPr>
          <w:spacing w:val="-2"/>
        </w:rPr>
        <w:t> </w:t>
      </w:r>
      <w:r>
        <w:rPr/>
        <w:t>correspond</w:t>
      </w:r>
      <w:r>
        <w:rPr>
          <w:spacing w:val="-2"/>
        </w:rPr>
        <w:t> </w:t>
      </w:r>
      <w:r>
        <w:rPr/>
        <w:t>au</w:t>
      </w:r>
      <w:r>
        <w:rPr>
          <w:spacing w:val="-2"/>
        </w:rPr>
        <w:t> </w:t>
      </w:r>
      <w:r>
        <w:rPr/>
        <w:t>revenu</w:t>
      </w:r>
      <w:r>
        <w:rPr>
          <w:spacing w:val="-4"/>
        </w:rPr>
        <w:t> </w:t>
      </w:r>
      <w:r>
        <w:rPr/>
        <w:t>net</w:t>
      </w:r>
      <w:r>
        <w:rPr>
          <w:spacing w:val="-1"/>
        </w:rPr>
        <w:t> </w:t>
      </w:r>
      <w:r>
        <w:rPr/>
        <w:t>diminué</w:t>
      </w:r>
      <w:r>
        <w:rPr>
          <w:spacing w:val="-2"/>
        </w:rPr>
        <w:t> </w:t>
      </w:r>
      <w:r>
        <w:rPr/>
        <w:t>des</w:t>
      </w:r>
      <w:r>
        <w:rPr>
          <w:spacing w:val="-2"/>
        </w:rPr>
        <w:t> </w:t>
      </w:r>
      <w:r>
        <w:rPr/>
        <w:t>déductions sociales.</w:t>
      </w:r>
      <w:r>
        <w:rPr>
          <w:spacing w:val="-4"/>
        </w:rPr>
        <w:t> </w:t>
      </w:r>
      <w:r>
        <w:rPr/>
        <w:t>Celui-ci</w:t>
      </w:r>
      <w:r>
        <w:rPr>
          <w:spacing w:val="-5"/>
        </w:rPr>
        <w:t> </w:t>
      </w:r>
      <w:r>
        <w:rPr/>
        <w:t>sert</w:t>
      </w:r>
      <w:r>
        <w:rPr>
          <w:spacing w:val="-1"/>
        </w:rPr>
        <w:t> </w:t>
      </w:r>
      <w:r>
        <w:rPr/>
        <w:t>de</w:t>
      </w:r>
      <w:r>
        <w:rPr>
          <w:spacing w:val="-2"/>
        </w:rPr>
        <w:t> </w:t>
      </w:r>
      <w:r>
        <w:rPr/>
        <w:t>base pour l’impôt sur le revenu.</w:t>
      </w:r>
    </w:p>
    <w:p>
      <w:pPr>
        <w:pStyle w:val="BodyText"/>
        <w:spacing w:before="11"/>
        <w:rPr>
          <w:sz w:val="20"/>
        </w:rPr>
      </w:pPr>
    </w:p>
    <w:p>
      <w:pPr>
        <w:pStyle w:val="Heading4"/>
      </w:pPr>
      <w:bookmarkStart w:name="Déductions sociales" w:id="18"/>
      <w:bookmarkEnd w:id="18"/>
      <w:r>
        <w:rPr/>
      </w:r>
      <w:r>
        <w:rPr>
          <w:color w:val="2D73B4"/>
        </w:rPr>
        <w:t>Déductions</w:t>
      </w:r>
      <w:r>
        <w:rPr>
          <w:color w:val="2D73B4"/>
          <w:spacing w:val="-4"/>
        </w:rPr>
        <w:t> </w:t>
      </w:r>
      <w:r>
        <w:rPr>
          <w:color w:val="2D73B4"/>
          <w:spacing w:val="-2"/>
        </w:rPr>
        <w:t>sociales</w:t>
      </w:r>
    </w:p>
    <w:p>
      <w:pPr>
        <w:pStyle w:val="BodyText"/>
        <w:spacing w:before="59"/>
        <w:ind w:left="851"/>
      </w:pPr>
      <w:r>
        <w:rPr/>
        <w:t>(Art.</w:t>
      </w:r>
      <w:r>
        <w:rPr>
          <w:spacing w:val="-3"/>
        </w:rPr>
        <w:t> </w:t>
      </w:r>
      <w:r>
        <w:rPr/>
        <w:t>38</w:t>
      </w:r>
      <w:r>
        <w:rPr>
          <w:spacing w:val="-3"/>
        </w:rPr>
        <w:t> </w:t>
      </w:r>
      <w:r>
        <w:rPr/>
        <w:t>et</w:t>
      </w:r>
      <w:r>
        <w:rPr>
          <w:spacing w:val="-1"/>
        </w:rPr>
        <w:t> </w:t>
      </w:r>
      <w:r>
        <w:rPr/>
        <w:t>39d</w:t>
      </w:r>
      <w:r>
        <w:rPr>
          <w:spacing w:val="1"/>
        </w:rPr>
        <w:t> </w:t>
      </w:r>
      <w:r>
        <w:rPr>
          <w:spacing w:val="-2"/>
        </w:rPr>
        <w:t>LCdir)</w:t>
      </w:r>
    </w:p>
    <w:p>
      <w:pPr>
        <w:pStyle w:val="BodyText"/>
        <w:spacing w:before="154"/>
      </w:pPr>
    </w:p>
    <w:p>
      <w:pPr>
        <w:pStyle w:val="Heading7"/>
        <w:jc w:val="both"/>
      </w:pPr>
      <w:r>
        <w:rPr>
          <w:color w:val="950000"/>
        </w:rPr>
        <w:t>Contribuables et familles à revenus modestes</w:t>
      </w:r>
      <w:r>
        <w:rPr>
          <w:color w:val="950000"/>
          <w:spacing w:val="80"/>
        </w:rPr>
        <w:t> </w:t>
      </w:r>
      <w:r>
        <w:rPr>
          <w:color w:val="950000"/>
          <w:spacing w:val="3"/>
        </w:rPr>
        <w:drawing>
          <wp:inline distT="0" distB="0" distL="0" distR="0">
            <wp:extent cx="200656" cy="115443"/>
            <wp:effectExtent l="0" t="0" r="0" b="0"/>
            <wp:docPr id="46" name="Image 46" descr="">
              <a:hlinkClick r:id="rId57"/>
            </wp:docPr>
            <wp:cNvGraphicFramePr>
              <a:graphicFrameLocks/>
            </wp:cNvGraphicFramePr>
            <a:graphic>
              <a:graphicData uri="http://schemas.openxmlformats.org/drawingml/2006/picture">
                <pic:pic>
                  <pic:nvPicPr>
                    <pic:cNvPr id="46" name="Image 46" descr="">
                      <a:hlinkClick r:id="rId57"/>
                    </pic:cNvPr>
                    <pic:cNvPicPr/>
                  </pic:nvPicPr>
                  <pic:blipFill>
                    <a:blip r:embed="rId58" cstate="print"/>
                    <a:stretch>
                      <a:fillRect/>
                    </a:stretch>
                  </pic:blipFill>
                  <pic:spPr>
                    <a:xfrm>
                      <a:off x="0" y="0"/>
                      <a:ext cx="200656" cy="115443"/>
                    </a:xfrm>
                    <a:prstGeom prst="rect">
                      <a:avLst/>
                    </a:prstGeom>
                  </pic:spPr>
                </pic:pic>
              </a:graphicData>
            </a:graphic>
          </wp:inline>
        </w:drawing>
      </w:r>
      <w:r>
        <w:rPr>
          <w:color w:val="950000"/>
          <w:spacing w:val="3"/>
        </w:rPr>
      </w:r>
    </w:p>
    <w:p>
      <w:pPr>
        <w:pStyle w:val="Heading8"/>
      </w:pPr>
      <w:r>
        <w:rPr/>
        <w:t>Art.</w:t>
      </w:r>
      <w:r>
        <w:rPr>
          <w:spacing w:val="-1"/>
        </w:rPr>
        <w:t> </w:t>
      </w:r>
      <w:r>
        <w:rPr/>
        <w:t>38, al.</w:t>
      </w:r>
      <w:r>
        <w:rPr>
          <w:spacing w:val="-2"/>
        </w:rPr>
        <w:t> </w:t>
      </w:r>
      <w:r>
        <w:rPr/>
        <w:t>1 et</w:t>
      </w:r>
      <w:r>
        <w:rPr>
          <w:spacing w:val="-2"/>
        </w:rPr>
        <w:t> </w:t>
      </w:r>
      <w:r>
        <w:rPr/>
        <w:t>2</w:t>
      </w:r>
      <w:r>
        <w:rPr>
          <w:spacing w:val="1"/>
        </w:rPr>
        <w:t> </w:t>
      </w:r>
      <w:r>
        <w:rPr>
          <w:spacing w:val="-4"/>
        </w:rPr>
        <w:t>LCdir</w:t>
      </w:r>
    </w:p>
    <w:p>
      <w:pPr>
        <w:pStyle w:val="BodyText"/>
        <w:spacing w:before="56"/>
        <w:ind w:left="1134" w:right="700"/>
        <w:jc w:val="both"/>
      </w:pPr>
      <w:r>
        <w:rPr>
          <w:position w:val="6"/>
          <w:sz w:val="12"/>
        </w:rPr>
        <w:t>1</w:t>
      </w:r>
      <w:r>
        <w:rPr>
          <w:spacing w:val="17"/>
          <w:position w:val="6"/>
          <w:sz w:val="12"/>
        </w:rPr>
        <w:t> </w:t>
      </w:r>
      <w:r>
        <w:rPr/>
        <w:t>Les</w:t>
      </w:r>
      <w:r>
        <w:rPr>
          <w:spacing w:val="-1"/>
        </w:rPr>
        <w:t> </w:t>
      </w:r>
      <w:r>
        <w:rPr/>
        <w:t>époux</w:t>
      </w:r>
      <w:r>
        <w:rPr>
          <w:spacing w:val="-1"/>
        </w:rPr>
        <w:t> </w:t>
      </w:r>
      <w:r>
        <w:rPr/>
        <w:t>vivant</w:t>
      </w:r>
      <w:r>
        <w:rPr>
          <w:spacing w:val="-2"/>
        </w:rPr>
        <w:t> </w:t>
      </w:r>
      <w:r>
        <w:rPr/>
        <w:t>en</w:t>
      </w:r>
      <w:r>
        <w:rPr>
          <w:spacing w:val="-1"/>
        </w:rPr>
        <w:t> </w:t>
      </w:r>
      <w:r>
        <w:rPr/>
        <w:t>ménage</w:t>
      </w:r>
      <w:r>
        <w:rPr>
          <w:spacing w:val="-1"/>
        </w:rPr>
        <w:t> </w:t>
      </w:r>
      <w:r>
        <w:rPr/>
        <w:t>commun,</w:t>
      </w:r>
      <w:r>
        <w:rPr>
          <w:spacing w:val="-2"/>
        </w:rPr>
        <w:t> </w:t>
      </w:r>
      <w:r>
        <w:rPr/>
        <w:t>ainsi</w:t>
      </w:r>
      <w:r>
        <w:rPr>
          <w:spacing w:val="-1"/>
        </w:rPr>
        <w:t> </w:t>
      </w:r>
      <w:r>
        <w:rPr/>
        <w:t>que</w:t>
      </w:r>
      <w:r>
        <w:rPr>
          <w:spacing w:val="-1"/>
        </w:rPr>
        <w:t> </w:t>
      </w:r>
      <w:r>
        <w:rPr/>
        <w:t>les</w:t>
      </w:r>
      <w:r>
        <w:rPr>
          <w:spacing w:val="-1"/>
        </w:rPr>
        <w:t> </w:t>
      </w:r>
      <w:r>
        <w:rPr/>
        <w:t>contribuables</w:t>
      </w:r>
      <w:r>
        <w:rPr>
          <w:spacing w:val="-1"/>
        </w:rPr>
        <w:t> </w:t>
      </w:r>
      <w:r>
        <w:rPr/>
        <w:t>veufs,</w:t>
      </w:r>
      <w:r>
        <w:rPr>
          <w:spacing w:val="-2"/>
        </w:rPr>
        <w:t> </w:t>
      </w:r>
      <w:r>
        <w:rPr/>
        <w:t>séparés,</w:t>
      </w:r>
      <w:r>
        <w:rPr>
          <w:spacing w:val="-2"/>
        </w:rPr>
        <w:t> </w:t>
      </w:r>
      <w:r>
        <w:rPr/>
        <w:t>divorcés ou</w:t>
      </w:r>
      <w:r>
        <w:rPr>
          <w:spacing w:val="-1"/>
        </w:rPr>
        <w:t> </w:t>
      </w:r>
      <w:r>
        <w:rPr/>
        <w:t>céliba-taires qui vivent en ménage commun avec</w:t>
      </w:r>
      <w:r>
        <w:rPr>
          <w:spacing w:val="-1"/>
        </w:rPr>
        <w:t> </w:t>
      </w:r>
      <w:r>
        <w:rPr/>
        <w:t>des enfants ou</w:t>
      </w:r>
      <w:r>
        <w:rPr>
          <w:spacing w:val="-1"/>
        </w:rPr>
        <w:t> </w:t>
      </w:r>
      <w:r>
        <w:rPr/>
        <w:t>des personnes</w:t>
      </w:r>
      <w:r>
        <w:rPr>
          <w:spacing w:val="-1"/>
        </w:rPr>
        <w:t> </w:t>
      </w:r>
      <w:r>
        <w:rPr/>
        <w:t>nécessiteuses,</w:t>
      </w:r>
      <w:r>
        <w:rPr>
          <w:spacing w:val="-2"/>
        </w:rPr>
        <w:t> </w:t>
      </w:r>
      <w:r>
        <w:rPr/>
        <w:t>dont ils</w:t>
      </w:r>
      <w:r>
        <w:rPr>
          <w:spacing w:val="-1"/>
        </w:rPr>
        <w:t> </w:t>
      </w:r>
      <w:r>
        <w:rPr/>
        <w:t>assu-ment pour l’essentiel l’entretien, peuvent déduire de leur revenu net un montant de 3.800 francs. Cette déduction est diminuée de 200 francs pour chaque tranche de 1.000 francs de revenu net dépassant</w:t>
      </w:r>
    </w:p>
    <w:p>
      <w:pPr>
        <w:pStyle w:val="BodyText"/>
        <w:ind w:left="1134"/>
        <w:jc w:val="both"/>
      </w:pPr>
      <w:r>
        <w:rPr/>
        <w:t>48.000</w:t>
      </w:r>
      <w:r>
        <w:rPr>
          <w:spacing w:val="-3"/>
        </w:rPr>
        <w:t> </w:t>
      </w:r>
      <w:r>
        <w:rPr>
          <w:spacing w:val="-2"/>
        </w:rPr>
        <w:t>francs.</w:t>
      </w:r>
    </w:p>
    <w:p>
      <w:pPr>
        <w:pStyle w:val="BodyText"/>
        <w:spacing w:before="37"/>
        <w:ind w:left="1134" w:right="703"/>
        <w:jc w:val="both"/>
      </w:pPr>
      <w:r>
        <w:rPr>
          <w:position w:val="6"/>
          <w:sz w:val="12"/>
        </w:rPr>
        <w:t>2</w:t>
      </w:r>
      <w:r>
        <w:rPr>
          <w:spacing w:val="10"/>
          <w:position w:val="6"/>
          <w:sz w:val="12"/>
        </w:rPr>
        <w:t> </w:t>
      </w:r>
      <w:r>
        <w:rPr/>
        <w:t>Les</w:t>
      </w:r>
      <w:r>
        <w:rPr>
          <w:spacing w:val="-8"/>
        </w:rPr>
        <w:t> </w:t>
      </w:r>
      <w:r>
        <w:rPr/>
        <w:t>autres</w:t>
      </w:r>
      <w:r>
        <w:rPr>
          <w:spacing w:val="-6"/>
        </w:rPr>
        <w:t> </w:t>
      </w:r>
      <w:r>
        <w:rPr/>
        <w:t>contribuables</w:t>
      </w:r>
      <w:r>
        <w:rPr>
          <w:spacing w:val="-6"/>
        </w:rPr>
        <w:t> </w:t>
      </w:r>
      <w:r>
        <w:rPr/>
        <w:t>peuvent</w:t>
      </w:r>
      <w:r>
        <w:rPr>
          <w:spacing w:val="-9"/>
        </w:rPr>
        <w:t> </w:t>
      </w:r>
      <w:r>
        <w:rPr/>
        <w:t>déduire</w:t>
      </w:r>
      <w:r>
        <w:rPr>
          <w:spacing w:val="-6"/>
        </w:rPr>
        <w:t> </w:t>
      </w:r>
      <w:r>
        <w:rPr/>
        <w:t>de</w:t>
      </w:r>
      <w:r>
        <w:rPr>
          <w:spacing w:val="-6"/>
        </w:rPr>
        <w:t> </w:t>
      </w:r>
      <w:r>
        <w:rPr/>
        <w:t>leur</w:t>
      </w:r>
      <w:r>
        <w:rPr>
          <w:spacing w:val="-7"/>
        </w:rPr>
        <w:t> </w:t>
      </w:r>
      <w:r>
        <w:rPr/>
        <w:t>revenu</w:t>
      </w:r>
      <w:r>
        <w:rPr>
          <w:spacing w:val="-9"/>
        </w:rPr>
        <w:t> </w:t>
      </w:r>
      <w:r>
        <w:rPr/>
        <w:t>net</w:t>
      </w:r>
      <w:r>
        <w:rPr>
          <w:spacing w:val="-7"/>
        </w:rPr>
        <w:t> </w:t>
      </w:r>
      <w:r>
        <w:rPr/>
        <w:t>un</w:t>
      </w:r>
      <w:r>
        <w:rPr>
          <w:spacing w:val="-6"/>
        </w:rPr>
        <w:t> </w:t>
      </w:r>
      <w:r>
        <w:rPr/>
        <w:t>montant</w:t>
      </w:r>
      <w:r>
        <w:rPr>
          <w:spacing w:val="-7"/>
        </w:rPr>
        <w:t> </w:t>
      </w:r>
      <w:r>
        <w:rPr/>
        <w:t>de</w:t>
      </w:r>
      <w:r>
        <w:rPr>
          <w:spacing w:val="-9"/>
        </w:rPr>
        <w:t> </w:t>
      </w:r>
      <w:r>
        <w:rPr/>
        <w:t>2.100</w:t>
      </w:r>
      <w:r>
        <w:rPr>
          <w:spacing w:val="-6"/>
        </w:rPr>
        <w:t> </w:t>
      </w:r>
      <w:r>
        <w:rPr/>
        <w:t>francs.</w:t>
      </w:r>
      <w:r>
        <w:rPr>
          <w:spacing w:val="-9"/>
        </w:rPr>
        <w:t> </w:t>
      </w:r>
      <w:r>
        <w:rPr/>
        <w:t>Cette</w:t>
      </w:r>
      <w:r>
        <w:rPr>
          <w:spacing w:val="-6"/>
        </w:rPr>
        <w:t> </w:t>
      </w:r>
      <w:r>
        <w:rPr/>
        <w:t>déduc-tion est diminuée de 100 francs pour chaque tranche de 1.000 francs de revenu net dépassant 26.000 </w:t>
      </w:r>
      <w:r>
        <w:rPr>
          <w:spacing w:val="-2"/>
        </w:rPr>
        <w:t>francs.</w:t>
      </w:r>
    </w:p>
    <w:p>
      <w:pPr>
        <w:pStyle w:val="BodyText"/>
        <w:spacing w:before="153"/>
      </w:pPr>
    </w:p>
    <w:p>
      <w:pPr>
        <w:pStyle w:val="Heading7"/>
        <w:spacing w:before="1"/>
        <w:jc w:val="both"/>
      </w:pPr>
      <w:r>
        <w:rPr>
          <w:color w:val="950000"/>
        </w:rPr>
        <w:t>Enfants à charge</w:t>
      </w:r>
      <w:r>
        <w:rPr>
          <w:color w:val="950000"/>
          <w:spacing w:val="80"/>
        </w:rPr>
        <w:t> </w:t>
      </w:r>
      <w:r>
        <w:rPr>
          <w:color w:val="950000"/>
          <w:spacing w:val="1"/>
        </w:rPr>
        <w:drawing>
          <wp:inline distT="0" distB="0" distL="0" distR="0">
            <wp:extent cx="201286" cy="114928"/>
            <wp:effectExtent l="0" t="0" r="0" b="0"/>
            <wp:docPr id="47" name="Image 47" descr="">
              <a:hlinkClick r:id="rId59"/>
            </wp:docPr>
            <wp:cNvGraphicFramePr>
              <a:graphicFrameLocks/>
            </wp:cNvGraphicFramePr>
            <a:graphic>
              <a:graphicData uri="http://schemas.openxmlformats.org/drawingml/2006/picture">
                <pic:pic>
                  <pic:nvPicPr>
                    <pic:cNvPr id="47" name="Image 47" descr="">
                      <a:hlinkClick r:id="rId59"/>
                    </pic:cNvPr>
                    <pic:cNvPicPr/>
                  </pic:nvPicPr>
                  <pic:blipFill>
                    <a:blip r:embed="rId11" cstate="print"/>
                    <a:stretch>
                      <a:fillRect/>
                    </a:stretch>
                  </pic:blipFill>
                  <pic:spPr>
                    <a:xfrm>
                      <a:off x="0" y="0"/>
                      <a:ext cx="201286" cy="114928"/>
                    </a:xfrm>
                    <a:prstGeom prst="rect">
                      <a:avLst/>
                    </a:prstGeom>
                  </pic:spPr>
                </pic:pic>
              </a:graphicData>
            </a:graphic>
          </wp:inline>
        </w:drawing>
      </w:r>
      <w:r>
        <w:rPr>
          <w:color w:val="950000"/>
          <w:spacing w:val="1"/>
        </w:rPr>
      </w:r>
    </w:p>
    <w:p>
      <w:pPr>
        <w:pStyle w:val="Heading8"/>
        <w:spacing w:before="93"/>
      </w:pPr>
      <w:r>
        <w:rPr/>
        <w:t>Art.</w:t>
      </w:r>
      <w:r>
        <w:rPr>
          <w:spacing w:val="-3"/>
        </w:rPr>
        <w:t> </w:t>
      </w:r>
      <w:r>
        <w:rPr/>
        <w:t>39d,</w:t>
      </w:r>
      <w:r>
        <w:rPr>
          <w:spacing w:val="-1"/>
        </w:rPr>
        <w:t> </w:t>
      </w:r>
      <w:r>
        <w:rPr/>
        <w:t>al.</w:t>
      </w:r>
      <w:r>
        <w:rPr>
          <w:spacing w:val="-1"/>
        </w:rPr>
        <w:t> </w:t>
      </w:r>
      <w:r>
        <w:rPr/>
        <w:t>1 </w:t>
      </w:r>
      <w:r>
        <w:rPr>
          <w:spacing w:val="-2"/>
        </w:rPr>
        <w:t>LCdir</w:t>
      </w:r>
    </w:p>
    <w:p>
      <w:pPr>
        <w:pStyle w:val="BodyText"/>
        <w:spacing w:before="56"/>
        <w:ind w:left="1134" w:right="700"/>
      </w:pPr>
      <w:r>
        <w:rPr>
          <w:position w:val="6"/>
          <w:sz w:val="12"/>
        </w:rPr>
        <w:t>1</w:t>
      </w:r>
      <w:r>
        <w:rPr>
          <w:spacing w:val="8"/>
          <w:position w:val="6"/>
          <w:sz w:val="12"/>
        </w:rPr>
        <w:t> </w:t>
      </w:r>
      <w:r>
        <w:rPr/>
        <w:t>Sont</w:t>
      </w:r>
      <w:r>
        <w:rPr>
          <w:spacing w:val="-9"/>
        </w:rPr>
        <w:t> </w:t>
      </w:r>
      <w:r>
        <w:rPr/>
        <w:t>déduits</w:t>
      </w:r>
      <w:r>
        <w:rPr>
          <w:spacing w:val="-8"/>
        </w:rPr>
        <w:t> </w:t>
      </w:r>
      <w:r>
        <w:rPr/>
        <w:t>du</w:t>
      </w:r>
      <w:r>
        <w:rPr>
          <w:spacing w:val="-9"/>
        </w:rPr>
        <w:t> </w:t>
      </w:r>
      <w:r>
        <w:rPr/>
        <w:t>revenu</w:t>
      </w:r>
      <w:r>
        <w:rPr>
          <w:spacing w:val="-9"/>
        </w:rPr>
        <w:t> </w:t>
      </w:r>
      <w:r>
        <w:rPr/>
        <w:t>net</w:t>
      </w:r>
      <w:r>
        <w:rPr>
          <w:spacing w:val="-9"/>
        </w:rPr>
        <w:t> </w:t>
      </w:r>
      <w:r>
        <w:rPr/>
        <w:t>pour</w:t>
      </w:r>
      <w:r>
        <w:rPr>
          <w:spacing w:val="-9"/>
        </w:rPr>
        <w:t> </w:t>
      </w:r>
      <w:r>
        <w:rPr/>
        <w:t>chaque</w:t>
      </w:r>
      <w:r>
        <w:rPr>
          <w:spacing w:val="-9"/>
        </w:rPr>
        <w:t> </w:t>
      </w:r>
      <w:r>
        <w:rPr/>
        <w:t>enfant</w:t>
      </w:r>
      <w:r>
        <w:rPr>
          <w:spacing w:val="-9"/>
        </w:rPr>
        <w:t> </w:t>
      </w:r>
      <w:r>
        <w:rPr/>
        <w:t>mineur</w:t>
      </w:r>
      <w:r>
        <w:rPr>
          <w:spacing w:val="-9"/>
        </w:rPr>
        <w:t> </w:t>
      </w:r>
      <w:r>
        <w:rPr/>
        <w:t>ou</w:t>
      </w:r>
      <w:r>
        <w:rPr>
          <w:spacing w:val="-9"/>
        </w:rPr>
        <w:t> </w:t>
      </w:r>
      <w:r>
        <w:rPr/>
        <w:t>majeur</w:t>
      </w:r>
      <w:r>
        <w:rPr>
          <w:spacing w:val="-9"/>
        </w:rPr>
        <w:t> </w:t>
      </w:r>
      <w:r>
        <w:rPr/>
        <w:t>poursuivant</w:t>
      </w:r>
      <w:r>
        <w:rPr>
          <w:spacing w:val="-9"/>
        </w:rPr>
        <w:t> </w:t>
      </w:r>
      <w:r>
        <w:rPr/>
        <w:t>un</w:t>
      </w:r>
      <w:r>
        <w:rPr>
          <w:spacing w:val="-9"/>
        </w:rPr>
        <w:t> </w:t>
      </w:r>
      <w:r>
        <w:rPr/>
        <w:t>apprentissage</w:t>
      </w:r>
      <w:r>
        <w:rPr>
          <w:spacing w:val="-9"/>
        </w:rPr>
        <w:t> </w:t>
      </w:r>
      <w:r>
        <w:rPr/>
        <w:t>ou</w:t>
      </w:r>
      <w:r>
        <w:rPr>
          <w:spacing w:val="-9"/>
        </w:rPr>
        <w:t> </w:t>
      </w:r>
      <w:r>
        <w:rPr/>
        <w:t>des études, dont le contribuable assume pour l'essentiel l'entretien</w:t>
      </w:r>
    </w:p>
    <w:p>
      <w:pPr>
        <w:pStyle w:val="ListParagraph"/>
        <w:numPr>
          <w:ilvl w:val="0"/>
          <w:numId w:val="9"/>
        </w:numPr>
        <w:tabs>
          <w:tab w:pos="1559" w:val="left" w:leader="none"/>
        </w:tabs>
        <w:spacing w:line="240" w:lineRule="auto" w:before="40" w:after="0"/>
        <w:ind w:left="1559" w:right="0" w:hanging="425"/>
        <w:jc w:val="left"/>
        <w:rPr>
          <w:sz w:val="18"/>
        </w:rPr>
      </w:pPr>
      <w:r>
        <w:rPr>
          <w:sz w:val="18"/>
        </w:rPr>
        <w:t>un</w:t>
      </w:r>
      <w:r>
        <w:rPr>
          <w:spacing w:val="-1"/>
          <w:sz w:val="18"/>
        </w:rPr>
        <w:t> </w:t>
      </w:r>
      <w:r>
        <w:rPr>
          <w:sz w:val="18"/>
        </w:rPr>
        <w:t>montant</w:t>
      </w:r>
      <w:r>
        <w:rPr>
          <w:spacing w:val="-1"/>
          <w:sz w:val="18"/>
        </w:rPr>
        <w:t> </w:t>
      </w:r>
      <w:r>
        <w:rPr>
          <w:sz w:val="18"/>
        </w:rPr>
        <w:t>de</w:t>
      </w:r>
      <w:r>
        <w:rPr>
          <w:spacing w:val="-4"/>
          <w:sz w:val="18"/>
        </w:rPr>
        <w:t> </w:t>
      </w:r>
      <w:r>
        <w:rPr>
          <w:sz w:val="18"/>
        </w:rPr>
        <w:t>6.200 francs*</w:t>
      </w:r>
      <w:r>
        <w:rPr>
          <w:spacing w:val="-3"/>
          <w:sz w:val="18"/>
        </w:rPr>
        <w:t> </w:t>
      </w:r>
      <w:r>
        <w:rPr>
          <w:sz w:val="18"/>
        </w:rPr>
        <w:t>pour</w:t>
      </w:r>
      <w:r>
        <w:rPr>
          <w:spacing w:val="-1"/>
          <w:sz w:val="18"/>
        </w:rPr>
        <w:t> </w:t>
      </w:r>
      <w:r>
        <w:rPr>
          <w:sz w:val="18"/>
        </w:rPr>
        <w:t>chaque</w:t>
      </w:r>
      <w:r>
        <w:rPr>
          <w:spacing w:val="-1"/>
          <w:sz w:val="18"/>
        </w:rPr>
        <w:t> </w:t>
      </w:r>
      <w:r>
        <w:rPr>
          <w:sz w:val="18"/>
        </w:rPr>
        <w:t>enfant</w:t>
      </w:r>
      <w:r>
        <w:rPr>
          <w:spacing w:val="-3"/>
          <w:sz w:val="18"/>
        </w:rPr>
        <w:t> </w:t>
      </w:r>
      <w:r>
        <w:rPr>
          <w:sz w:val="18"/>
        </w:rPr>
        <w:t>âgé</w:t>
      </w:r>
      <w:r>
        <w:rPr>
          <w:spacing w:val="-3"/>
          <w:sz w:val="18"/>
        </w:rPr>
        <w:t> </w:t>
      </w:r>
      <w:r>
        <w:rPr>
          <w:sz w:val="18"/>
        </w:rPr>
        <w:t>de</w:t>
      </w:r>
      <w:r>
        <w:rPr>
          <w:spacing w:val="-1"/>
          <w:sz w:val="18"/>
        </w:rPr>
        <w:t> </w:t>
      </w:r>
      <w:r>
        <w:rPr>
          <w:sz w:val="18"/>
        </w:rPr>
        <w:t>0</w:t>
      </w:r>
      <w:r>
        <w:rPr>
          <w:spacing w:val="-3"/>
          <w:sz w:val="18"/>
        </w:rPr>
        <w:t> </w:t>
      </w:r>
      <w:r>
        <w:rPr>
          <w:sz w:val="18"/>
        </w:rPr>
        <w:t>à</w:t>
      </w:r>
      <w:r>
        <w:rPr>
          <w:spacing w:val="-4"/>
          <w:sz w:val="18"/>
        </w:rPr>
        <w:t> </w:t>
      </w:r>
      <w:r>
        <w:rPr>
          <w:sz w:val="18"/>
        </w:rPr>
        <w:t>4 ans </w:t>
      </w:r>
      <w:r>
        <w:rPr>
          <w:spacing w:val="-10"/>
          <w:sz w:val="18"/>
        </w:rPr>
        <w:t>;</w:t>
      </w:r>
    </w:p>
    <w:p>
      <w:pPr>
        <w:pStyle w:val="ListParagraph"/>
        <w:numPr>
          <w:ilvl w:val="0"/>
          <w:numId w:val="9"/>
        </w:numPr>
        <w:tabs>
          <w:tab w:pos="1559" w:val="left" w:leader="none"/>
        </w:tabs>
        <w:spacing w:line="240" w:lineRule="auto" w:before="40" w:after="0"/>
        <w:ind w:left="1559" w:right="0" w:hanging="425"/>
        <w:jc w:val="left"/>
        <w:rPr>
          <w:sz w:val="18"/>
        </w:rPr>
      </w:pPr>
      <w:r>
        <w:rPr>
          <w:sz w:val="18"/>
        </w:rPr>
        <w:t>un</w:t>
      </w:r>
      <w:r>
        <w:rPr>
          <w:spacing w:val="-1"/>
          <w:sz w:val="18"/>
        </w:rPr>
        <w:t> </w:t>
      </w:r>
      <w:r>
        <w:rPr>
          <w:sz w:val="18"/>
        </w:rPr>
        <w:t>montant</w:t>
      </w:r>
      <w:r>
        <w:rPr>
          <w:spacing w:val="-2"/>
          <w:sz w:val="18"/>
        </w:rPr>
        <w:t> </w:t>
      </w:r>
      <w:r>
        <w:rPr>
          <w:sz w:val="18"/>
        </w:rPr>
        <w:t>de</w:t>
      </w:r>
      <w:r>
        <w:rPr>
          <w:spacing w:val="-3"/>
          <w:sz w:val="18"/>
        </w:rPr>
        <w:t> </w:t>
      </w:r>
      <w:r>
        <w:rPr>
          <w:sz w:val="18"/>
        </w:rPr>
        <w:t>6.700</w:t>
      </w:r>
      <w:r>
        <w:rPr>
          <w:spacing w:val="-1"/>
          <w:sz w:val="18"/>
        </w:rPr>
        <w:t> </w:t>
      </w:r>
      <w:r>
        <w:rPr>
          <w:sz w:val="18"/>
        </w:rPr>
        <w:t>francs*</w:t>
      </w:r>
      <w:r>
        <w:rPr>
          <w:spacing w:val="-2"/>
          <w:sz w:val="18"/>
        </w:rPr>
        <w:t> </w:t>
      </w:r>
      <w:r>
        <w:rPr>
          <w:sz w:val="18"/>
        </w:rPr>
        <w:t>pour</w:t>
      </w:r>
      <w:r>
        <w:rPr>
          <w:spacing w:val="-2"/>
          <w:sz w:val="18"/>
        </w:rPr>
        <w:t> </w:t>
      </w:r>
      <w:r>
        <w:rPr>
          <w:sz w:val="18"/>
        </w:rPr>
        <w:t>chaque</w:t>
      </w:r>
      <w:r>
        <w:rPr>
          <w:spacing w:val="-1"/>
          <w:sz w:val="18"/>
        </w:rPr>
        <w:t> </w:t>
      </w:r>
      <w:r>
        <w:rPr>
          <w:sz w:val="18"/>
        </w:rPr>
        <w:t>enfant</w:t>
      </w:r>
      <w:r>
        <w:rPr>
          <w:spacing w:val="-3"/>
          <w:sz w:val="18"/>
        </w:rPr>
        <w:t> </w:t>
      </w:r>
      <w:r>
        <w:rPr>
          <w:sz w:val="18"/>
        </w:rPr>
        <w:t>âgé</w:t>
      </w:r>
      <w:r>
        <w:rPr>
          <w:spacing w:val="-4"/>
          <w:sz w:val="18"/>
        </w:rPr>
        <w:t> </w:t>
      </w:r>
      <w:r>
        <w:rPr>
          <w:sz w:val="18"/>
        </w:rPr>
        <w:t>de 4</w:t>
      </w:r>
      <w:r>
        <w:rPr>
          <w:spacing w:val="-4"/>
          <w:sz w:val="18"/>
        </w:rPr>
        <w:t> </w:t>
      </w:r>
      <w:r>
        <w:rPr>
          <w:sz w:val="18"/>
        </w:rPr>
        <w:t>ans</w:t>
      </w:r>
      <w:r>
        <w:rPr>
          <w:spacing w:val="-1"/>
          <w:sz w:val="18"/>
        </w:rPr>
        <w:t> </w:t>
      </w:r>
      <w:r>
        <w:rPr>
          <w:sz w:val="18"/>
        </w:rPr>
        <w:t>à 14</w:t>
      </w:r>
      <w:r>
        <w:rPr>
          <w:spacing w:val="-1"/>
          <w:sz w:val="18"/>
        </w:rPr>
        <w:t> </w:t>
      </w:r>
      <w:r>
        <w:rPr>
          <w:sz w:val="18"/>
        </w:rPr>
        <w:t>ans </w:t>
      </w:r>
      <w:r>
        <w:rPr>
          <w:spacing w:val="-10"/>
          <w:sz w:val="18"/>
        </w:rPr>
        <w:t>;</w:t>
      </w:r>
    </w:p>
    <w:p>
      <w:pPr>
        <w:pStyle w:val="ListParagraph"/>
        <w:numPr>
          <w:ilvl w:val="0"/>
          <w:numId w:val="9"/>
        </w:numPr>
        <w:tabs>
          <w:tab w:pos="1559" w:val="left" w:leader="none"/>
        </w:tabs>
        <w:spacing w:line="240" w:lineRule="auto" w:before="41" w:after="0"/>
        <w:ind w:left="1559" w:right="0" w:hanging="425"/>
        <w:jc w:val="left"/>
        <w:rPr>
          <w:sz w:val="20"/>
        </w:rPr>
      </w:pPr>
      <w:r>
        <w:rPr>
          <w:sz w:val="18"/>
        </w:rPr>
        <w:t>un</w:t>
      </w:r>
      <w:r>
        <w:rPr>
          <w:spacing w:val="-1"/>
          <w:sz w:val="18"/>
        </w:rPr>
        <w:t> </w:t>
      </w:r>
      <w:r>
        <w:rPr>
          <w:sz w:val="18"/>
        </w:rPr>
        <w:t>montant</w:t>
      </w:r>
      <w:r>
        <w:rPr>
          <w:spacing w:val="-2"/>
          <w:sz w:val="18"/>
        </w:rPr>
        <w:t> </w:t>
      </w:r>
      <w:r>
        <w:rPr>
          <w:sz w:val="18"/>
        </w:rPr>
        <w:t>de</w:t>
      </w:r>
      <w:r>
        <w:rPr>
          <w:spacing w:val="-4"/>
          <w:sz w:val="18"/>
        </w:rPr>
        <w:t> </w:t>
      </w:r>
      <w:r>
        <w:rPr>
          <w:sz w:val="18"/>
        </w:rPr>
        <w:t>8.200 francs*</w:t>
      </w:r>
      <w:r>
        <w:rPr>
          <w:spacing w:val="-3"/>
          <w:sz w:val="18"/>
        </w:rPr>
        <w:t> </w:t>
      </w:r>
      <w:r>
        <w:rPr>
          <w:sz w:val="18"/>
        </w:rPr>
        <w:t>pour</w:t>
      </w:r>
      <w:r>
        <w:rPr>
          <w:spacing w:val="-2"/>
          <w:sz w:val="18"/>
        </w:rPr>
        <w:t> </w:t>
      </w:r>
      <w:r>
        <w:rPr>
          <w:sz w:val="18"/>
        </w:rPr>
        <w:t>chaque enfant</w:t>
      </w:r>
      <w:r>
        <w:rPr>
          <w:spacing w:val="-4"/>
          <w:sz w:val="18"/>
        </w:rPr>
        <w:t> </w:t>
      </w:r>
      <w:r>
        <w:rPr>
          <w:sz w:val="18"/>
        </w:rPr>
        <w:t>âgé</w:t>
      </w:r>
      <w:r>
        <w:rPr>
          <w:spacing w:val="-4"/>
          <w:sz w:val="18"/>
        </w:rPr>
        <w:t> </w:t>
      </w:r>
      <w:r>
        <w:rPr>
          <w:sz w:val="18"/>
        </w:rPr>
        <w:t>de plus</w:t>
      </w:r>
      <w:r>
        <w:rPr>
          <w:spacing w:val="-3"/>
          <w:sz w:val="18"/>
        </w:rPr>
        <w:t> </w:t>
      </w:r>
      <w:r>
        <w:rPr>
          <w:sz w:val="18"/>
        </w:rPr>
        <w:t>de</w:t>
      </w:r>
      <w:r>
        <w:rPr>
          <w:spacing w:val="-1"/>
          <w:sz w:val="18"/>
        </w:rPr>
        <w:t> </w:t>
      </w:r>
      <w:r>
        <w:rPr>
          <w:sz w:val="18"/>
        </w:rPr>
        <w:t>14</w:t>
      </w:r>
      <w:r>
        <w:rPr>
          <w:spacing w:val="-3"/>
          <w:sz w:val="18"/>
        </w:rPr>
        <w:t> </w:t>
      </w:r>
      <w:r>
        <w:rPr>
          <w:spacing w:val="-4"/>
          <w:sz w:val="18"/>
        </w:rPr>
        <w:t>ans</w:t>
      </w:r>
      <w:r>
        <w:rPr>
          <w:color w:val="950000"/>
          <w:spacing w:val="-4"/>
          <w:sz w:val="20"/>
        </w:rPr>
        <w:t>.</w:t>
      </w:r>
    </w:p>
    <w:p>
      <w:pPr>
        <w:pStyle w:val="BodyText"/>
        <w:spacing w:before="38"/>
        <w:ind w:left="1134"/>
      </w:pPr>
      <w:r>
        <w:rPr/>
        <w:t>*Dès</w:t>
      </w:r>
      <w:r>
        <w:rPr>
          <w:spacing w:val="-2"/>
        </w:rPr>
        <w:t> </w:t>
      </w:r>
      <w:r>
        <w:rPr/>
        <w:t>la</w:t>
      </w:r>
      <w:r>
        <w:rPr>
          <w:spacing w:val="-4"/>
        </w:rPr>
        <w:t> </w:t>
      </w:r>
      <w:r>
        <w:rPr/>
        <w:t>période</w:t>
      </w:r>
      <w:r>
        <w:rPr>
          <w:spacing w:val="-2"/>
        </w:rPr>
        <w:t> </w:t>
      </w:r>
      <w:r>
        <w:rPr/>
        <w:t>fiscale</w:t>
      </w:r>
      <w:r>
        <w:rPr>
          <w:spacing w:val="-1"/>
        </w:rPr>
        <w:t> </w:t>
      </w:r>
      <w:r>
        <w:rPr>
          <w:spacing w:val="-4"/>
        </w:rPr>
        <w:t>2023.</w:t>
      </w:r>
    </w:p>
    <w:p>
      <w:pPr>
        <w:pStyle w:val="BodyText"/>
        <w:spacing w:before="154"/>
      </w:pPr>
    </w:p>
    <w:p>
      <w:pPr>
        <w:pStyle w:val="Heading7"/>
      </w:pPr>
      <w:r>
        <w:rPr>
          <w:color w:val="950000"/>
        </w:rPr>
        <w:t>Personnes nécessiteuses à charge</w:t>
      </w:r>
      <w:r>
        <w:rPr>
          <w:color w:val="950000"/>
          <w:spacing w:val="80"/>
        </w:rPr>
        <w:t> </w:t>
      </w:r>
      <w:r>
        <w:rPr>
          <w:color w:val="950000"/>
          <w:spacing w:val="2"/>
        </w:rPr>
        <w:drawing>
          <wp:inline distT="0" distB="0" distL="0" distR="0">
            <wp:extent cx="201233" cy="114894"/>
            <wp:effectExtent l="0" t="0" r="0" b="0"/>
            <wp:docPr id="48" name="Image 48" descr="">
              <a:hlinkClick r:id="rId60"/>
            </wp:docPr>
            <wp:cNvGraphicFramePr>
              <a:graphicFrameLocks/>
            </wp:cNvGraphicFramePr>
            <a:graphic>
              <a:graphicData uri="http://schemas.openxmlformats.org/drawingml/2006/picture">
                <pic:pic>
                  <pic:nvPicPr>
                    <pic:cNvPr id="48" name="Image 48" descr="">
                      <a:hlinkClick r:id="rId60"/>
                    </pic:cNvPr>
                    <pic:cNvPicPr/>
                  </pic:nvPicPr>
                  <pic:blipFill>
                    <a:blip r:embed="rId11" cstate="print"/>
                    <a:stretch>
                      <a:fillRect/>
                    </a:stretch>
                  </pic:blipFill>
                  <pic:spPr>
                    <a:xfrm>
                      <a:off x="0" y="0"/>
                      <a:ext cx="201233" cy="114894"/>
                    </a:xfrm>
                    <a:prstGeom prst="rect">
                      <a:avLst/>
                    </a:prstGeom>
                  </pic:spPr>
                </pic:pic>
              </a:graphicData>
            </a:graphic>
          </wp:inline>
        </w:drawing>
      </w:r>
      <w:r>
        <w:rPr>
          <w:color w:val="950000"/>
          <w:spacing w:val="2"/>
        </w:rPr>
      </w:r>
    </w:p>
    <w:p>
      <w:pPr>
        <w:pStyle w:val="Heading8"/>
      </w:pPr>
      <w:r>
        <w:rPr/>
        <w:t>Art.</w:t>
      </w:r>
      <w:r>
        <w:rPr>
          <w:spacing w:val="-3"/>
        </w:rPr>
        <w:t> </w:t>
      </w:r>
      <w:r>
        <w:rPr/>
        <w:t>39d,</w:t>
      </w:r>
      <w:r>
        <w:rPr>
          <w:spacing w:val="-1"/>
        </w:rPr>
        <w:t> </w:t>
      </w:r>
      <w:r>
        <w:rPr/>
        <w:t>al.</w:t>
      </w:r>
      <w:r>
        <w:rPr>
          <w:spacing w:val="-1"/>
        </w:rPr>
        <w:t> </w:t>
      </w:r>
      <w:r>
        <w:rPr/>
        <w:t>2 </w:t>
      </w:r>
      <w:r>
        <w:rPr>
          <w:spacing w:val="-2"/>
        </w:rPr>
        <w:t>LCdir</w:t>
      </w:r>
    </w:p>
    <w:p>
      <w:pPr>
        <w:pStyle w:val="BodyText"/>
        <w:spacing w:before="56"/>
        <w:ind w:left="1134" w:right="703"/>
        <w:jc w:val="both"/>
      </w:pPr>
      <w:r>
        <w:rPr>
          <w:position w:val="6"/>
          <w:sz w:val="12"/>
        </w:rPr>
        <w:t>2 </w:t>
      </w:r>
      <w:r>
        <w:rPr/>
        <w:t>En outre, un montant de 3.100 francs* est déduit pour chaque personne qui est sans fortune et inca-pable de gagner sa vie par suite de maladie, d'invalidité ou de vieillesse, à l'entretien de laquelle le contribuable pourvoit, à condition que son aide atteigne au moins le montant de la déduction.</w:t>
      </w:r>
    </w:p>
    <w:p>
      <w:pPr>
        <w:pStyle w:val="BodyText"/>
        <w:spacing w:before="39"/>
        <w:ind w:left="1134"/>
        <w:jc w:val="both"/>
      </w:pPr>
      <w:r>
        <w:rPr/>
        <w:t>*Dès</w:t>
      </w:r>
      <w:r>
        <w:rPr>
          <w:spacing w:val="-2"/>
        </w:rPr>
        <w:t> </w:t>
      </w:r>
      <w:r>
        <w:rPr/>
        <w:t>la</w:t>
      </w:r>
      <w:r>
        <w:rPr>
          <w:spacing w:val="-4"/>
        </w:rPr>
        <w:t> </w:t>
      </w:r>
      <w:r>
        <w:rPr/>
        <w:t>période</w:t>
      </w:r>
      <w:r>
        <w:rPr>
          <w:spacing w:val="-2"/>
        </w:rPr>
        <w:t> </w:t>
      </w:r>
      <w:r>
        <w:rPr/>
        <w:t>fiscale</w:t>
      </w:r>
      <w:r>
        <w:rPr>
          <w:spacing w:val="-1"/>
        </w:rPr>
        <w:t> </w:t>
      </w:r>
      <w:r>
        <w:rPr>
          <w:spacing w:val="-4"/>
        </w:rPr>
        <w:t>2023.</w:t>
      </w:r>
    </w:p>
    <w:p>
      <w:pPr>
        <w:pStyle w:val="BodyText"/>
        <w:spacing w:before="16"/>
      </w:pPr>
    </w:p>
    <w:p>
      <w:pPr>
        <w:pStyle w:val="Heading3"/>
        <w:tabs>
          <w:tab w:pos="851" w:val="left" w:leader="none"/>
        </w:tabs>
        <w:ind w:left="183"/>
      </w:pPr>
      <w:r>
        <w:rPr>
          <w:b w:val="0"/>
          <w:position w:val="-10"/>
        </w:rPr>
        <w:drawing>
          <wp:inline distT="0" distB="0" distL="0" distR="0">
            <wp:extent cx="259076" cy="313678"/>
            <wp:effectExtent l="0" t="0" r="0" b="0"/>
            <wp:docPr id="49" name="Image 49" descr="Simulateur fiscal cantonal">
              <a:hlinkClick r:id="rId61"/>
            </wp:docPr>
            <wp:cNvGraphicFramePr>
              <a:graphicFrameLocks/>
            </wp:cNvGraphicFramePr>
            <a:graphic>
              <a:graphicData uri="http://schemas.openxmlformats.org/drawingml/2006/picture">
                <pic:pic>
                  <pic:nvPicPr>
                    <pic:cNvPr id="49" name="Image 49" descr="Simulateur fiscal cantonal">
                      <a:hlinkClick r:id="rId61"/>
                    </pic:cNvPr>
                    <pic:cNvPicPr/>
                  </pic:nvPicPr>
                  <pic:blipFill>
                    <a:blip r:embed="rId12" cstate="print"/>
                    <a:stretch>
                      <a:fillRect/>
                    </a:stretch>
                  </pic:blipFill>
                  <pic:spPr>
                    <a:xfrm>
                      <a:off x="0" y="0"/>
                      <a:ext cx="259076" cy="313678"/>
                    </a:xfrm>
                    <a:prstGeom prst="rect">
                      <a:avLst/>
                    </a:prstGeom>
                  </pic:spPr>
                </pic:pic>
              </a:graphicData>
            </a:graphic>
          </wp:inline>
        </w:drawing>
      </w:r>
      <w:r>
        <w:rPr>
          <w:b w:val="0"/>
          <w:position w:val="-10"/>
        </w:rPr>
      </w:r>
      <w:r>
        <w:rPr>
          <w:rFonts w:ascii="Times New Roman" w:hAnsi="Times New Roman"/>
          <w:b w:val="0"/>
          <w:sz w:val="20"/>
        </w:rPr>
        <w:tab/>
      </w:r>
      <w:bookmarkStart w:name="Calcul de l’impôt" w:id="19"/>
      <w:bookmarkEnd w:id="19"/>
      <w:r>
        <w:rPr>
          <w:rFonts w:ascii="Times New Roman" w:hAnsi="Times New Roman"/>
          <w:b w:val="0"/>
          <w:sz w:val="20"/>
        </w:rPr>
      </w:r>
      <w:bookmarkStart w:name="_bookmark7" w:id="20"/>
      <w:bookmarkEnd w:id="20"/>
      <w:r>
        <w:rPr>
          <w:rFonts w:ascii="Times New Roman" w:hAnsi="Times New Roman"/>
          <w:b w:val="0"/>
          <w:sz w:val="2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3"/>
        <w:ind w:left="851"/>
      </w:pPr>
      <w:r>
        <w:rPr/>
        <w:t>(Art.</w:t>
      </w:r>
      <w:r>
        <w:rPr>
          <w:spacing w:val="-1"/>
        </w:rPr>
        <w:t> </w:t>
      </w:r>
      <w:r>
        <w:rPr/>
        <w:t>40</w:t>
      </w:r>
      <w:r>
        <w:rPr>
          <w:spacing w:val="-2"/>
        </w:rPr>
        <w:t> </w:t>
      </w:r>
      <w:r>
        <w:rPr/>
        <w:t>à</w:t>
      </w:r>
      <w:r>
        <w:rPr>
          <w:spacing w:val="1"/>
        </w:rPr>
        <w:t> </w:t>
      </w:r>
      <w:r>
        <w:rPr/>
        <w:t>44</w:t>
      </w:r>
      <w:r>
        <w:rPr>
          <w:spacing w:val="-2"/>
        </w:rPr>
        <w:t> LCdir)</w:t>
      </w:r>
    </w:p>
    <w:p>
      <w:pPr>
        <w:pStyle w:val="BodyText"/>
        <w:spacing w:before="36"/>
      </w:pPr>
    </w:p>
    <w:p>
      <w:pPr>
        <w:pStyle w:val="Heading4"/>
      </w:pPr>
      <w:bookmarkStart w:name="Taux" w:id="21"/>
      <w:bookmarkEnd w:id="21"/>
      <w:r>
        <w:rPr/>
      </w:r>
      <w:r>
        <w:rPr>
          <w:color w:val="2D73B4"/>
          <w:spacing w:val="-4"/>
        </w:rPr>
        <w:t>Taux</w:t>
      </w:r>
    </w:p>
    <w:p>
      <w:pPr>
        <w:pStyle w:val="BodyText"/>
        <w:spacing w:before="59"/>
        <w:ind w:left="851"/>
      </w:pPr>
      <w:r>
        <w:rPr/>
        <w:t>(Art.</w:t>
      </w:r>
      <w:r>
        <w:rPr>
          <w:spacing w:val="-1"/>
        </w:rPr>
        <w:t> </w:t>
      </w:r>
      <w:r>
        <w:rPr/>
        <w:t>40,</w:t>
      </w:r>
      <w:r>
        <w:rPr>
          <w:spacing w:val="-2"/>
        </w:rPr>
        <w:t> </w:t>
      </w:r>
      <w:r>
        <w:rPr/>
        <w:t>40b</w:t>
      </w:r>
      <w:r>
        <w:rPr>
          <w:spacing w:val="-3"/>
        </w:rPr>
        <w:t> </w:t>
      </w:r>
      <w:r>
        <w:rPr/>
        <w:t>à</w:t>
      </w:r>
      <w:r>
        <w:rPr>
          <w:spacing w:val="1"/>
        </w:rPr>
        <w:t> </w:t>
      </w:r>
      <w:r>
        <w:rPr/>
        <w:t>40c</w:t>
      </w:r>
      <w:r>
        <w:rPr>
          <w:spacing w:val="1"/>
        </w:rPr>
        <w:t> </w:t>
      </w:r>
      <w:r>
        <w:rPr>
          <w:spacing w:val="-2"/>
        </w:rPr>
        <w:t>LCdir)</w:t>
      </w:r>
    </w:p>
    <w:p>
      <w:pPr>
        <w:pStyle w:val="BodyText"/>
        <w:spacing w:before="152"/>
      </w:pPr>
    </w:p>
    <w:p>
      <w:pPr>
        <w:pStyle w:val="Heading7"/>
      </w:pPr>
      <w:r>
        <w:rPr>
          <w:color w:val="950000"/>
        </w:rPr>
        <w:t>Catégories</w:t>
      </w:r>
      <w:r>
        <w:rPr>
          <w:color w:val="950000"/>
          <w:spacing w:val="-7"/>
        </w:rPr>
        <w:t> </w:t>
      </w:r>
      <w:r>
        <w:rPr>
          <w:color w:val="950000"/>
        </w:rPr>
        <w:t>et</w:t>
      </w:r>
      <w:r>
        <w:rPr>
          <w:color w:val="950000"/>
          <w:spacing w:val="-10"/>
        </w:rPr>
        <w:t> </w:t>
      </w:r>
      <w:r>
        <w:rPr>
          <w:color w:val="950000"/>
          <w:spacing w:val="-4"/>
        </w:rPr>
        <w:t>taux</w:t>
      </w:r>
    </w:p>
    <w:p>
      <w:pPr>
        <w:pStyle w:val="Heading8"/>
        <w:spacing w:before="90"/>
      </w:pPr>
      <w:r>
        <w:rPr/>
        <w:t>Art.</w:t>
      </w:r>
      <w:r>
        <w:rPr>
          <w:spacing w:val="-2"/>
        </w:rPr>
        <w:t> </w:t>
      </w:r>
      <w:r>
        <w:rPr/>
        <w:t>40b</w:t>
      </w:r>
      <w:r>
        <w:rPr>
          <w:position w:val="6"/>
          <w:sz w:val="12"/>
        </w:rPr>
        <w:t>ter</w:t>
      </w:r>
      <w:r>
        <w:rPr>
          <w:spacing w:val="14"/>
          <w:position w:val="6"/>
          <w:sz w:val="12"/>
        </w:rPr>
        <w:t> </w:t>
      </w:r>
      <w:r>
        <w:rPr/>
        <w:t>al.</w:t>
      </w:r>
      <w:r>
        <w:rPr>
          <w:spacing w:val="-1"/>
        </w:rPr>
        <w:t> </w:t>
      </w:r>
      <w:r>
        <w:rPr/>
        <w:t>1,</w:t>
      </w:r>
      <w:r>
        <w:rPr>
          <w:spacing w:val="-3"/>
        </w:rPr>
        <w:t> </w:t>
      </w:r>
      <w:r>
        <w:rPr/>
        <w:t>2 et</w:t>
      </w:r>
      <w:r>
        <w:rPr>
          <w:spacing w:val="-3"/>
        </w:rPr>
        <w:t> </w:t>
      </w:r>
      <w:r>
        <w:rPr/>
        <w:t>4 LCdir</w:t>
      </w:r>
      <w:r>
        <w:rPr>
          <w:spacing w:val="-2"/>
        </w:rPr>
        <w:t> </w:t>
      </w:r>
      <w:r>
        <w:rPr/>
        <w:t>(pour</w:t>
      </w:r>
      <w:r>
        <w:rPr>
          <w:spacing w:val="-2"/>
        </w:rPr>
        <w:t> </w:t>
      </w:r>
      <w:r>
        <w:rPr/>
        <w:t>les</w:t>
      </w:r>
      <w:r>
        <w:rPr>
          <w:spacing w:val="-3"/>
        </w:rPr>
        <w:t> </w:t>
      </w:r>
      <w:r>
        <w:rPr/>
        <w:t>périodes fiscales 2023 et</w:t>
      </w:r>
      <w:r>
        <w:rPr>
          <w:spacing w:val="-3"/>
        </w:rPr>
        <w:t> </w:t>
      </w:r>
      <w:r>
        <w:rPr/>
        <w:t>dès</w:t>
      </w:r>
      <w:r>
        <w:rPr>
          <w:spacing w:val="-3"/>
        </w:rPr>
        <w:t> </w:t>
      </w:r>
      <w:r>
        <w:rPr>
          <w:spacing w:val="-2"/>
        </w:rPr>
        <w:t>2027)</w:t>
      </w:r>
    </w:p>
    <w:p>
      <w:pPr>
        <w:pStyle w:val="BodyText"/>
        <w:spacing w:before="56"/>
        <w:ind w:left="1134" w:right="700"/>
      </w:pPr>
      <w:r>
        <w:rPr>
          <w:position w:val="6"/>
          <w:sz w:val="12"/>
        </w:rPr>
        <w:t>1</w:t>
      </w:r>
      <w:r>
        <w:rPr>
          <w:spacing w:val="34"/>
          <w:position w:val="6"/>
          <w:sz w:val="12"/>
        </w:rPr>
        <w:t> </w:t>
      </w:r>
      <w:r>
        <w:rPr/>
        <w:t>L'impôt de base sur le revenu est déterminé d'après le système progressif par catégories, selon le</w:t>
      </w:r>
      <w:r>
        <w:rPr>
          <w:spacing w:val="40"/>
        </w:rPr>
        <w:t> </w:t>
      </w:r>
      <w:r>
        <w:rPr/>
        <w:t>barème suivant :</w:t>
      </w:r>
    </w:p>
    <w:p>
      <w:pPr>
        <w:pStyle w:val="BodyText"/>
        <w:spacing w:before="22"/>
        <w:rPr>
          <w:sz w:val="20"/>
        </w:rPr>
      </w:pPr>
    </w:p>
    <w:tbl>
      <w:tblPr>
        <w:tblW w:w="0" w:type="auto"/>
        <w:jc w:val="left"/>
        <w:tblInd w:w="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4"/>
        <w:gridCol w:w="1072"/>
        <w:gridCol w:w="1581"/>
        <w:gridCol w:w="1032"/>
        <w:gridCol w:w="1399"/>
        <w:gridCol w:w="1253"/>
      </w:tblGrid>
      <w:tr>
        <w:trPr>
          <w:trHeight w:val="885" w:hRule="atLeast"/>
        </w:trPr>
        <w:tc>
          <w:tcPr>
            <w:tcW w:w="2216" w:type="dxa"/>
            <w:gridSpan w:val="2"/>
          </w:tcPr>
          <w:p>
            <w:pPr>
              <w:pStyle w:val="TableParagraph"/>
              <w:spacing w:line="240" w:lineRule="auto" w:before="113"/>
              <w:jc w:val="left"/>
              <w:rPr>
                <w:sz w:val="18"/>
              </w:rPr>
            </w:pPr>
          </w:p>
          <w:p>
            <w:pPr>
              <w:pStyle w:val="TableParagraph"/>
              <w:spacing w:line="240" w:lineRule="auto"/>
              <w:ind w:left="1022"/>
              <w:jc w:val="left"/>
              <w:rPr>
                <w:rFonts w:ascii="Arial" w:hAnsi="Arial"/>
                <w:i/>
                <w:sz w:val="18"/>
              </w:rPr>
            </w:pPr>
            <w:r>
              <w:rPr>
                <w:rFonts w:ascii="Arial" w:hAnsi="Arial"/>
                <w:i/>
                <w:spacing w:val="-2"/>
                <w:sz w:val="18"/>
              </w:rPr>
              <w:t>Catégories</w:t>
            </w:r>
          </w:p>
        </w:tc>
        <w:tc>
          <w:tcPr>
            <w:tcW w:w="2613" w:type="dxa"/>
            <w:gridSpan w:val="2"/>
          </w:tcPr>
          <w:p>
            <w:pPr>
              <w:pStyle w:val="TableParagraph"/>
              <w:spacing w:line="240" w:lineRule="auto"/>
              <w:ind w:left="1448" w:right="118" w:firstLine="388"/>
              <w:rPr>
                <w:rFonts w:ascii="Arial" w:hAnsi="Arial"/>
                <w:i/>
                <w:sz w:val="18"/>
              </w:rPr>
            </w:pPr>
            <w:r>
              <w:rPr>
                <w:rFonts w:ascii="Arial" w:hAnsi="Arial"/>
                <w:i/>
                <w:sz w:val="18"/>
              </w:rPr>
              <w:t>Taux</w:t>
            </w:r>
            <w:r>
              <w:rPr>
                <w:rFonts w:ascii="Arial" w:hAnsi="Arial"/>
                <w:i/>
                <w:spacing w:val="-13"/>
                <w:sz w:val="18"/>
              </w:rPr>
              <w:t> </w:t>
            </w:r>
            <w:r>
              <w:rPr>
                <w:rFonts w:ascii="Arial" w:hAnsi="Arial"/>
                <w:i/>
                <w:sz w:val="18"/>
              </w:rPr>
              <w:t>de chaque</w:t>
            </w:r>
            <w:r>
              <w:rPr>
                <w:rFonts w:ascii="Arial" w:hAnsi="Arial"/>
                <w:i/>
                <w:spacing w:val="-3"/>
                <w:sz w:val="18"/>
              </w:rPr>
              <w:t> </w:t>
            </w:r>
            <w:r>
              <w:rPr>
                <w:rFonts w:ascii="Arial" w:hAnsi="Arial"/>
                <w:i/>
                <w:spacing w:val="-2"/>
                <w:sz w:val="18"/>
              </w:rPr>
              <w:t>caté-</w:t>
            </w:r>
          </w:p>
          <w:p>
            <w:pPr>
              <w:pStyle w:val="TableParagraph"/>
              <w:spacing w:line="206" w:lineRule="exact"/>
              <w:ind w:right="119"/>
              <w:rPr>
                <w:rFonts w:ascii="Arial"/>
                <w:i/>
                <w:sz w:val="18"/>
              </w:rPr>
            </w:pPr>
            <w:r>
              <w:rPr>
                <w:rFonts w:ascii="Arial"/>
                <w:i/>
                <w:spacing w:val="-2"/>
                <w:sz w:val="18"/>
              </w:rPr>
              <w:t>gorie</w:t>
            </w:r>
          </w:p>
        </w:tc>
        <w:tc>
          <w:tcPr>
            <w:tcW w:w="1399" w:type="dxa"/>
          </w:tcPr>
          <w:p>
            <w:pPr>
              <w:pStyle w:val="TableParagraph"/>
              <w:spacing w:line="201" w:lineRule="exact"/>
              <w:ind w:right="156"/>
              <w:rPr>
                <w:rFonts w:ascii="Arial" w:hAnsi="Arial"/>
                <w:i/>
                <w:sz w:val="18"/>
              </w:rPr>
            </w:pPr>
            <w:r>
              <w:rPr>
                <w:rFonts w:ascii="Arial" w:hAnsi="Arial"/>
                <w:i/>
                <w:sz w:val="18"/>
              </w:rPr>
              <w:t>Impôt</w:t>
            </w:r>
            <w:r>
              <w:rPr>
                <w:rFonts w:ascii="Arial" w:hAnsi="Arial"/>
                <w:i/>
                <w:spacing w:val="-2"/>
                <w:sz w:val="18"/>
              </w:rPr>
              <w:t> </w:t>
            </w:r>
            <w:r>
              <w:rPr>
                <w:rFonts w:ascii="Arial" w:hAnsi="Arial"/>
                <w:i/>
                <w:sz w:val="18"/>
              </w:rPr>
              <w:t>dû</w:t>
            </w:r>
            <w:r>
              <w:rPr>
                <w:rFonts w:ascii="Arial" w:hAnsi="Arial"/>
                <w:i/>
                <w:spacing w:val="-2"/>
                <w:sz w:val="18"/>
              </w:rPr>
              <w:t> </w:t>
            </w:r>
            <w:r>
              <w:rPr>
                <w:rFonts w:ascii="Arial" w:hAnsi="Arial"/>
                <w:i/>
                <w:spacing w:val="-4"/>
                <w:sz w:val="18"/>
              </w:rPr>
              <w:t>pour</w:t>
            </w:r>
          </w:p>
          <w:p>
            <w:pPr>
              <w:pStyle w:val="TableParagraph"/>
              <w:spacing w:line="240" w:lineRule="auto"/>
              <w:ind w:left="126" w:right="155" w:firstLine="372"/>
              <w:rPr>
                <w:rFonts w:ascii="Arial"/>
                <w:i/>
                <w:sz w:val="18"/>
              </w:rPr>
            </w:pPr>
            <w:r>
              <w:rPr>
                <w:rFonts w:ascii="Arial"/>
                <w:i/>
                <w:sz w:val="18"/>
              </w:rPr>
              <w:t>le</w:t>
            </w:r>
            <w:r>
              <w:rPr>
                <w:rFonts w:ascii="Arial"/>
                <w:i/>
                <w:spacing w:val="-13"/>
                <w:sz w:val="18"/>
              </w:rPr>
              <w:t> </w:t>
            </w:r>
            <w:r>
              <w:rPr>
                <w:rFonts w:ascii="Arial"/>
                <w:i/>
                <w:sz w:val="18"/>
              </w:rPr>
              <w:t>revenu maximal</w:t>
            </w:r>
            <w:r>
              <w:rPr>
                <w:rFonts w:ascii="Arial"/>
                <w:i/>
                <w:spacing w:val="-4"/>
                <w:sz w:val="18"/>
              </w:rPr>
              <w:t> </w:t>
            </w:r>
            <w:r>
              <w:rPr>
                <w:rFonts w:ascii="Arial"/>
                <w:i/>
                <w:sz w:val="18"/>
              </w:rPr>
              <w:t>de</w:t>
            </w:r>
            <w:r>
              <w:rPr>
                <w:rFonts w:ascii="Arial"/>
                <w:i/>
                <w:spacing w:val="-1"/>
                <w:sz w:val="18"/>
              </w:rPr>
              <w:t> </w:t>
            </w:r>
            <w:r>
              <w:rPr>
                <w:rFonts w:ascii="Arial"/>
                <w:i/>
                <w:spacing w:val="-5"/>
                <w:sz w:val="18"/>
              </w:rPr>
              <w:t>la</w:t>
            </w:r>
          </w:p>
          <w:p>
            <w:pPr>
              <w:pStyle w:val="TableParagraph"/>
              <w:spacing w:line="240" w:lineRule="auto" w:before="1"/>
              <w:ind w:right="155"/>
              <w:rPr>
                <w:rFonts w:ascii="Arial" w:hAnsi="Arial"/>
                <w:i/>
                <w:sz w:val="18"/>
              </w:rPr>
            </w:pPr>
            <w:r>
              <w:rPr>
                <w:rFonts w:ascii="Arial" w:hAnsi="Arial"/>
                <w:i/>
                <w:spacing w:val="-2"/>
                <w:sz w:val="18"/>
              </w:rPr>
              <w:t>catégorie</w:t>
            </w:r>
          </w:p>
        </w:tc>
        <w:tc>
          <w:tcPr>
            <w:tcW w:w="1253" w:type="dxa"/>
          </w:tcPr>
          <w:p>
            <w:pPr>
              <w:pStyle w:val="TableParagraph"/>
              <w:spacing w:line="240" w:lineRule="auto"/>
              <w:ind w:left="165" w:right="41" w:firstLine="38"/>
              <w:jc w:val="both"/>
              <w:rPr>
                <w:rFonts w:ascii="Arial" w:hAnsi="Arial"/>
                <w:i/>
                <w:sz w:val="18"/>
              </w:rPr>
            </w:pPr>
            <w:r>
              <w:rPr>
                <w:rFonts w:ascii="Arial" w:hAnsi="Arial"/>
                <w:i/>
                <w:sz w:val="18"/>
              </w:rPr>
              <w:t>Taux</w:t>
            </w:r>
            <w:r>
              <w:rPr>
                <w:rFonts w:ascii="Arial" w:hAnsi="Arial"/>
                <w:i/>
                <w:spacing w:val="-15"/>
                <w:sz w:val="18"/>
              </w:rPr>
              <w:t> </w:t>
            </w:r>
            <w:r>
              <w:rPr>
                <w:rFonts w:ascii="Arial" w:hAnsi="Arial"/>
                <w:i/>
                <w:sz w:val="18"/>
              </w:rPr>
              <w:t>réel</w:t>
            </w:r>
            <w:r>
              <w:rPr>
                <w:rFonts w:ascii="Arial" w:hAnsi="Arial"/>
                <w:i/>
                <w:spacing w:val="-12"/>
                <w:sz w:val="18"/>
              </w:rPr>
              <w:t> </w:t>
            </w:r>
            <w:r>
              <w:rPr>
                <w:rFonts w:ascii="Arial" w:hAnsi="Arial"/>
                <w:i/>
                <w:sz w:val="18"/>
              </w:rPr>
              <w:t>du maximum</w:t>
            </w:r>
            <w:r>
              <w:rPr>
                <w:rFonts w:ascii="Arial" w:hAnsi="Arial"/>
                <w:i/>
                <w:spacing w:val="-13"/>
                <w:sz w:val="18"/>
              </w:rPr>
              <w:t> </w:t>
            </w:r>
            <w:r>
              <w:rPr>
                <w:rFonts w:ascii="Arial" w:hAnsi="Arial"/>
                <w:i/>
                <w:sz w:val="18"/>
              </w:rPr>
              <w:t>de chaque</w:t>
            </w:r>
            <w:r>
              <w:rPr>
                <w:rFonts w:ascii="Arial" w:hAnsi="Arial"/>
                <w:i/>
                <w:spacing w:val="-3"/>
                <w:sz w:val="18"/>
              </w:rPr>
              <w:t> </w:t>
            </w:r>
            <w:r>
              <w:rPr>
                <w:rFonts w:ascii="Arial" w:hAnsi="Arial"/>
                <w:i/>
                <w:spacing w:val="-2"/>
                <w:sz w:val="18"/>
              </w:rPr>
              <w:t>caté-</w:t>
            </w:r>
          </w:p>
          <w:p>
            <w:pPr>
              <w:pStyle w:val="TableParagraph"/>
              <w:spacing w:line="240" w:lineRule="auto"/>
              <w:ind w:left="806"/>
              <w:jc w:val="left"/>
              <w:rPr>
                <w:rFonts w:ascii="Arial"/>
                <w:i/>
                <w:sz w:val="18"/>
              </w:rPr>
            </w:pPr>
            <w:r>
              <w:rPr>
                <w:rFonts w:ascii="Arial"/>
                <w:i/>
                <w:spacing w:val="-2"/>
                <w:sz w:val="18"/>
              </w:rPr>
              <w:t>gorie</w:t>
            </w:r>
          </w:p>
        </w:tc>
      </w:tr>
      <w:tr>
        <w:trPr>
          <w:trHeight w:val="266" w:hRule="atLeast"/>
        </w:trPr>
        <w:tc>
          <w:tcPr>
            <w:tcW w:w="1144" w:type="dxa"/>
          </w:tcPr>
          <w:p>
            <w:pPr>
              <w:pStyle w:val="TableParagraph"/>
              <w:spacing w:line="190" w:lineRule="exact" w:before="56"/>
              <w:ind w:right="290"/>
              <w:rPr>
                <w:rFonts w:ascii="Arial"/>
                <w:i/>
                <w:sz w:val="18"/>
              </w:rPr>
            </w:pPr>
            <w:r>
              <w:rPr>
                <w:rFonts w:ascii="Arial"/>
                <w:i/>
                <w:spacing w:val="-5"/>
                <w:sz w:val="18"/>
              </w:rPr>
              <w:t>Fr.</w:t>
            </w:r>
          </w:p>
        </w:tc>
        <w:tc>
          <w:tcPr>
            <w:tcW w:w="1072" w:type="dxa"/>
          </w:tcPr>
          <w:p>
            <w:pPr>
              <w:pStyle w:val="TableParagraph"/>
              <w:spacing w:line="240" w:lineRule="auto"/>
              <w:jc w:val="left"/>
              <w:rPr>
                <w:rFonts w:ascii="Times New Roman"/>
                <w:sz w:val="18"/>
              </w:rPr>
            </w:pPr>
          </w:p>
        </w:tc>
        <w:tc>
          <w:tcPr>
            <w:tcW w:w="1581" w:type="dxa"/>
          </w:tcPr>
          <w:p>
            <w:pPr>
              <w:pStyle w:val="TableParagraph"/>
              <w:spacing w:line="190" w:lineRule="exact" w:before="56"/>
              <w:ind w:right="454"/>
              <w:rPr>
                <w:rFonts w:ascii="Arial"/>
                <w:i/>
                <w:sz w:val="18"/>
              </w:rPr>
            </w:pPr>
            <w:r>
              <w:rPr>
                <w:rFonts w:ascii="Arial"/>
                <w:i/>
                <w:spacing w:val="-5"/>
                <w:sz w:val="18"/>
              </w:rPr>
              <w:t>Fr.</w:t>
            </w:r>
          </w:p>
        </w:tc>
        <w:tc>
          <w:tcPr>
            <w:tcW w:w="1032" w:type="dxa"/>
          </w:tcPr>
          <w:p>
            <w:pPr>
              <w:pStyle w:val="TableParagraph"/>
              <w:spacing w:line="190" w:lineRule="exact" w:before="56"/>
              <w:ind w:right="121"/>
              <w:rPr>
                <w:rFonts w:ascii="Arial"/>
                <w:i/>
                <w:sz w:val="18"/>
              </w:rPr>
            </w:pPr>
            <w:r>
              <w:rPr>
                <w:rFonts w:ascii="Arial"/>
                <w:i/>
                <w:spacing w:val="-10"/>
                <w:sz w:val="18"/>
              </w:rPr>
              <w:t>%</w:t>
            </w:r>
          </w:p>
        </w:tc>
        <w:tc>
          <w:tcPr>
            <w:tcW w:w="1399" w:type="dxa"/>
          </w:tcPr>
          <w:p>
            <w:pPr>
              <w:pStyle w:val="TableParagraph"/>
              <w:spacing w:line="190" w:lineRule="exact" w:before="56"/>
              <w:ind w:right="157"/>
              <w:rPr>
                <w:rFonts w:ascii="Arial"/>
                <w:i/>
                <w:sz w:val="18"/>
              </w:rPr>
            </w:pPr>
            <w:r>
              <w:rPr>
                <w:rFonts w:ascii="Arial"/>
                <w:i/>
                <w:spacing w:val="-5"/>
                <w:sz w:val="18"/>
              </w:rPr>
              <w:t>Fr.</w:t>
            </w:r>
          </w:p>
        </w:tc>
        <w:tc>
          <w:tcPr>
            <w:tcW w:w="1253" w:type="dxa"/>
          </w:tcPr>
          <w:p>
            <w:pPr>
              <w:pStyle w:val="TableParagraph"/>
              <w:spacing w:line="190" w:lineRule="exact" w:before="56"/>
              <w:ind w:right="44"/>
              <w:rPr>
                <w:rFonts w:ascii="Arial"/>
                <w:i/>
                <w:sz w:val="18"/>
              </w:rPr>
            </w:pPr>
            <w:r>
              <w:rPr>
                <w:rFonts w:ascii="Arial"/>
                <w:i/>
                <w:spacing w:val="-10"/>
                <w:sz w:val="18"/>
              </w:rPr>
              <w:t>%</w:t>
            </w:r>
          </w:p>
        </w:tc>
      </w:tr>
      <w:tr>
        <w:trPr>
          <w:trHeight w:val="206" w:hRule="atLeast"/>
        </w:trPr>
        <w:tc>
          <w:tcPr>
            <w:tcW w:w="1144" w:type="dxa"/>
          </w:tcPr>
          <w:p>
            <w:pPr>
              <w:pStyle w:val="TableParagraph"/>
              <w:ind w:right="291"/>
              <w:rPr>
                <w:sz w:val="18"/>
              </w:rPr>
            </w:pPr>
            <w:r>
              <w:rPr>
                <w:spacing w:val="-10"/>
                <w:sz w:val="18"/>
              </w:rPr>
              <w:t>0</w:t>
            </w:r>
          </w:p>
        </w:tc>
        <w:tc>
          <w:tcPr>
            <w:tcW w:w="1072" w:type="dxa"/>
          </w:tcPr>
          <w:p>
            <w:pPr>
              <w:pStyle w:val="TableParagraph"/>
              <w:ind w:left="290"/>
              <w:jc w:val="left"/>
              <w:rPr>
                <w:sz w:val="18"/>
              </w:rPr>
            </w:pPr>
            <w:r>
              <w:rPr>
                <w:spacing w:val="-10"/>
                <w:sz w:val="18"/>
              </w:rPr>
              <w:t>à</w:t>
            </w:r>
          </w:p>
        </w:tc>
        <w:tc>
          <w:tcPr>
            <w:tcW w:w="1581" w:type="dxa"/>
          </w:tcPr>
          <w:p>
            <w:pPr>
              <w:pStyle w:val="TableParagraph"/>
              <w:ind w:right="452"/>
              <w:rPr>
                <w:sz w:val="18"/>
              </w:rPr>
            </w:pPr>
            <w:r>
              <w:rPr>
                <w:spacing w:val="-2"/>
                <w:sz w:val="18"/>
              </w:rPr>
              <w:t>7.700.00</w:t>
            </w:r>
          </w:p>
        </w:tc>
        <w:tc>
          <w:tcPr>
            <w:tcW w:w="1032" w:type="dxa"/>
          </w:tcPr>
          <w:p>
            <w:pPr>
              <w:pStyle w:val="TableParagraph"/>
              <w:ind w:right="119"/>
              <w:rPr>
                <w:sz w:val="18"/>
              </w:rPr>
            </w:pPr>
            <w:r>
              <w:rPr>
                <w:spacing w:val="-4"/>
                <w:sz w:val="18"/>
              </w:rPr>
              <w:t>0,00</w:t>
            </w:r>
          </w:p>
        </w:tc>
        <w:tc>
          <w:tcPr>
            <w:tcW w:w="1399" w:type="dxa"/>
          </w:tcPr>
          <w:p>
            <w:pPr>
              <w:pStyle w:val="TableParagraph"/>
              <w:ind w:right="157"/>
              <w:rPr>
                <w:sz w:val="18"/>
              </w:rPr>
            </w:pPr>
            <w:r>
              <w:rPr>
                <w:spacing w:val="-10"/>
                <w:sz w:val="18"/>
              </w:rPr>
              <w:t>0</w:t>
            </w:r>
          </w:p>
        </w:tc>
        <w:tc>
          <w:tcPr>
            <w:tcW w:w="1253" w:type="dxa"/>
          </w:tcPr>
          <w:p>
            <w:pPr>
              <w:pStyle w:val="TableParagraph"/>
              <w:ind w:right="42"/>
              <w:rPr>
                <w:sz w:val="18"/>
              </w:rPr>
            </w:pPr>
            <w:r>
              <w:rPr>
                <w:spacing w:val="-2"/>
                <w:sz w:val="18"/>
              </w:rPr>
              <w:t>0,000</w:t>
            </w:r>
          </w:p>
        </w:tc>
      </w:tr>
      <w:tr>
        <w:trPr>
          <w:trHeight w:val="207" w:hRule="atLeast"/>
        </w:trPr>
        <w:tc>
          <w:tcPr>
            <w:tcW w:w="1144" w:type="dxa"/>
          </w:tcPr>
          <w:p>
            <w:pPr>
              <w:pStyle w:val="TableParagraph"/>
              <w:spacing w:line="188" w:lineRule="exact"/>
              <w:ind w:right="288"/>
              <w:rPr>
                <w:sz w:val="18"/>
              </w:rPr>
            </w:pPr>
            <w:r>
              <w:rPr>
                <w:spacing w:val="-2"/>
                <w:sz w:val="18"/>
              </w:rPr>
              <w:t>7.701.00</w:t>
            </w:r>
          </w:p>
        </w:tc>
        <w:tc>
          <w:tcPr>
            <w:tcW w:w="1072" w:type="dxa"/>
          </w:tcPr>
          <w:p>
            <w:pPr>
              <w:pStyle w:val="TableParagraph"/>
              <w:spacing w:line="188" w:lineRule="exact"/>
              <w:ind w:left="290"/>
              <w:jc w:val="left"/>
              <w:rPr>
                <w:sz w:val="18"/>
              </w:rPr>
            </w:pPr>
            <w:r>
              <w:rPr>
                <w:spacing w:val="-10"/>
                <w:sz w:val="18"/>
              </w:rPr>
              <w:t>à</w:t>
            </w:r>
          </w:p>
        </w:tc>
        <w:tc>
          <w:tcPr>
            <w:tcW w:w="1581" w:type="dxa"/>
          </w:tcPr>
          <w:p>
            <w:pPr>
              <w:pStyle w:val="TableParagraph"/>
              <w:spacing w:line="188" w:lineRule="exact"/>
              <w:ind w:right="452"/>
              <w:rPr>
                <w:sz w:val="18"/>
              </w:rPr>
            </w:pPr>
            <w:r>
              <w:rPr>
                <w:spacing w:val="-2"/>
                <w:sz w:val="18"/>
              </w:rPr>
              <w:t>10.300.00</w:t>
            </w:r>
          </w:p>
        </w:tc>
        <w:tc>
          <w:tcPr>
            <w:tcW w:w="1032" w:type="dxa"/>
          </w:tcPr>
          <w:p>
            <w:pPr>
              <w:pStyle w:val="TableParagraph"/>
              <w:spacing w:line="188" w:lineRule="exact"/>
              <w:ind w:right="119"/>
              <w:rPr>
                <w:sz w:val="18"/>
              </w:rPr>
            </w:pPr>
            <w:r>
              <w:rPr>
                <w:spacing w:val="-4"/>
                <w:sz w:val="18"/>
              </w:rPr>
              <w:t>2,00</w:t>
            </w:r>
          </w:p>
        </w:tc>
        <w:tc>
          <w:tcPr>
            <w:tcW w:w="1399" w:type="dxa"/>
          </w:tcPr>
          <w:p>
            <w:pPr>
              <w:pStyle w:val="TableParagraph"/>
              <w:spacing w:line="188" w:lineRule="exact"/>
              <w:ind w:right="155"/>
              <w:rPr>
                <w:sz w:val="18"/>
              </w:rPr>
            </w:pPr>
            <w:r>
              <w:rPr>
                <w:spacing w:val="-2"/>
                <w:sz w:val="18"/>
              </w:rPr>
              <w:t>52.00</w:t>
            </w:r>
          </w:p>
        </w:tc>
        <w:tc>
          <w:tcPr>
            <w:tcW w:w="1253" w:type="dxa"/>
          </w:tcPr>
          <w:p>
            <w:pPr>
              <w:pStyle w:val="TableParagraph"/>
              <w:spacing w:line="188" w:lineRule="exact"/>
              <w:ind w:right="42"/>
              <w:rPr>
                <w:sz w:val="18"/>
              </w:rPr>
            </w:pPr>
            <w:r>
              <w:rPr>
                <w:spacing w:val="-2"/>
                <w:sz w:val="18"/>
              </w:rPr>
              <w:t>0,505</w:t>
            </w:r>
          </w:p>
        </w:tc>
      </w:tr>
      <w:tr>
        <w:trPr>
          <w:trHeight w:val="207" w:hRule="atLeast"/>
        </w:trPr>
        <w:tc>
          <w:tcPr>
            <w:tcW w:w="1144" w:type="dxa"/>
          </w:tcPr>
          <w:p>
            <w:pPr>
              <w:pStyle w:val="TableParagraph"/>
              <w:spacing w:line="188" w:lineRule="exact"/>
              <w:ind w:right="288"/>
              <w:rPr>
                <w:sz w:val="18"/>
              </w:rPr>
            </w:pPr>
            <w:r>
              <w:rPr>
                <w:spacing w:val="-2"/>
                <w:sz w:val="18"/>
              </w:rPr>
              <w:t>10.301.00</w:t>
            </w:r>
          </w:p>
        </w:tc>
        <w:tc>
          <w:tcPr>
            <w:tcW w:w="1072" w:type="dxa"/>
          </w:tcPr>
          <w:p>
            <w:pPr>
              <w:pStyle w:val="TableParagraph"/>
              <w:spacing w:line="188" w:lineRule="exact"/>
              <w:ind w:left="290"/>
              <w:jc w:val="left"/>
              <w:rPr>
                <w:sz w:val="18"/>
              </w:rPr>
            </w:pPr>
            <w:r>
              <w:rPr>
                <w:spacing w:val="-10"/>
                <w:sz w:val="18"/>
              </w:rPr>
              <w:t>à</w:t>
            </w:r>
          </w:p>
        </w:tc>
        <w:tc>
          <w:tcPr>
            <w:tcW w:w="1581" w:type="dxa"/>
          </w:tcPr>
          <w:p>
            <w:pPr>
              <w:pStyle w:val="TableParagraph"/>
              <w:spacing w:line="188" w:lineRule="exact"/>
              <w:ind w:right="452"/>
              <w:rPr>
                <w:sz w:val="18"/>
              </w:rPr>
            </w:pPr>
            <w:r>
              <w:rPr>
                <w:spacing w:val="-2"/>
                <w:sz w:val="18"/>
              </w:rPr>
              <w:t>15.500.00</w:t>
            </w:r>
          </w:p>
        </w:tc>
        <w:tc>
          <w:tcPr>
            <w:tcW w:w="1032" w:type="dxa"/>
          </w:tcPr>
          <w:p>
            <w:pPr>
              <w:pStyle w:val="TableParagraph"/>
              <w:spacing w:line="188" w:lineRule="exact"/>
              <w:ind w:right="119"/>
              <w:rPr>
                <w:sz w:val="18"/>
              </w:rPr>
            </w:pPr>
            <w:r>
              <w:rPr>
                <w:spacing w:val="-4"/>
                <w:sz w:val="18"/>
              </w:rPr>
              <w:t>4,00</w:t>
            </w:r>
          </w:p>
        </w:tc>
        <w:tc>
          <w:tcPr>
            <w:tcW w:w="1399" w:type="dxa"/>
          </w:tcPr>
          <w:p>
            <w:pPr>
              <w:pStyle w:val="TableParagraph"/>
              <w:spacing w:line="188" w:lineRule="exact"/>
              <w:ind w:right="155"/>
              <w:rPr>
                <w:sz w:val="18"/>
              </w:rPr>
            </w:pPr>
            <w:r>
              <w:rPr>
                <w:spacing w:val="-2"/>
                <w:sz w:val="18"/>
              </w:rPr>
              <w:t>260.00</w:t>
            </w:r>
          </w:p>
        </w:tc>
        <w:tc>
          <w:tcPr>
            <w:tcW w:w="1253" w:type="dxa"/>
          </w:tcPr>
          <w:p>
            <w:pPr>
              <w:pStyle w:val="TableParagraph"/>
              <w:spacing w:line="188" w:lineRule="exact"/>
              <w:ind w:right="42"/>
              <w:rPr>
                <w:sz w:val="18"/>
              </w:rPr>
            </w:pPr>
            <w:r>
              <w:rPr>
                <w:spacing w:val="-2"/>
                <w:sz w:val="18"/>
              </w:rPr>
              <w:t>1,677</w:t>
            </w:r>
          </w:p>
        </w:tc>
      </w:tr>
      <w:tr>
        <w:trPr>
          <w:trHeight w:val="206" w:hRule="atLeast"/>
        </w:trPr>
        <w:tc>
          <w:tcPr>
            <w:tcW w:w="1144" w:type="dxa"/>
          </w:tcPr>
          <w:p>
            <w:pPr>
              <w:pStyle w:val="TableParagraph"/>
              <w:ind w:right="288"/>
              <w:rPr>
                <w:sz w:val="18"/>
              </w:rPr>
            </w:pPr>
            <w:r>
              <w:rPr>
                <w:spacing w:val="-2"/>
                <w:sz w:val="18"/>
              </w:rPr>
              <w:t>15.501.00</w:t>
            </w:r>
          </w:p>
        </w:tc>
        <w:tc>
          <w:tcPr>
            <w:tcW w:w="1072" w:type="dxa"/>
          </w:tcPr>
          <w:p>
            <w:pPr>
              <w:pStyle w:val="TableParagraph"/>
              <w:ind w:left="290"/>
              <w:jc w:val="left"/>
              <w:rPr>
                <w:sz w:val="18"/>
              </w:rPr>
            </w:pPr>
            <w:r>
              <w:rPr>
                <w:spacing w:val="-10"/>
                <w:sz w:val="18"/>
              </w:rPr>
              <w:t>à</w:t>
            </w:r>
          </w:p>
        </w:tc>
        <w:tc>
          <w:tcPr>
            <w:tcW w:w="1581" w:type="dxa"/>
          </w:tcPr>
          <w:p>
            <w:pPr>
              <w:pStyle w:val="TableParagraph"/>
              <w:ind w:right="452"/>
              <w:rPr>
                <w:sz w:val="18"/>
              </w:rPr>
            </w:pPr>
            <w:r>
              <w:rPr>
                <w:spacing w:val="-2"/>
                <w:sz w:val="18"/>
              </w:rPr>
              <w:t>20.600.00</w:t>
            </w:r>
          </w:p>
        </w:tc>
        <w:tc>
          <w:tcPr>
            <w:tcW w:w="1032" w:type="dxa"/>
          </w:tcPr>
          <w:p>
            <w:pPr>
              <w:pStyle w:val="TableParagraph"/>
              <w:ind w:right="119"/>
              <w:rPr>
                <w:sz w:val="18"/>
              </w:rPr>
            </w:pPr>
            <w:r>
              <w:rPr>
                <w:spacing w:val="-4"/>
                <w:sz w:val="18"/>
              </w:rPr>
              <w:t>8,00</w:t>
            </w:r>
          </w:p>
        </w:tc>
        <w:tc>
          <w:tcPr>
            <w:tcW w:w="1399" w:type="dxa"/>
          </w:tcPr>
          <w:p>
            <w:pPr>
              <w:pStyle w:val="TableParagraph"/>
              <w:ind w:right="155"/>
              <w:rPr>
                <w:sz w:val="18"/>
              </w:rPr>
            </w:pPr>
            <w:r>
              <w:rPr>
                <w:spacing w:val="-2"/>
                <w:sz w:val="18"/>
              </w:rPr>
              <w:t>668.00</w:t>
            </w:r>
          </w:p>
        </w:tc>
        <w:tc>
          <w:tcPr>
            <w:tcW w:w="1253" w:type="dxa"/>
          </w:tcPr>
          <w:p>
            <w:pPr>
              <w:pStyle w:val="TableParagraph"/>
              <w:ind w:right="42"/>
              <w:rPr>
                <w:sz w:val="18"/>
              </w:rPr>
            </w:pPr>
            <w:r>
              <w:rPr>
                <w:spacing w:val="-2"/>
                <w:sz w:val="18"/>
              </w:rPr>
              <w:t>3,243</w:t>
            </w:r>
          </w:p>
        </w:tc>
      </w:tr>
      <w:tr>
        <w:trPr>
          <w:trHeight w:val="203" w:hRule="atLeast"/>
        </w:trPr>
        <w:tc>
          <w:tcPr>
            <w:tcW w:w="1144" w:type="dxa"/>
          </w:tcPr>
          <w:p>
            <w:pPr>
              <w:pStyle w:val="TableParagraph"/>
              <w:spacing w:line="184" w:lineRule="exact"/>
              <w:ind w:right="288"/>
              <w:rPr>
                <w:sz w:val="18"/>
              </w:rPr>
            </w:pPr>
            <w:r>
              <w:rPr>
                <w:spacing w:val="-2"/>
                <w:sz w:val="18"/>
              </w:rPr>
              <w:t>20.601.00</w:t>
            </w:r>
          </w:p>
        </w:tc>
        <w:tc>
          <w:tcPr>
            <w:tcW w:w="1072" w:type="dxa"/>
          </w:tcPr>
          <w:p>
            <w:pPr>
              <w:pStyle w:val="TableParagraph"/>
              <w:spacing w:line="184" w:lineRule="exact"/>
              <w:ind w:left="290"/>
              <w:jc w:val="left"/>
              <w:rPr>
                <w:sz w:val="18"/>
              </w:rPr>
            </w:pPr>
            <w:r>
              <w:rPr>
                <w:spacing w:val="-10"/>
                <w:sz w:val="18"/>
              </w:rPr>
              <w:t>à</w:t>
            </w:r>
          </w:p>
        </w:tc>
        <w:tc>
          <w:tcPr>
            <w:tcW w:w="1581" w:type="dxa"/>
          </w:tcPr>
          <w:p>
            <w:pPr>
              <w:pStyle w:val="TableParagraph"/>
              <w:spacing w:line="184" w:lineRule="exact"/>
              <w:ind w:right="452"/>
              <w:rPr>
                <w:sz w:val="18"/>
              </w:rPr>
            </w:pPr>
            <w:r>
              <w:rPr>
                <w:spacing w:val="-2"/>
                <w:sz w:val="18"/>
              </w:rPr>
              <w:t>30.900.00</w:t>
            </w:r>
          </w:p>
        </w:tc>
        <w:tc>
          <w:tcPr>
            <w:tcW w:w="1032" w:type="dxa"/>
          </w:tcPr>
          <w:p>
            <w:pPr>
              <w:pStyle w:val="TableParagraph"/>
              <w:spacing w:line="184" w:lineRule="exact"/>
              <w:ind w:right="119"/>
              <w:rPr>
                <w:sz w:val="18"/>
              </w:rPr>
            </w:pPr>
            <w:r>
              <w:rPr>
                <w:spacing w:val="-2"/>
                <w:sz w:val="18"/>
              </w:rPr>
              <w:t>11,60</w:t>
            </w:r>
          </w:p>
        </w:tc>
        <w:tc>
          <w:tcPr>
            <w:tcW w:w="1399" w:type="dxa"/>
          </w:tcPr>
          <w:p>
            <w:pPr>
              <w:pStyle w:val="TableParagraph"/>
              <w:spacing w:line="184" w:lineRule="exact"/>
              <w:ind w:right="155"/>
              <w:rPr>
                <w:sz w:val="18"/>
              </w:rPr>
            </w:pPr>
            <w:r>
              <w:rPr>
                <w:spacing w:val="-2"/>
                <w:sz w:val="18"/>
              </w:rPr>
              <w:t>1.863.00</w:t>
            </w:r>
          </w:p>
        </w:tc>
        <w:tc>
          <w:tcPr>
            <w:tcW w:w="1253" w:type="dxa"/>
          </w:tcPr>
          <w:p>
            <w:pPr>
              <w:pStyle w:val="TableParagraph"/>
              <w:spacing w:line="184" w:lineRule="exact"/>
              <w:ind w:right="42"/>
              <w:rPr>
                <w:sz w:val="18"/>
              </w:rPr>
            </w:pPr>
            <w:r>
              <w:rPr>
                <w:spacing w:val="-2"/>
                <w:sz w:val="18"/>
              </w:rPr>
              <w:t>6,028</w:t>
            </w:r>
          </w:p>
        </w:tc>
      </w:tr>
    </w:tbl>
    <w:p>
      <w:pPr>
        <w:pStyle w:val="TableParagraph"/>
        <w:spacing w:after="0" w:line="184" w:lineRule="exact"/>
        <w:rPr>
          <w:sz w:val="18"/>
        </w:rPr>
        <w:sectPr>
          <w:pgSz w:w="11910" w:h="16840"/>
          <w:pgMar w:header="724" w:footer="687" w:top="960" w:bottom="880" w:left="850" w:right="992"/>
        </w:sectPr>
      </w:pPr>
    </w:p>
    <w:p>
      <w:pPr>
        <w:pStyle w:val="BodyText"/>
        <w:spacing w:before="216"/>
        <w:rPr>
          <w:sz w:val="20"/>
        </w:rPr>
      </w:pPr>
    </w:p>
    <w:tbl>
      <w:tblPr>
        <w:tblW w:w="0" w:type="auto"/>
        <w:jc w:val="left"/>
        <w:tblInd w:w="1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2"/>
        <w:gridCol w:w="843"/>
        <w:gridCol w:w="1810"/>
        <w:gridCol w:w="1188"/>
        <w:gridCol w:w="1489"/>
        <w:gridCol w:w="1007"/>
      </w:tblGrid>
      <w:tr>
        <w:trPr>
          <w:trHeight w:val="203" w:hRule="atLeast"/>
        </w:trPr>
        <w:tc>
          <w:tcPr>
            <w:tcW w:w="1242" w:type="dxa"/>
          </w:tcPr>
          <w:p>
            <w:pPr>
              <w:pStyle w:val="TableParagraph"/>
              <w:spacing w:line="184" w:lineRule="exact"/>
              <w:ind w:right="288"/>
              <w:rPr>
                <w:sz w:val="18"/>
              </w:rPr>
            </w:pPr>
            <w:r>
              <w:rPr>
                <w:spacing w:val="-2"/>
                <w:sz w:val="18"/>
              </w:rPr>
              <w:t>30.901.00</w:t>
            </w:r>
          </w:p>
        </w:tc>
        <w:tc>
          <w:tcPr>
            <w:tcW w:w="843" w:type="dxa"/>
          </w:tcPr>
          <w:p>
            <w:pPr>
              <w:pStyle w:val="TableParagraph"/>
              <w:spacing w:line="184" w:lineRule="exact"/>
              <w:ind w:left="291"/>
              <w:jc w:val="left"/>
              <w:rPr>
                <w:sz w:val="18"/>
              </w:rPr>
            </w:pPr>
            <w:r>
              <w:rPr>
                <w:spacing w:val="-10"/>
                <w:sz w:val="18"/>
              </w:rPr>
              <w:t>à</w:t>
            </w:r>
          </w:p>
        </w:tc>
        <w:tc>
          <w:tcPr>
            <w:tcW w:w="1810" w:type="dxa"/>
          </w:tcPr>
          <w:p>
            <w:pPr>
              <w:pStyle w:val="TableParagraph"/>
              <w:spacing w:line="184" w:lineRule="exact"/>
              <w:ind w:left="97"/>
              <w:jc w:val="center"/>
              <w:rPr>
                <w:sz w:val="18"/>
              </w:rPr>
            </w:pPr>
            <w:r>
              <w:rPr>
                <w:spacing w:val="-2"/>
                <w:sz w:val="18"/>
              </w:rPr>
              <w:t>41.200.00</w:t>
            </w:r>
          </w:p>
        </w:tc>
        <w:tc>
          <w:tcPr>
            <w:tcW w:w="1188" w:type="dxa"/>
          </w:tcPr>
          <w:p>
            <w:pPr>
              <w:pStyle w:val="TableParagraph"/>
              <w:spacing w:line="184" w:lineRule="exact"/>
              <w:ind w:right="274"/>
              <w:rPr>
                <w:sz w:val="18"/>
              </w:rPr>
            </w:pPr>
            <w:r>
              <w:rPr>
                <w:spacing w:val="-2"/>
                <w:sz w:val="18"/>
              </w:rPr>
              <w:t>11,90</w:t>
            </w:r>
          </w:p>
        </w:tc>
        <w:tc>
          <w:tcPr>
            <w:tcW w:w="1489" w:type="dxa"/>
          </w:tcPr>
          <w:p>
            <w:pPr>
              <w:pStyle w:val="TableParagraph"/>
              <w:spacing w:line="184" w:lineRule="exact"/>
              <w:ind w:left="101" w:right="117"/>
              <w:jc w:val="center"/>
              <w:rPr>
                <w:sz w:val="18"/>
              </w:rPr>
            </w:pPr>
            <w:r>
              <w:rPr>
                <w:spacing w:val="-2"/>
                <w:sz w:val="18"/>
              </w:rPr>
              <w:t>3.089.00</w:t>
            </w:r>
          </w:p>
        </w:tc>
        <w:tc>
          <w:tcPr>
            <w:tcW w:w="1007" w:type="dxa"/>
          </w:tcPr>
          <w:p>
            <w:pPr>
              <w:pStyle w:val="TableParagraph"/>
              <w:spacing w:line="184" w:lineRule="exact"/>
              <w:ind w:right="42"/>
              <w:rPr>
                <w:sz w:val="18"/>
              </w:rPr>
            </w:pPr>
            <w:r>
              <w:rPr>
                <w:spacing w:val="-2"/>
                <w:sz w:val="18"/>
              </w:rPr>
              <w:t>7,496</w:t>
            </w:r>
          </w:p>
        </w:tc>
      </w:tr>
      <w:tr>
        <w:trPr>
          <w:trHeight w:val="206" w:hRule="atLeast"/>
        </w:trPr>
        <w:tc>
          <w:tcPr>
            <w:tcW w:w="1242" w:type="dxa"/>
          </w:tcPr>
          <w:p>
            <w:pPr>
              <w:pStyle w:val="TableParagraph"/>
              <w:ind w:right="288"/>
              <w:rPr>
                <w:sz w:val="18"/>
              </w:rPr>
            </w:pPr>
            <w:r>
              <w:rPr>
                <w:spacing w:val="-2"/>
                <w:sz w:val="18"/>
              </w:rPr>
              <w:t>41.201.00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jc w:val="center"/>
              <w:rPr>
                <w:sz w:val="18"/>
              </w:rPr>
            </w:pPr>
            <w:r>
              <w:rPr>
                <w:spacing w:val="-2"/>
                <w:sz w:val="18"/>
              </w:rPr>
              <w:t>51.500.00</w:t>
            </w:r>
          </w:p>
        </w:tc>
        <w:tc>
          <w:tcPr>
            <w:tcW w:w="1188" w:type="dxa"/>
          </w:tcPr>
          <w:p>
            <w:pPr>
              <w:pStyle w:val="TableParagraph"/>
              <w:ind w:right="274"/>
              <w:rPr>
                <w:sz w:val="18"/>
              </w:rPr>
            </w:pPr>
            <w:r>
              <w:rPr>
                <w:spacing w:val="-2"/>
                <w:sz w:val="18"/>
              </w:rPr>
              <w:t>12,30</w:t>
            </w:r>
          </w:p>
        </w:tc>
        <w:tc>
          <w:tcPr>
            <w:tcW w:w="1489" w:type="dxa"/>
          </w:tcPr>
          <w:p>
            <w:pPr>
              <w:pStyle w:val="TableParagraph"/>
              <w:ind w:left="101" w:right="117"/>
              <w:jc w:val="center"/>
              <w:rPr>
                <w:sz w:val="18"/>
              </w:rPr>
            </w:pPr>
            <w:r>
              <w:rPr>
                <w:spacing w:val="-2"/>
                <w:sz w:val="18"/>
              </w:rPr>
              <w:t>4.355.00</w:t>
            </w:r>
          </w:p>
        </w:tc>
        <w:tc>
          <w:tcPr>
            <w:tcW w:w="1007" w:type="dxa"/>
          </w:tcPr>
          <w:p>
            <w:pPr>
              <w:pStyle w:val="TableParagraph"/>
              <w:ind w:right="42"/>
              <w:rPr>
                <w:sz w:val="18"/>
              </w:rPr>
            </w:pPr>
            <w:r>
              <w:rPr>
                <w:spacing w:val="-2"/>
                <w:sz w:val="18"/>
              </w:rPr>
              <w:t>8,457</w:t>
            </w:r>
          </w:p>
        </w:tc>
      </w:tr>
      <w:tr>
        <w:trPr>
          <w:trHeight w:val="207" w:hRule="atLeast"/>
        </w:trPr>
        <w:tc>
          <w:tcPr>
            <w:tcW w:w="1242" w:type="dxa"/>
          </w:tcPr>
          <w:p>
            <w:pPr>
              <w:pStyle w:val="TableParagraph"/>
              <w:spacing w:line="188" w:lineRule="exact"/>
              <w:ind w:right="288"/>
              <w:rPr>
                <w:sz w:val="18"/>
              </w:rPr>
            </w:pPr>
            <w:r>
              <w:rPr>
                <w:spacing w:val="-2"/>
                <w:sz w:val="18"/>
              </w:rPr>
              <w:t>51.501.00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jc w:val="center"/>
              <w:rPr>
                <w:sz w:val="18"/>
              </w:rPr>
            </w:pPr>
            <w:r>
              <w:rPr>
                <w:spacing w:val="-2"/>
                <w:sz w:val="18"/>
              </w:rPr>
              <w:t>61.800.00</w:t>
            </w:r>
          </w:p>
        </w:tc>
        <w:tc>
          <w:tcPr>
            <w:tcW w:w="1188" w:type="dxa"/>
          </w:tcPr>
          <w:p>
            <w:pPr>
              <w:pStyle w:val="TableParagraph"/>
              <w:spacing w:line="188" w:lineRule="exact"/>
              <w:ind w:right="274"/>
              <w:rPr>
                <w:sz w:val="18"/>
              </w:rPr>
            </w:pPr>
            <w:r>
              <w:rPr>
                <w:spacing w:val="-2"/>
                <w:sz w:val="18"/>
              </w:rPr>
              <w:t>12,80</w:t>
            </w:r>
          </w:p>
        </w:tc>
        <w:tc>
          <w:tcPr>
            <w:tcW w:w="1489" w:type="dxa"/>
          </w:tcPr>
          <w:p>
            <w:pPr>
              <w:pStyle w:val="TableParagraph"/>
              <w:spacing w:line="188" w:lineRule="exact"/>
              <w:ind w:left="101" w:right="117"/>
              <w:jc w:val="center"/>
              <w:rPr>
                <w:sz w:val="18"/>
              </w:rPr>
            </w:pPr>
            <w:r>
              <w:rPr>
                <w:spacing w:val="-2"/>
                <w:sz w:val="18"/>
              </w:rPr>
              <w:t>5.674.00</w:t>
            </w:r>
          </w:p>
        </w:tc>
        <w:tc>
          <w:tcPr>
            <w:tcW w:w="1007" w:type="dxa"/>
          </w:tcPr>
          <w:p>
            <w:pPr>
              <w:pStyle w:val="TableParagraph"/>
              <w:spacing w:line="188" w:lineRule="exact"/>
              <w:ind w:right="42"/>
              <w:rPr>
                <w:sz w:val="18"/>
              </w:rPr>
            </w:pPr>
            <w:r>
              <w:rPr>
                <w:spacing w:val="-2"/>
                <w:sz w:val="18"/>
              </w:rPr>
              <w:t>9,181</w:t>
            </w:r>
          </w:p>
        </w:tc>
      </w:tr>
      <w:tr>
        <w:trPr>
          <w:trHeight w:val="207" w:hRule="atLeast"/>
        </w:trPr>
        <w:tc>
          <w:tcPr>
            <w:tcW w:w="1242" w:type="dxa"/>
          </w:tcPr>
          <w:p>
            <w:pPr>
              <w:pStyle w:val="TableParagraph"/>
              <w:spacing w:line="188" w:lineRule="exact"/>
              <w:ind w:right="288"/>
              <w:rPr>
                <w:sz w:val="18"/>
              </w:rPr>
            </w:pPr>
            <w:r>
              <w:rPr>
                <w:spacing w:val="-2"/>
                <w:sz w:val="18"/>
              </w:rPr>
              <w:t>61.801.00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jc w:val="center"/>
              <w:rPr>
                <w:sz w:val="18"/>
              </w:rPr>
            </w:pPr>
            <w:r>
              <w:rPr>
                <w:spacing w:val="-2"/>
                <w:sz w:val="18"/>
              </w:rPr>
              <w:t>72.100.00</w:t>
            </w:r>
          </w:p>
        </w:tc>
        <w:tc>
          <w:tcPr>
            <w:tcW w:w="1188" w:type="dxa"/>
          </w:tcPr>
          <w:p>
            <w:pPr>
              <w:pStyle w:val="TableParagraph"/>
              <w:spacing w:line="188" w:lineRule="exact"/>
              <w:ind w:right="274"/>
              <w:rPr>
                <w:sz w:val="18"/>
              </w:rPr>
            </w:pPr>
            <w:r>
              <w:rPr>
                <w:spacing w:val="-2"/>
                <w:sz w:val="18"/>
              </w:rPr>
              <w:t>13,30</w:t>
            </w:r>
          </w:p>
        </w:tc>
        <w:tc>
          <w:tcPr>
            <w:tcW w:w="1489" w:type="dxa"/>
          </w:tcPr>
          <w:p>
            <w:pPr>
              <w:pStyle w:val="TableParagraph"/>
              <w:spacing w:line="188" w:lineRule="exact"/>
              <w:ind w:left="101" w:right="117"/>
              <w:jc w:val="center"/>
              <w:rPr>
                <w:sz w:val="18"/>
              </w:rPr>
            </w:pPr>
            <w:r>
              <w:rPr>
                <w:spacing w:val="-2"/>
                <w:sz w:val="18"/>
              </w:rPr>
              <w:t>7.044.00</w:t>
            </w:r>
          </w:p>
        </w:tc>
        <w:tc>
          <w:tcPr>
            <w:tcW w:w="1007" w:type="dxa"/>
          </w:tcPr>
          <w:p>
            <w:pPr>
              <w:pStyle w:val="TableParagraph"/>
              <w:spacing w:line="188" w:lineRule="exact"/>
              <w:ind w:right="42"/>
              <w:rPr>
                <w:sz w:val="18"/>
              </w:rPr>
            </w:pPr>
            <w:r>
              <w:rPr>
                <w:spacing w:val="-2"/>
                <w:sz w:val="18"/>
              </w:rPr>
              <w:t>9,769</w:t>
            </w:r>
          </w:p>
        </w:tc>
      </w:tr>
      <w:tr>
        <w:trPr>
          <w:trHeight w:val="206" w:hRule="atLeast"/>
        </w:trPr>
        <w:tc>
          <w:tcPr>
            <w:tcW w:w="1242" w:type="dxa"/>
          </w:tcPr>
          <w:p>
            <w:pPr>
              <w:pStyle w:val="TableParagraph"/>
              <w:ind w:right="288"/>
              <w:rPr>
                <w:sz w:val="18"/>
              </w:rPr>
            </w:pPr>
            <w:r>
              <w:rPr>
                <w:spacing w:val="-2"/>
                <w:sz w:val="18"/>
              </w:rPr>
              <w:t>72.101.00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jc w:val="center"/>
              <w:rPr>
                <w:sz w:val="18"/>
              </w:rPr>
            </w:pPr>
            <w:r>
              <w:rPr>
                <w:spacing w:val="-2"/>
                <w:sz w:val="18"/>
              </w:rPr>
              <w:t>82.400.00</w:t>
            </w:r>
          </w:p>
        </w:tc>
        <w:tc>
          <w:tcPr>
            <w:tcW w:w="1188" w:type="dxa"/>
          </w:tcPr>
          <w:p>
            <w:pPr>
              <w:pStyle w:val="TableParagraph"/>
              <w:ind w:right="274"/>
              <w:rPr>
                <w:sz w:val="18"/>
              </w:rPr>
            </w:pPr>
            <w:r>
              <w:rPr>
                <w:spacing w:val="-2"/>
                <w:sz w:val="18"/>
              </w:rPr>
              <w:t>13,80</w:t>
            </w:r>
          </w:p>
        </w:tc>
        <w:tc>
          <w:tcPr>
            <w:tcW w:w="1489" w:type="dxa"/>
          </w:tcPr>
          <w:p>
            <w:pPr>
              <w:pStyle w:val="TableParagraph"/>
              <w:ind w:left="101" w:right="117"/>
              <w:jc w:val="center"/>
              <w:rPr>
                <w:sz w:val="18"/>
              </w:rPr>
            </w:pPr>
            <w:r>
              <w:rPr>
                <w:spacing w:val="-2"/>
                <w:sz w:val="18"/>
              </w:rPr>
              <w:t>8.465.00</w:t>
            </w:r>
          </w:p>
        </w:tc>
        <w:tc>
          <w:tcPr>
            <w:tcW w:w="1007" w:type="dxa"/>
          </w:tcPr>
          <w:p>
            <w:pPr>
              <w:pStyle w:val="TableParagraph"/>
              <w:ind w:right="42"/>
              <w:rPr>
                <w:sz w:val="18"/>
              </w:rPr>
            </w:pPr>
            <w:r>
              <w:rPr>
                <w:spacing w:val="-2"/>
                <w:sz w:val="18"/>
              </w:rPr>
              <w:t>10,273</w:t>
            </w:r>
          </w:p>
        </w:tc>
      </w:tr>
      <w:tr>
        <w:trPr>
          <w:trHeight w:val="206" w:hRule="atLeast"/>
        </w:trPr>
        <w:tc>
          <w:tcPr>
            <w:tcW w:w="1242" w:type="dxa"/>
          </w:tcPr>
          <w:p>
            <w:pPr>
              <w:pStyle w:val="TableParagraph"/>
              <w:ind w:right="288"/>
              <w:rPr>
                <w:sz w:val="18"/>
              </w:rPr>
            </w:pPr>
            <w:r>
              <w:rPr>
                <w:spacing w:val="-2"/>
                <w:sz w:val="18"/>
              </w:rPr>
              <w:t>82.401.00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jc w:val="center"/>
              <w:rPr>
                <w:sz w:val="18"/>
              </w:rPr>
            </w:pPr>
            <w:r>
              <w:rPr>
                <w:spacing w:val="-2"/>
                <w:sz w:val="18"/>
              </w:rPr>
              <w:t>92.700.00</w:t>
            </w:r>
          </w:p>
        </w:tc>
        <w:tc>
          <w:tcPr>
            <w:tcW w:w="1188" w:type="dxa"/>
          </w:tcPr>
          <w:p>
            <w:pPr>
              <w:pStyle w:val="TableParagraph"/>
              <w:ind w:right="274"/>
              <w:rPr>
                <w:sz w:val="18"/>
              </w:rPr>
            </w:pPr>
            <w:r>
              <w:rPr>
                <w:spacing w:val="-2"/>
                <w:sz w:val="18"/>
              </w:rPr>
              <w:t>14,20</w:t>
            </w:r>
          </w:p>
        </w:tc>
        <w:tc>
          <w:tcPr>
            <w:tcW w:w="1489" w:type="dxa"/>
          </w:tcPr>
          <w:p>
            <w:pPr>
              <w:pStyle w:val="TableParagraph"/>
              <w:ind w:left="101" w:right="117"/>
              <w:jc w:val="center"/>
              <w:rPr>
                <w:sz w:val="18"/>
              </w:rPr>
            </w:pPr>
            <w:r>
              <w:rPr>
                <w:spacing w:val="-2"/>
                <w:sz w:val="18"/>
              </w:rPr>
              <w:t>9.928.00</w:t>
            </w:r>
          </w:p>
        </w:tc>
        <w:tc>
          <w:tcPr>
            <w:tcW w:w="1007" w:type="dxa"/>
          </w:tcPr>
          <w:p>
            <w:pPr>
              <w:pStyle w:val="TableParagraph"/>
              <w:ind w:right="42"/>
              <w:rPr>
                <w:sz w:val="18"/>
              </w:rPr>
            </w:pPr>
            <w:r>
              <w:rPr>
                <w:spacing w:val="-2"/>
                <w:sz w:val="18"/>
              </w:rPr>
              <w:t>10,709</w:t>
            </w:r>
          </w:p>
        </w:tc>
      </w:tr>
      <w:tr>
        <w:trPr>
          <w:trHeight w:val="207" w:hRule="atLeast"/>
        </w:trPr>
        <w:tc>
          <w:tcPr>
            <w:tcW w:w="1242" w:type="dxa"/>
          </w:tcPr>
          <w:p>
            <w:pPr>
              <w:pStyle w:val="TableParagraph"/>
              <w:spacing w:line="188" w:lineRule="exact"/>
              <w:ind w:right="288"/>
              <w:rPr>
                <w:sz w:val="18"/>
              </w:rPr>
            </w:pPr>
            <w:r>
              <w:rPr>
                <w:spacing w:val="-2"/>
                <w:sz w:val="18"/>
              </w:rPr>
              <w:t>92.701.00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103.000.00</w:t>
            </w:r>
          </w:p>
        </w:tc>
        <w:tc>
          <w:tcPr>
            <w:tcW w:w="1188" w:type="dxa"/>
          </w:tcPr>
          <w:p>
            <w:pPr>
              <w:pStyle w:val="TableParagraph"/>
              <w:spacing w:line="188" w:lineRule="exact"/>
              <w:ind w:right="274"/>
              <w:rPr>
                <w:sz w:val="18"/>
              </w:rPr>
            </w:pPr>
            <w:r>
              <w:rPr>
                <w:spacing w:val="-2"/>
                <w:sz w:val="18"/>
              </w:rPr>
              <w:t>14,50</w:t>
            </w:r>
          </w:p>
        </w:tc>
        <w:tc>
          <w:tcPr>
            <w:tcW w:w="1489" w:type="dxa"/>
          </w:tcPr>
          <w:p>
            <w:pPr>
              <w:pStyle w:val="TableParagraph"/>
              <w:spacing w:line="188" w:lineRule="exact"/>
              <w:ind w:right="117"/>
              <w:jc w:val="center"/>
              <w:rPr>
                <w:sz w:val="18"/>
              </w:rPr>
            </w:pPr>
            <w:r>
              <w:rPr>
                <w:spacing w:val="-2"/>
                <w:sz w:val="18"/>
              </w:rPr>
              <w:t>11.421.00</w:t>
            </w:r>
          </w:p>
        </w:tc>
        <w:tc>
          <w:tcPr>
            <w:tcW w:w="1007" w:type="dxa"/>
          </w:tcPr>
          <w:p>
            <w:pPr>
              <w:pStyle w:val="TableParagraph"/>
              <w:spacing w:line="188" w:lineRule="exact"/>
              <w:ind w:right="42"/>
              <w:rPr>
                <w:sz w:val="18"/>
              </w:rPr>
            </w:pPr>
            <w:r>
              <w:rPr>
                <w:spacing w:val="-2"/>
                <w:sz w:val="18"/>
              </w:rPr>
              <w:t>11,089</w:t>
            </w:r>
          </w:p>
        </w:tc>
      </w:tr>
      <w:tr>
        <w:trPr>
          <w:trHeight w:val="207" w:hRule="atLeast"/>
        </w:trPr>
        <w:tc>
          <w:tcPr>
            <w:tcW w:w="1242" w:type="dxa"/>
          </w:tcPr>
          <w:p>
            <w:pPr>
              <w:pStyle w:val="TableParagraph"/>
              <w:spacing w:line="188" w:lineRule="exact"/>
              <w:ind w:right="288"/>
              <w:rPr>
                <w:sz w:val="18"/>
              </w:rPr>
            </w:pPr>
            <w:r>
              <w:rPr>
                <w:spacing w:val="-2"/>
                <w:sz w:val="18"/>
              </w:rPr>
              <w:t>103.001.00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113.300.00</w:t>
            </w:r>
          </w:p>
        </w:tc>
        <w:tc>
          <w:tcPr>
            <w:tcW w:w="1188" w:type="dxa"/>
          </w:tcPr>
          <w:p>
            <w:pPr>
              <w:pStyle w:val="TableParagraph"/>
              <w:spacing w:line="188" w:lineRule="exact"/>
              <w:ind w:right="274"/>
              <w:rPr>
                <w:sz w:val="18"/>
              </w:rPr>
            </w:pPr>
            <w:r>
              <w:rPr>
                <w:spacing w:val="-2"/>
                <w:sz w:val="18"/>
              </w:rPr>
              <w:t>14,80</w:t>
            </w:r>
          </w:p>
        </w:tc>
        <w:tc>
          <w:tcPr>
            <w:tcW w:w="1489" w:type="dxa"/>
          </w:tcPr>
          <w:p>
            <w:pPr>
              <w:pStyle w:val="TableParagraph"/>
              <w:spacing w:line="188" w:lineRule="exact"/>
              <w:ind w:right="117"/>
              <w:jc w:val="center"/>
              <w:rPr>
                <w:sz w:val="18"/>
              </w:rPr>
            </w:pPr>
            <w:r>
              <w:rPr>
                <w:spacing w:val="-2"/>
                <w:sz w:val="18"/>
              </w:rPr>
              <w:t>12.946.00</w:t>
            </w:r>
          </w:p>
        </w:tc>
        <w:tc>
          <w:tcPr>
            <w:tcW w:w="1007" w:type="dxa"/>
          </w:tcPr>
          <w:p>
            <w:pPr>
              <w:pStyle w:val="TableParagraph"/>
              <w:spacing w:line="188" w:lineRule="exact"/>
              <w:ind w:right="42"/>
              <w:rPr>
                <w:sz w:val="18"/>
              </w:rPr>
            </w:pPr>
            <w:r>
              <w:rPr>
                <w:spacing w:val="-2"/>
                <w:sz w:val="18"/>
              </w:rPr>
              <w:t>11,426</w:t>
            </w:r>
          </w:p>
        </w:tc>
      </w:tr>
      <w:tr>
        <w:trPr>
          <w:trHeight w:val="206" w:hRule="atLeast"/>
        </w:trPr>
        <w:tc>
          <w:tcPr>
            <w:tcW w:w="1242" w:type="dxa"/>
          </w:tcPr>
          <w:p>
            <w:pPr>
              <w:pStyle w:val="TableParagraph"/>
              <w:ind w:right="288"/>
              <w:rPr>
                <w:sz w:val="18"/>
              </w:rPr>
            </w:pPr>
            <w:r>
              <w:rPr>
                <w:spacing w:val="-2"/>
                <w:sz w:val="18"/>
              </w:rPr>
              <w:t>113.301.00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123.600.00</w:t>
            </w:r>
          </w:p>
        </w:tc>
        <w:tc>
          <w:tcPr>
            <w:tcW w:w="1188" w:type="dxa"/>
          </w:tcPr>
          <w:p>
            <w:pPr>
              <w:pStyle w:val="TableParagraph"/>
              <w:ind w:right="274"/>
              <w:rPr>
                <w:sz w:val="18"/>
              </w:rPr>
            </w:pPr>
            <w:r>
              <w:rPr>
                <w:spacing w:val="-2"/>
                <w:sz w:val="18"/>
              </w:rPr>
              <w:t>15,10</w:t>
            </w:r>
          </w:p>
        </w:tc>
        <w:tc>
          <w:tcPr>
            <w:tcW w:w="1489" w:type="dxa"/>
          </w:tcPr>
          <w:p>
            <w:pPr>
              <w:pStyle w:val="TableParagraph"/>
              <w:ind w:right="117"/>
              <w:jc w:val="center"/>
              <w:rPr>
                <w:sz w:val="18"/>
              </w:rPr>
            </w:pPr>
            <w:r>
              <w:rPr>
                <w:spacing w:val="-2"/>
                <w:sz w:val="18"/>
              </w:rPr>
              <w:t>14.501.00</w:t>
            </w:r>
          </w:p>
        </w:tc>
        <w:tc>
          <w:tcPr>
            <w:tcW w:w="1007" w:type="dxa"/>
          </w:tcPr>
          <w:p>
            <w:pPr>
              <w:pStyle w:val="TableParagraph"/>
              <w:ind w:right="42"/>
              <w:rPr>
                <w:sz w:val="18"/>
              </w:rPr>
            </w:pPr>
            <w:r>
              <w:rPr>
                <w:spacing w:val="-2"/>
                <w:sz w:val="18"/>
              </w:rPr>
              <w:t>11,732</w:t>
            </w:r>
          </w:p>
        </w:tc>
      </w:tr>
      <w:tr>
        <w:trPr>
          <w:trHeight w:val="206" w:hRule="atLeast"/>
        </w:trPr>
        <w:tc>
          <w:tcPr>
            <w:tcW w:w="1242" w:type="dxa"/>
          </w:tcPr>
          <w:p>
            <w:pPr>
              <w:pStyle w:val="TableParagraph"/>
              <w:ind w:right="288"/>
              <w:rPr>
                <w:sz w:val="18"/>
              </w:rPr>
            </w:pPr>
            <w:r>
              <w:rPr>
                <w:spacing w:val="-2"/>
                <w:sz w:val="18"/>
              </w:rPr>
              <w:t>123.601.00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133.900.00</w:t>
            </w:r>
          </w:p>
        </w:tc>
        <w:tc>
          <w:tcPr>
            <w:tcW w:w="1188" w:type="dxa"/>
          </w:tcPr>
          <w:p>
            <w:pPr>
              <w:pStyle w:val="TableParagraph"/>
              <w:ind w:right="274"/>
              <w:rPr>
                <w:sz w:val="18"/>
              </w:rPr>
            </w:pPr>
            <w:r>
              <w:rPr>
                <w:spacing w:val="-2"/>
                <w:sz w:val="18"/>
              </w:rPr>
              <w:t>15,40</w:t>
            </w:r>
          </w:p>
        </w:tc>
        <w:tc>
          <w:tcPr>
            <w:tcW w:w="1489" w:type="dxa"/>
          </w:tcPr>
          <w:p>
            <w:pPr>
              <w:pStyle w:val="TableParagraph"/>
              <w:ind w:right="117"/>
              <w:jc w:val="center"/>
              <w:rPr>
                <w:sz w:val="18"/>
              </w:rPr>
            </w:pPr>
            <w:r>
              <w:rPr>
                <w:spacing w:val="-2"/>
                <w:sz w:val="18"/>
              </w:rPr>
              <w:t>16.087.00</w:t>
            </w:r>
          </w:p>
        </w:tc>
        <w:tc>
          <w:tcPr>
            <w:tcW w:w="1007" w:type="dxa"/>
          </w:tcPr>
          <w:p>
            <w:pPr>
              <w:pStyle w:val="TableParagraph"/>
              <w:ind w:right="42"/>
              <w:rPr>
                <w:sz w:val="18"/>
              </w:rPr>
            </w:pPr>
            <w:r>
              <w:rPr>
                <w:spacing w:val="-2"/>
                <w:sz w:val="18"/>
              </w:rPr>
              <w:t>12,014</w:t>
            </w:r>
          </w:p>
        </w:tc>
      </w:tr>
      <w:tr>
        <w:trPr>
          <w:trHeight w:val="207" w:hRule="atLeast"/>
        </w:trPr>
        <w:tc>
          <w:tcPr>
            <w:tcW w:w="1242" w:type="dxa"/>
          </w:tcPr>
          <w:p>
            <w:pPr>
              <w:pStyle w:val="TableParagraph"/>
              <w:spacing w:line="188" w:lineRule="exact"/>
              <w:ind w:right="288"/>
              <w:rPr>
                <w:sz w:val="18"/>
              </w:rPr>
            </w:pPr>
            <w:r>
              <w:rPr>
                <w:spacing w:val="-2"/>
                <w:sz w:val="18"/>
              </w:rPr>
              <w:t>133.901.00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144.200.00</w:t>
            </w:r>
          </w:p>
        </w:tc>
        <w:tc>
          <w:tcPr>
            <w:tcW w:w="1188" w:type="dxa"/>
          </w:tcPr>
          <w:p>
            <w:pPr>
              <w:pStyle w:val="TableParagraph"/>
              <w:spacing w:line="188" w:lineRule="exact"/>
              <w:ind w:right="274"/>
              <w:rPr>
                <w:sz w:val="18"/>
              </w:rPr>
            </w:pPr>
            <w:r>
              <w:rPr>
                <w:spacing w:val="-2"/>
                <w:sz w:val="18"/>
              </w:rPr>
              <w:t>15,50</w:t>
            </w:r>
          </w:p>
        </w:tc>
        <w:tc>
          <w:tcPr>
            <w:tcW w:w="1489" w:type="dxa"/>
          </w:tcPr>
          <w:p>
            <w:pPr>
              <w:pStyle w:val="TableParagraph"/>
              <w:spacing w:line="188" w:lineRule="exact"/>
              <w:ind w:right="117"/>
              <w:jc w:val="center"/>
              <w:rPr>
                <w:sz w:val="18"/>
              </w:rPr>
            </w:pPr>
            <w:r>
              <w:rPr>
                <w:spacing w:val="-2"/>
                <w:sz w:val="18"/>
              </w:rPr>
              <w:t>17.684.00</w:t>
            </w:r>
          </w:p>
        </w:tc>
        <w:tc>
          <w:tcPr>
            <w:tcW w:w="1007" w:type="dxa"/>
          </w:tcPr>
          <w:p>
            <w:pPr>
              <w:pStyle w:val="TableParagraph"/>
              <w:spacing w:line="188" w:lineRule="exact"/>
              <w:ind w:right="42"/>
              <w:rPr>
                <w:sz w:val="18"/>
              </w:rPr>
            </w:pPr>
            <w:r>
              <w:rPr>
                <w:spacing w:val="-2"/>
                <w:sz w:val="18"/>
              </w:rPr>
              <w:t>12,263</w:t>
            </w:r>
          </w:p>
        </w:tc>
      </w:tr>
      <w:tr>
        <w:trPr>
          <w:trHeight w:val="207" w:hRule="atLeast"/>
        </w:trPr>
        <w:tc>
          <w:tcPr>
            <w:tcW w:w="1242" w:type="dxa"/>
          </w:tcPr>
          <w:p>
            <w:pPr>
              <w:pStyle w:val="TableParagraph"/>
              <w:spacing w:line="188" w:lineRule="exact"/>
              <w:ind w:right="288"/>
              <w:rPr>
                <w:sz w:val="18"/>
              </w:rPr>
            </w:pPr>
            <w:r>
              <w:rPr>
                <w:spacing w:val="-2"/>
                <w:sz w:val="18"/>
              </w:rPr>
              <w:t>144.201.00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154.500.00</w:t>
            </w:r>
          </w:p>
        </w:tc>
        <w:tc>
          <w:tcPr>
            <w:tcW w:w="1188" w:type="dxa"/>
          </w:tcPr>
          <w:p>
            <w:pPr>
              <w:pStyle w:val="TableParagraph"/>
              <w:spacing w:line="188" w:lineRule="exact"/>
              <w:ind w:right="274"/>
              <w:rPr>
                <w:sz w:val="18"/>
              </w:rPr>
            </w:pPr>
            <w:r>
              <w:rPr>
                <w:spacing w:val="-2"/>
                <w:sz w:val="18"/>
              </w:rPr>
              <w:t>15,60</w:t>
            </w:r>
          </w:p>
        </w:tc>
        <w:tc>
          <w:tcPr>
            <w:tcW w:w="1489" w:type="dxa"/>
          </w:tcPr>
          <w:p>
            <w:pPr>
              <w:pStyle w:val="TableParagraph"/>
              <w:spacing w:line="188" w:lineRule="exact"/>
              <w:ind w:right="117"/>
              <w:jc w:val="center"/>
              <w:rPr>
                <w:sz w:val="18"/>
              </w:rPr>
            </w:pPr>
            <w:r>
              <w:rPr>
                <w:spacing w:val="-2"/>
                <w:sz w:val="18"/>
              </w:rPr>
              <w:t>19.290.00</w:t>
            </w:r>
          </w:p>
        </w:tc>
        <w:tc>
          <w:tcPr>
            <w:tcW w:w="1007" w:type="dxa"/>
          </w:tcPr>
          <w:p>
            <w:pPr>
              <w:pStyle w:val="TableParagraph"/>
              <w:spacing w:line="188" w:lineRule="exact"/>
              <w:ind w:right="42"/>
              <w:rPr>
                <w:sz w:val="18"/>
              </w:rPr>
            </w:pPr>
            <w:r>
              <w:rPr>
                <w:spacing w:val="-2"/>
                <w:sz w:val="18"/>
              </w:rPr>
              <w:t>12,486</w:t>
            </w:r>
          </w:p>
        </w:tc>
      </w:tr>
      <w:tr>
        <w:trPr>
          <w:trHeight w:val="206" w:hRule="atLeast"/>
        </w:trPr>
        <w:tc>
          <w:tcPr>
            <w:tcW w:w="1242" w:type="dxa"/>
          </w:tcPr>
          <w:p>
            <w:pPr>
              <w:pStyle w:val="TableParagraph"/>
              <w:ind w:right="288"/>
              <w:rPr>
                <w:sz w:val="18"/>
              </w:rPr>
            </w:pPr>
            <w:r>
              <w:rPr>
                <w:spacing w:val="-2"/>
                <w:sz w:val="18"/>
              </w:rPr>
              <w:t>154.501.00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164.800.00</w:t>
            </w:r>
          </w:p>
        </w:tc>
        <w:tc>
          <w:tcPr>
            <w:tcW w:w="1188" w:type="dxa"/>
          </w:tcPr>
          <w:p>
            <w:pPr>
              <w:pStyle w:val="TableParagraph"/>
              <w:ind w:right="274"/>
              <w:rPr>
                <w:sz w:val="18"/>
              </w:rPr>
            </w:pPr>
            <w:r>
              <w:rPr>
                <w:spacing w:val="-2"/>
                <w:sz w:val="18"/>
              </w:rPr>
              <w:t>15,70</w:t>
            </w:r>
          </w:p>
        </w:tc>
        <w:tc>
          <w:tcPr>
            <w:tcW w:w="1489" w:type="dxa"/>
          </w:tcPr>
          <w:p>
            <w:pPr>
              <w:pStyle w:val="TableParagraph"/>
              <w:ind w:right="117"/>
              <w:jc w:val="center"/>
              <w:rPr>
                <w:sz w:val="18"/>
              </w:rPr>
            </w:pPr>
            <w:r>
              <w:rPr>
                <w:spacing w:val="-2"/>
                <w:sz w:val="18"/>
              </w:rPr>
              <w:t>20.908.00</w:t>
            </w:r>
          </w:p>
        </w:tc>
        <w:tc>
          <w:tcPr>
            <w:tcW w:w="1007" w:type="dxa"/>
          </w:tcPr>
          <w:p>
            <w:pPr>
              <w:pStyle w:val="TableParagraph"/>
              <w:ind w:right="42"/>
              <w:rPr>
                <w:sz w:val="18"/>
              </w:rPr>
            </w:pPr>
            <w:r>
              <w:rPr>
                <w:spacing w:val="-2"/>
                <w:sz w:val="18"/>
              </w:rPr>
              <w:t>12,687</w:t>
            </w:r>
          </w:p>
        </w:tc>
      </w:tr>
      <w:tr>
        <w:trPr>
          <w:trHeight w:val="206" w:hRule="atLeast"/>
        </w:trPr>
        <w:tc>
          <w:tcPr>
            <w:tcW w:w="1242" w:type="dxa"/>
          </w:tcPr>
          <w:p>
            <w:pPr>
              <w:pStyle w:val="TableParagraph"/>
              <w:ind w:right="288"/>
              <w:rPr>
                <w:sz w:val="18"/>
              </w:rPr>
            </w:pPr>
            <w:r>
              <w:rPr>
                <w:spacing w:val="-2"/>
                <w:sz w:val="18"/>
              </w:rPr>
              <w:t>164.801.00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175.100.00</w:t>
            </w:r>
          </w:p>
        </w:tc>
        <w:tc>
          <w:tcPr>
            <w:tcW w:w="1188" w:type="dxa"/>
          </w:tcPr>
          <w:p>
            <w:pPr>
              <w:pStyle w:val="TableParagraph"/>
              <w:ind w:right="274"/>
              <w:rPr>
                <w:sz w:val="18"/>
              </w:rPr>
            </w:pPr>
            <w:r>
              <w:rPr>
                <w:spacing w:val="-2"/>
                <w:sz w:val="18"/>
              </w:rPr>
              <w:t>15,90</w:t>
            </w:r>
          </w:p>
        </w:tc>
        <w:tc>
          <w:tcPr>
            <w:tcW w:w="1489" w:type="dxa"/>
          </w:tcPr>
          <w:p>
            <w:pPr>
              <w:pStyle w:val="TableParagraph"/>
              <w:ind w:right="117"/>
              <w:jc w:val="center"/>
              <w:rPr>
                <w:sz w:val="18"/>
              </w:rPr>
            </w:pPr>
            <w:r>
              <w:rPr>
                <w:spacing w:val="-2"/>
                <w:sz w:val="18"/>
              </w:rPr>
              <w:t>22.545.00</w:t>
            </w:r>
          </w:p>
        </w:tc>
        <w:tc>
          <w:tcPr>
            <w:tcW w:w="1007" w:type="dxa"/>
          </w:tcPr>
          <w:p>
            <w:pPr>
              <w:pStyle w:val="TableParagraph"/>
              <w:ind w:right="42"/>
              <w:rPr>
                <w:sz w:val="18"/>
              </w:rPr>
            </w:pPr>
            <w:r>
              <w:rPr>
                <w:spacing w:val="-2"/>
                <w:sz w:val="18"/>
              </w:rPr>
              <w:t>12,876</w:t>
            </w:r>
          </w:p>
        </w:tc>
      </w:tr>
      <w:tr>
        <w:trPr>
          <w:trHeight w:val="206" w:hRule="atLeast"/>
        </w:trPr>
        <w:tc>
          <w:tcPr>
            <w:tcW w:w="1242" w:type="dxa"/>
          </w:tcPr>
          <w:p>
            <w:pPr>
              <w:pStyle w:val="TableParagraph"/>
              <w:ind w:right="288"/>
              <w:rPr>
                <w:sz w:val="18"/>
              </w:rPr>
            </w:pPr>
            <w:r>
              <w:rPr>
                <w:spacing w:val="-2"/>
                <w:sz w:val="18"/>
              </w:rPr>
              <w:t>175.101.00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185.400.00</w:t>
            </w:r>
          </w:p>
        </w:tc>
        <w:tc>
          <w:tcPr>
            <w:tcW w:w="1188" w:type="dxa"/>
          </w:tcPr>
          <w:p>
            <w:pPr>
              <w:pStyle w:val="TableParagraph"/>
              <w:ind w:right="274"/>
              <w:rPr>
                <w:sz w:val="18"/>
              </w:rPr>
            </w:pPr>
            <w:r>
              <w:rPr>
                <w:spacing w:val="-2"/>
                <w:sz w:val="18"/>
              </w:rPr>
              <w:t>16,10</w:t>
            </w:r>
          </w:p>
        </w:tc>
        <w:tc>
          <w:tcPr>
            <w:tcW w:w="1489" w:type="dxa"/>
          </w:tcPr>
          <w:p>
            <w:pPr>
              <w:pStyle w:val="TableParagraph"/>
              <w:ind w:right="117"/>
              <w:jc w:val="center"/>
              <w:rPr>
                <w:sz w:val="18"/>
              </w:rPr>
            </w:pPr>
            <w:r>
              <w:rPr>
                <w:spacing w:val="-2"/>
                <w:sz w:val="18"/>
              </w:rPr>
              <w:t>24.204.00</w:t>
            </w:r>
          </w:p>
        </w:tc>
        <w:tc>
          <w:tcPr>
            <w:tcW w:w="1007" w:type="dxa"/>
          </w:tcPr>
          <w:p>
            <w:pPr>
              <w:pStyle w:val="TableParagraph"/>
              <w:ind w:right="42"/>
              <w:rPr>
                <w:sz w:val="18"/>
              </w:rPr>
            </w:pPr>
            <w:r>
              <w:rPr>
                <w:spacing w:val="-2"/>
                <w:sz w:val="18"/>
              </w:rPr>
              <w:t>13,055</w:t>
            </w:r>
          </w:p>
        </w:tc>
      </w:tr>
      <w:tr>
        <w:trPr>
          <w:trHeight w:val="207" w:hRule="atLeast"/>
        </w:trPr>
        <w:tc>
          <w:tcPr>
            <w:tcW w:w="1242" w:type="dxa"/>
          </w:tcPr>
          <w:p>
            <w:pPr>
              <w:pStyle w:val="TableParagraph"/>
              <w:spacing w:line="188" w:lineRule="exact"/>
              <w:ind w:right="288"/>
              <w:rPr>
                <w:sz w:val="18"/>
              </w:rPr>
            </w:pPr>
            <w:r>
              <w:rPr>
                <w:spacing w:val="-2"/>
                <w:sz w:val="18"/>
              </w:rPr>
              <w:t>185.401.00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195.700.00</w:t>
            </w:r>
          </w:p>
        </w:tc>
        <w:tc>
          <w:tcPr>
            <w:tcW w:w="1188" w:type="dxa"/>
          </w:tcPr>
          <w:p>
            <w:pPr>
              <w:pStyle w:val="TableParagraph"/>
              <w:spacing w:line="188" w:lineRule="exact"/>
              <w:ind w:right="274"/>
              <w:rPr>
                <w:sz w:val="18"/>
              </w:rPr>
            </w:pPr>
            <w:r>
              <w:rPr>
                <w:spacing w:val="-2"/>
                <w:sz w:val="18"/>
              </w:rPr>
              <w:t>16,20</w:t>
            </w:r>
          </w:p>
        </w:tc>
        <w:tc>
          <w:tcPr>
            <w:tcW w:w="1489" w:type="dxa"/>
          </w:tcPr>
          <w:p>
            <w:pPr>
              <w:pStyle w:val="TableParagraph"/>
              <w:spacing w:line="188" w:lineRule="exact"/>
              <w:ind w:right="117"/>
              <w:jc w:val="center"/>
              <w:rPr>
                <w:sz w:val="18"/>
              </w:rPr>
            </w:pPr>
            <w:r>
              <w:rPr>
                <w:spacing w:val="-2"/>
                <w:sz w:val="18"/>
              </w:rPr>
              <w:t>25.872.00</w:t>
            </w:r>
          </w:p>
        </w:tc>
        <w:tc>
          <w:tcPr>
            <w:tcW w:w="1007" w:type="dxa"/>
          </w:tcPr>
          <w:p>
            <w:pPr>
              <w:pStyle w:val="TableParagraph"/>
              <w:spacing w:line="188" w:lineRule="exact"/>
              <w:ind w:right="42"/>
              <w:rPr>
                <w:sz w:val="18"/>
              </w:rPr>
            </w:pPr>
            <w:r>
              <w:rPr>
                <w:spacing w:val="-2"/>
                <w:sz w:val="18"/>
              </w:rPr>
              <w:t>13,220</w:t>
            </w:r>
          </w:p>
        </w:tc>
      </w:tr>
      <w:tr>
        <w:trPr>
          <w:trHeight w:val="207" w:hRule="atLeast"/>
        </w:trPr>
        <w:tc>
          <w:tcPr>
            <w:tcW w:w="1242" w:type="dxa"/>
          </w:tcPr>
          <w:p>
            <w:pPr>
              <w:pStyle w:val="TableParagraph"/>
              <w:spacing w:line="188" w:lineRule="exact"/>
              <w:ind w:right="288"/>
              <w:rPr>
                <w:sz w:val="18"/>
              </w:rPr>
            </w:pPr>
            <w:r>
              <w:rPr>
                <w:spacing w:val="-2"/>
                <w:sz w:val="18"/>
              </w:rPr>
              <w:t>195.701.00</w:t>
            </w:r>
          </w:p>
        </w:tc>
        <w:tc>
          <w:tcPr>
            <w:tcW w:w="843" w:type="dxa"/>
          </w:tcPr>
          <w:p>
            <w:pPr>
              <w:pStyle w:val="TableParagraph"/>
              <w:spacing w:line="188" w:lineRule="exact"/>
              <w:ind w:left="291"/>
              <w:jc w:val="left"/>
              <w:rPr>
                <w:sz w:val="18"/>
              </w:rPr>
            </w:pPr>
            <w:r>
              <w:rPr>
                <w:spacing w:val="-10"/>
                <w:sz w:val="18"/>
              </w:rPr>
              <w:t>à</w:t>
            </w:r>
          </w:p>
        </w:tc>
        <w:tc>
          <w:tcPr>
            <w:tcW w:w="1810" w:type="dxa"/>
          </w:tcPr>
          <w:p>
            <w:pPr>
              <w:pStyle w:val="TableParagraph"/>
              <w:spacing w:line="188" w:lineRule="exact"/>
              <w:ind w:left="97" w:right="97"/>
              <w:jc w:val="center"/>
              <w:rPr>
                <w:sz w:val="18"/>
              </w:rPr>
            </w:pPr>
            <w:r>
              <w:rPr>
                <w:spacing w:val="-2"/>
                <w:sz w:val="18"/>
              </w:rPr>
              <w:t>206.000.00</w:t>
            </w:r>
          </w:p>
        </w:tc>
        <w:tc>
          <w:tcPr>
            <w:tcW w:w="1188" w:type="dxa"/>
          </w:tcPr>
          <w:p>
            <w:pPr>
              <w:pStyle w:val="TableParagraph"/>
              <w:spacing w:line="188" w:lineRule="exact"/>
              <w:ind w:right="274"/>
              <w:rPr>
                <w:sz w:val="18"/>
              </w:rPr>
            </w:pPr>
            <w:r>
              <w:rPr>
                <w:spacing w:val="-2"/>
                <w:sz w:val="18"/>
              </w:rPr>
              <w:t>16,20</w:t>
            </w:r>
          </w:p>
        </w:tc>
        <w:tc>
          <w:tcPr>
            <w:tcW w:w="1489" w:type="dxa"/>
          </w:tcPr>
          <w:p>
            <w:pPr>
              <w:pStyle w:val="TableParagraph"/>
              <w:spacing w:line="188" w:lineRule="exact"/>
              <w:ind w:right="117"/>
              <w:jc w:val="center"/>
              <w:rPr>
                <w:sz w:val="18"/>
              </w:rPr>
            </w:pPr>
            <w:r>
              <w:rPr>
                <w:spacing w:val="-2"/>
                <w:sz w:val="18"/>
              </w:rPr>
              <w:t>27.541.00</w:t>
            </w:r>
          </w:p>
        </w:tc>
        <w:tc>
          <w:tcPr>
            <w:tcW w:w="1007" w:type="dxa"/>
          </w:tcPr>
          <w:p>
            <w:pPr>
              <w:pStyle w:val="TableParagraph"/>
              <w:spacing w:line="188" w:lineRule="exact"/>
              <w:ind w:right="42"/>
              <w:rPr>
                <w:sz w:val="18"/>
              </w:rPr>
            </w:pPr>
            <w:r>
              <w:rPr>
                <w:spacing w:val="-2"/>
                <w:sz w:val="18"/>
              </w:rPr>
              <w:t>13,369</w:t>
            </w:r>
          </w:p>
        </w:tc>
      </w:tr>
      <w:tr>
        <w:trPr>
          <w:trHeight w:val="206" w:hRule="atLeast"/>
        </w:trPr>
        <w:tc>
          <w:tcPr>
            <w:tcW w:w="1242" w:type="dxa"/>
          </w:tcPr>
          <w:p>
            <w:pPr>
              <w:pStyle w:val="TableParagraph"/>
              <w:ind w:right="288"/>
              <w:rPr>
                <w:sz w:val="18"/>
              </w:rPr>
            </w:pPr>
            <w:r>
              <w:rPr>
                <w:spacing w:val="-2"/>
                <w:sz w:val="18"/>
              </w:rPr>
              <w:t>206.001.00</w:t>
            </w:r>
          </w:p>
        </w:tc>
        <w:tc>
          <w:tcPr>
            <w:tcW w:w="843" w:type="dxa"/>
          </w:tcPr>
          <w:p>
            <w:pPr>
              <w:pStyle w:val="TableParagraph"/>
              <w:ind w:left="291"/>
              <w:jc w:val="left"/>
              <w:rPr>
                <w:sz w:val="18"/>
              </w:rPr>
            </w:pPr>
            <w:r>
              <w:rPr>
                <w:spacing w:val="-10"/>
                <w:sz w:val="18"/>
              </w:rPr>
              <w:t>à</w:t>
            </w:r>
          </w:p>
        </w:tc>
        <w:tc>
          <w:tcPr>
            <w:tcW w:w="1810" w:type="dxa"/>
          </w:tcPr>
          <w:p>
            <w:pPr>
              <w:pStyle w:val="TableParagraph"/>
              <w:ind w:left="97" w:right="97"/>
              <w:jc w:val="center"/>
              <w:rPr>
                <w:sz w:val="18"/>
              </w:rPr>
            </w:pPr>
            <w:r>
              <w:rPr>
                <w:spacing w:val="-2"/>
                <w:sz w:val="18"/>
              </w:rPr>
              <w:t>309.000.00</w:t>
            </w:r>
          </w:p>
        </w:tc>
        <w:tc>
          <w:tcPr>
            <w:tcW w:w="1188" w:type="dxa"/>
          </w:tcPr>
          <w:p>
            <w:pPr>
              <w:pStyle w:val="TableParagraph"/>
              <w:ind w:right="274"/>
              <w:rPr>
                <w:sz w:val="18"/>
              </w:rPr>
            </w:pPr>
            <w:r>
              <w:rPr>
                <w:spacing w:val="-2"/>
                <w:sz w:val="18"/>
              </w:rPr>
              <w:t>13,50</w:t>
            </w:r>
          </w:p>
        </w:tc>
        <w:tc>
          <w:tcPr>
            <w:tcW w:w="1489" w:type="dxa"/>
          </w:tcPr>
          <w:p>
            <w:pPr>
              <w:pStyle w:val="TableParagraph"/>
              <w:ind w:right="117"/>
              <w:jc w:val="center"/>
              <w:rPr>
                <w:sz w:val="18"/>
              </w:rPr>
            </w:pPr>
            <w:r>
              <w:rPr>
                <w:spacing w:val="-2"/>
                <w:sz w:val="18"/>
              </w:rPr>
              <w:t>41.446.00</w:t>
            </w:r>
          </w:p>
        </w:tc>
        <w:tc>
          <w:tcPr>
            <w:tcW w:w="1007" w:type="dxa"/>
          </w:tcPr>
          <w:p>
            <w:pPr>
              <w:pStyle w:val="TableParagraph"/>
              <w:ind w:right="42"/>
              <w:rPr>
                <w:sz w:val="18"/>
              </w:rPr>
            </w:pPr>
            <w:r>
              <w:rPr>
                <w:spacing w:val="-2"/>
                <w:sz w:val="18"/>
              </w:rPr>
              <w:t>13,413</w:t>
            </w:r>
          </w:p>
        </w:tc>
      </w:tr>
      <w:tr>
        <w:trPr>
          <w:trHeight w:val="203" w:hRule="atLeast"/>
        </w:trPr>
        <w:tc>
          <w:tcPr>
            <w:tcW w:w="1242" w:type="dxa"/>
          </w:tcPr>
          <w:p>
            <w:pPr>
              <w:pStyle w:val="TableParagraph"/>
              <w:spacing w:line="184" w:lineRule="exact"/>
              <w:ind w:right="288"/>
              <w:rPr>
                <w:sz w:val="18"/>
              </w:rPr>
            </w:pPr>
            <w:r>
              <w:rPr>
                <w:spacing w:val="-2"/>
                <w:sz w:val="18"/>
              </w:rPr>
              <w:t>309.001.00</w:t>
            </w:r>
          </w:p>
        </w:tc>
        <w:tc>
          <w:tcPr>
            <w:tcW w:w="843" w:type="dxa"/>
          </w:tcPr>
          <w:p>
            <w:pPr>
              <w:pStyle w:val="TableParagraph"/>
              <w:spacing w:line="184" w:lineRule="exact"/>
              <w:ind w:left="291"/>
              <w:jc w:val="left"/>
              <w:rPr>
                <w:sz w:val="18"/>
              </w:rPr>
            </w:pPr>
            <w:r>
              <w:rPr>
                <w:spacing w:val="-10"/>
                <w:sz w:val="18"/>
              </w:rPr>
              <w:t>à</w:t>
            </w:r>
          </w:p>
        </w:tc>
        <w:tc>
          <w:tcPr>
            <w:tcW w:w="1810" w:type="dxa"/>
          </w:tcPr>
          <w:p>
            <w:pPr>
              <w:pStyle w:val="TableParagraph"/>
              <w:spacing w:line="184" w:lineRule="exact"/>
              <w:ind w:left="97" w:right="97"/>
              <w:jc w:val="center"/>
              <w:rPr>
                <w:sz w:val="18"/>
              </w:rPr>
            </w:pPr>
            <w:r>
              <w:rPr>
                <w:spacing w:val="-2"/>
                <w:sz w:val="18"/>
              </w:rPr>
              <w:t>412.000.00</w:t>
            </w:r>
          </w:p>
        </w:tc>
        <w:tc>
          <w:tcPr>
            <w:tcW w:w="1188" w:type="dxa"/>
          </w:tcPr>
          <w:p>
            <w:pPr>
              <w:pStyle w:val="TableParagraph"/>
              <w:spacing w:line="184" w:lineRule="exact"/>
              <w:ind w:right="274"/>
              <w:rPr>
                <w:sz w:val="18"/>
              </w:rPr>
            </w:pPr>
            <w:r>
              <w:rPr>
                <w:spacing w:val="-2"/>
                <w:sz w:val="18"/>
              </w:rPr>
              <w:t>13,75</w:t>
            </w:r>
          </w:p>
        </w:tc>
        <w:tc>
          <w:tcPr>
            <w:tcW w:w="1489" w:type="dxa"/>
          </w:tcPr>
          <w:p>
            <w:pPr>
              <w:pStyle w:val="TableParagraph"/>
              <w:spacing w:line="184" w:lineRule="exact"/>
              <w:ind w:right="117"/>
              <w:jc w:val="center"/>
              <w:rPr>
                <w:sz w:val="18"/>
              </w:rPr>
            </w:pPr>
            <w:r>
              <w:rPr>
                <w:spacing w:val="-2"/>
                <w:sz w:val="18"/>
              </w:rPr>
              <w:t>55.608.00</w:t>
            </w:r>
          </w:p>
        </w:tc>
        <w:tc>
          <w:tcPr>
            <w:tcW w:w="1007" w:type="dxa"/>
          </w:tcPr>
          <w:p>
            <w:pPr>
              <w:pStyle w:val="TableParagraph"/>
              <w:spacing w:line="184" w:lineRule="exact"/>
              <w:ind w:right="42"/>
              <w:rPr>
                <w:sz w:val="18"/>
              </w:rPr>
            </w:pPr>
            <w:r>
              <w:rPr>
                <w:spacing w:val="-2"/>
                <w:sz w:val="18"/>
              </w:rPr>
              <w:t>13,497</w:t>
            </w:r>
          </w:p>
        </w:tc>
      </w:tr>
    </w:tbl>
    <w:p>
      <w:pPr>
        <w:pStyle w:val="BodyText"/>
        <w:spacing w:before="166"/>
        <w:ind w:left="1134"/>
      </w:pPr>
      <w:r>
        <w:rPr>
          <w:position w:val="6"/>
          <w:sz w:val="12"/>
        </w:rPr>
        <w:t>2</w:t>
      </w:r>
      <w:r>
        <w:rPr>
          <w:spacing w:val="-2"/>
          <w:position w:val="6"/>
          <w:sz w:val="12"/>
        </w:rPr>
        <w:t> </w:t>
      </w:r>
      <w:r>
        <w:rPr/>
        <w:t>Le</w:t>
      </w:r>
      <w:r>
        <w:rPr>
          <w:spacing w:val="-1"/>
        </w:rPr>
        <w:t> </w:t>
      </w:r>
      <w:r>
        <w:rPr/>
        <w:t>revenu</w:t>
      </w:r>
      <w:r>
        <w:rPr>
          <w:spacing w:val="-1"/>
        </w:rPr>
        <w:t> </w:t>
      </w:r>
      <w:r>
        <w:rPr/>
        <w:t>supérieur</w:t>
      </w:r>
      <w:r>
        <w:rPr>
          <w:spacing w:val="-3"/>
        </w:rPr>
        <w:t> </w:t>
      </w:r>
      <w:r>
        <w:rPr/>
        <w:t>à</w:t>
      </w:r>
      <w:r>
        <w:rPr>
          <w:spacing w:val="-1"/>
        </w:rPr>
        <w:t> </w:t>
      </w:r>
      <w:r>
        <w:rPr/>
        <w:t>412.000</w:t>
      </w:r>
      <w:r>
        <w:rPr>
          <w:spacing w:val="-1"/>
        </w:rPr>
        <w:t> </w:t>
      </w:r>
      <w:r>
        <w:rPr/>
        <w:t>francs</w:t>
      </w:r>
      <w:r>
        <w:rPr>
          <w:spacing w:val="-3"/>
        </w:rPr>
        <w:t> </w:t>
      </w:r>
      <w:r>
        <w:rPr/>
        <w:t>est</w:t>
      </w:r>
      <w:r>
        <w:rPr>
          <w:spacing w:val="-4"/>
        </w:rPr>
        <w:t> </w:t>
      </w:r>
      <w:r>
        <w:rPr/>
        <w:t>imposé</w:t>
      </w:r>
      <w:r>
        <w:rPr>
          <w:spacing w:val="-1"/>
        </w:rPr>
        <w:t> </w:t>
      </w:r>
      <w:r>
        <w:rPr/>
        <w:t>à</w:t>
      </w:r>
      <w:r>
        <w:rPr>
          <w:spacing w:val="-3"/>
        </w:rPr>
        <w:t> </w:t>
      </w:r>
      <w:r>
        <w:rPr>
          <w:spacing w:val="-4"/>
        </w:rPr>
        <w:t>14%.</w:t>
      </w:r>
    </w:p>
    <w:p>
      <w:pPr>
        <w:pStyle w:val="BodyText"/>
        <w:spacing w:before="37"/>
        <w:ind w:left="1134"/>
      </w:pPr>
      <w:r>
        <w:rPr>
          <w:position w:val="6"/>
          <w:sz w:val="12"/>
        </w:rPr>
        <w:t>4</w:t>
      </w:r>
      <w:r>
        <w:rPr>
          <w:spacing w:val="-2"/>
          <w:position w:val="6"/>
          <w:sz w:val="12"/>
        </w:rPr>
        <w:t> </w:t>
      </w:r>
      <w:r>
        <w:rPr/>
        <w:t>Le</w:t>
      </w:r>
      <w:r>
        <w:rPr>
          <w:spacing w:val="-1"/>
        </w:rPr>
        <w:t> </w:t>
      </w:r>
      <w:r>
        <w:rPr/>
        <w:t>revenu</w:t>
      </w:r>
      <w:r>
        <w:rPr>
          <w:spacing w:val="-2"/>
        </w:rPr>
        <w:t> </w:t>
      </w:r>
      <w:r>
        <w:rPr/>
        <w:t>net</w:t>
      </w:r>
      <w:r>
        <w:rPr>
          <w:spacing w:val="-2"/>
        </w:rPr>
        <w:t> </w:t>
      </w:r>
      <w:r>
        <w:rPr/>
        <w:t>imposable</w:t>
      </w:r>
      <w:r>
        <w:rPr>
          <w:spacing w:val="-1"/>
        </w:rPr>
        <w:t> </w:t>
      </w:r>
      <w:r>
        <w:rPr/>
        <w:t>est</w:t>
      </w:r>
      <w:r>
        <w:rPr>
          <w:spacing w:val="-4"/>
        </w:rPr>
        <w:t> </w:t>
      </w:r>
      <w:r>
        <w:rPr/>
        <w:t>arrondi</w:t>
      </w:r>
      <w:r>
        <w:rPr>
          <w:spacing w:val="-1"/>
        </w:rPr>
        <w:t> </w:t>
      </w:r>
      <w:r>
        <w:rPr/>
        <w:t>à</w:t>
      </w:r>
      <w:r>
        <w:rPr>
          <w:spacing w:val="-2"/>
        </w:rPr>
        <w:t> </w:t>
      </w:r>
      <w:r>
        <w:rPr/>
        <w:t>la</w:t>
      </w:r>
      <w:r>
        <w:rPr>
          <w:spacing w:val="-1"/>
        </w:rPr>
        <w:t> </w:t>
      </w:r>
      <w:r>
        <w:rPr/>
        <w:t>centaine</w:t>
      </w:r>
      <w:r>
        <w:rPr>
          <w:spacing w:val="-4"/>
        </w:rPr>
        <w:t> </w:t>
      </w:r>
      <w:r>
        <w:rPr/>
        <w:t>de</w:t>
      </w:r>
      <w:r>
        <w:rPr>
          <w:spacing w:val="-1"/>
        </w:rPr>
        <w:t> </w:t>
      </w:r>
      <w:r>
        <w:rPr/>
        <w:t>francs</w:t>
      </w:r>
      <w:r>
        <w:rPr>
          <w:spacing w:val="-3"/>
        </w:rPr>
        <w:t> </w:t>
      </w:r>
      <w:r>
        <w:rPr>
          <w:spacing w:val="-2"/>
        </w:rPr>
        <w:t>inférieure.</w:t>
      </w:r>
    </w:p>
    <w:p>
      <w:pPr>
        <w:pStyle w:val="Heading8"/>
        <w:spacing w:before="89"/>
      </w:pPr>
      <w:r>
        <w:rPr/>
        <w:t>Art.</w:t>
      </w:r>
      <w:r>
        <w:rPr>
          <w:spacing w:val="-2"/>
        </w:rPr>
        <w:t> </w:t>
      </w:r>
      <w:r>
        <w:rPr/>
        <w:t>40b</w:t>
      </w:r>
      <w:r>
        <w:rPr>
          <w:position w:val="6"/>
          <w:sz w:val="12"/>
        </w:rPr>
        <w:t>quater</w:t>
      </w:r>
      <w:r>
        <w:rPr>
          <w:spacing w:val="14"/>
          <w:position w:val="6"/>
          <w:sz w:val="12"/>
        </w:rPr>
        <w:t> </w:t>
      </w:r>
      <w:r>
        <w:rPr/>
        <w:t>al.</w:t>
      </w:r>
      <w:r>
        <w:rPr>
          <w:spacing w:val="-1"/>
        </w:rPr>
        <w:t> </w:t>
      </w:r>
      <w:r>
        <w:rPr/>
        <w:t>1,</w:t>
      </w:r>
      <w:r>
        <w:rPr>
          <w:spacing w:val="-3"/>
        </w:rPr>
        <w:t> </w:t>
      </w:r>
      <w:r>
        <w:rPr/>
        <w:t>2 et</w:t>
      </w:r>
      <w:r>
        <w:rPr>
          <w:spacing w:val="-3"/>
        </w:rPr>
        <w:t> </w:t>
      </w:r>
      <w:r>
        <w:rPr/>
        <w:t>4 LCdir</w:t>
      </w:r>
      <w:r>
        <w:rPr>
          <w:spacing w:val="-1"/>
        </w:rPr>
        <w:t> </w:t>
      </w:r>
      <w:r>
        <w:rPr/>
        <w:t>(pour</w:t>
      </w:r>
      <w:r>
        <w:rPr>
          <w:spacing w:val="-2"/>
        </w:rPr>
        <w:t> </w:t>
      </w:r>
      <w:r>
        <w:rPr/>
        <w:t>les</w:t>
      </w:r>
      <w:r>
        <w:rPr>
          <w:spacing w:val="-3"/>
        </w:rPr>
        <w:t> </w:t>
      </w:r>
      <w:r>
        <w:rPr/>
        <w:t>périodes fiscales</w:t>
      </w:r>
      <w:r>
        <w:rPr>
          <w:spacing w:val="-3"/>
        </w:rPr>
        <w:t> </w:t>
      </w:r>
      <w:r>
        <w:rPr/>
        <w:t>2024</w:t>
      </w:r>
      <w:r>
        <w:rPr>
          <w:spacing w:val="-3"/>
        </w:rPr>
        <w:t> </w:t>
      </w:r>
      <w:r>
        <w:rPr/>
        <w:t>à </w:t>
      </w:r>
      <w:r>
        <w:rPr>
          <w:spacing w:val="-2"/>
        </w:rPr>
        <w:t>2026)</w:t>
      </w:r>
    </w:p>
    <w:p>
      <w:pPr>
        <w:pStyle w:val="BodyText"/>
        <w:spacing w:before="56" w:after="45"/>
        <w:ind w:left="1134" w:right="700"/>
      </w:pPr>
      <w:r>
        <w:rPr>
          <w:position w:val="6"/>
          <w:sz w:val="12"/>
        </w:rPr>
        <w:t>1</w:t>
      </w:r>
      <w:r>
        <w:rPr>
          <w:spacing w:val="34"/>
          <w:position w:val="6"/>
          <w:sz w:val="12"/>
        </w:rPr>
        <w:t> </w:t>
      </w:r>
      <w:r>
        <w:rPr/>
        <w:t>L'impôt de base sur le revenu est déterminé d'après le système progressif par catégories, selon le</w:t>
      </w:r>
      <w:r>
        <w:rPr>
          <w:spacing w:val="40"/>
        </w:rPr>
        <w:t> </w:t>
      </w:r>
      <w:hyperlink r:id="rId62">
        <w:r>
          <w:rPr>
            <w:color w:val="0462C0"/>
            <w:u w:val="single" w:color="0462C0"/>
          </w:rPr>
          <w:t>barème</w:t>
        </w:r>
      </w:hyperlink>
      <w:r>
        <w:rPr>
          <w:color w:val="0462C0"/>
        </w:rPr>
        <w:t> </w:t>
      </w:r>
      <w:r>
        <w:rPr/>
        <w:t>suivant :</w:t>
      </w:r>
    </w:p>
    <w:tbl>
      <w:tblPr>
        <w:tblW w:w="0" w:type="auto"/>
        <w:jc w:val="left"/>
        <w:tblInd w:w="1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2"/>
        <w:gridCol w:w="1023"/>
        <w:gridCol w:w="1531"/>
        <w:gridCol w:w="1132"/>
        <w:gridCol w:w="1400"/>
        <w:gridCol w:w="1254"/>
      </w:tblGrid>
      <w:tr>
        <w:trPr>
          <w:trHeight w:val="885" w:hRule="atLeast"/>
        </w:trPr>
        <w:tc>
          <w:tcPr>
            <w:tcW w:w="2265" w:type="dxa"/>
            <w:gridSpan w:val="2"/>
          </w:tcPr>
          <w:p>
            <w:pPr>
              <w:pStyle w:val="TableParagraph"/>
              <w:spacing w:line="240" w:lineRule="auto" w:before="115"/>
              <w:jc w:val="left"/>
              <w:rPr>
                <w:sz w:val="18"/>
              </w:rPr>
            </w:pPr>
          </w:p>
          <w:p>
            <w:pPr>
              <w:pStyle w:val="TableParagraph"/>
              <w:spacing w:line="240" w:lineRule="auto" w:before="1"/>
              <w:ind w:left="1120"/>
              <w:jc w:val="left"/>
              <w:rPr>
                <w:rFonts w:ascii="Arial" w:hAnsi="Arial"/>
                <w:i/>
                <w:sz w:val="18"/>
              </w:rPr>
            </w:pPr>
            <w:r>
              <w:rPr>
                <w:rFonts w:ascii="Arial" w:hAnsi="Arial"/>
                <w:i/>
                <w:spacing w:val="-2"/>
                <w:sz w:val="18"/>
              </w:rPr>
              <w:t>Catégories</w:t>
            </w:r>
          </w:p>
        </w:tc>
        <w:tc>
          <w:tcPr>
            <w:tcW w:w="2663" w:type="dxa"/>
            <w:gridSpan w:val="2"/>
          </w:tcPr>
          <w:p>
            <w:pPr>
              <w:pStyle w:val="TableParagraph"/>
              <w:spacing w:line="242" w:lineRule="auto"/>
              <w:ind w:left="1497" w:right="119" w:firstLine="388"/>
              <w:rPr>
                <w:rFonts w:ascii="Arial" w:hAnsi="Arial"/>
                <w:i/>
                <w:sz w:val="18"/>
              </w:rPr>
            </w:pPr>
            <w:r>
              <w:rPr>
                <w:rFonts w:ascii="Arial" w:hAnsi="Arial"/>
                <w:i/>
                <w:sz w:val="18"/>
              </w:rPr>
              <w:t>Taux</w:t>
            </w:r>
            <w:r>
              <w:rPr>
                <w:rFonts w:ascii="Arial" w:hAnsi="Arial"/>
                <w:i/>
                <w:spacing w:val="-13"/>
                <w:sz w:val="18"/>
              </w:rPr>
              <w:t> </w:t>
            </w:r>
            <w:r>
              <w:rPr>
                <w:rFonts w:ascii="Arial" w:hAnsi="Arial"/>
                <w:i/>
                <w:sz w:val="18"/>
              </w:rPr>
              <w:t>de chaque</w:t>
            </w:r>
            <w:r>
              <w:rPr>
                <w:rFonts w:ascii="Arial" w:hAnsi="Arial"/>
                <w:i/>
                <w:spacing w:val="-3"/>
                <w:sz w:val="18"/>
              </w:rPr>
              <w:t> </w:t>
            </w:r>
            <w:r>
              <w:rPr>
                <w:rFonts w:ascii="Arial" w:hAnsi="Arial"/>
                <w:i/>
                <w:spacing w:val="-2"/>
                <w:sz w:val="18"/>
              </w:rPr>
              <w:t>caté-</w:t>
            </w:r>
          </w:p>
          <w:p>
            <w:pPr>
              <w:pStyle w:val="TableParagraph"/>
              <w:spacing w:line="204" w:lineRule="exact"/>
              <w:ind w:right="119"/>
              <w:rPr>
                <w:rFonts w:ascii="Arial"/>
                <w:i/>
                <w:sz w:val="18"/>
              </w:rPr>
            </w:pPr>
            <w:r>
              <w:rPr>
                <w:rFonts w:ascii="Arial"/>
                <w:i/>
                <w:spacing w:val="-2"/>
                <w:sz w:val="18"/>
              </w:rPr>
              <w:t>gorie</w:t>
            </w:r>
          </w:p>
        </w:tc>
        <w:tc>
          <w:tcPr>
            <w:tcW w:w="1400" w:type="dxa"/>
          </w:tcPr>
          <w:p>
            <w:pPr>
              <w:pStyle w:val="TableParagraph"/>
              <w:spacing w:line="201" w:lineRule="exact"/>
              <w:ind w:right="158"/>
              <w:rPr>
                <w:rFonts w:ascii="Arial" w:hAnsi="Arial"/>
                <w:i/>
                <w:sz w:val="18"/>
              </w:rPr>
            </w:pPr>
            <w:r>
              <w:rPr>
                <w:rFonts w:ascii="Arial" w:hAnsi="Arial"/>
                <w:i/>
                <w:sz w:val="18"/>
              </w:rPr>
              <w:t>Impôt</w:t>
            </w:r>
            <w:r>
              <w:rPr>
                <w:rFonts w:ascii="Arial" w:hAnsi="Arial"/>
                <w:i/>
                <w:spacing w:val="-2"/>
                <w:sz w:val="18"/>
              </w:rPr>
              <w:t> </w:t>
            </w:r>
            <w:r>
              <w:rPr>
                <w:rFonts w:ascii="Arial" w:hAnsi="Arial"/>
                <w:i/>
                <w:sz w:val="18"/>
              </w:rPr>
              <w:t>dû</w:t>
            </w:r>
            <w:r>
              <w:rPr>
                <w:rFonts w:ascii="Arial" w:hAnsi="Arial"/>
                <w:i/>
                <w:spacing w:val="-2"/>
                <w:sz w:val="18"/>
              </w:rPr>
              <w:t> </w:t>
            </w:r>
            <w:r>
              <w:rPr>
                <w:rFonts w:ascii="Arial" w:hAnsi="Arial"/>
                <w:i/>
                <w:spacing w:val="-4"/>
                <w:sz w:val="18"/>
              </w:rPr>
              <w:t>pour</w:t>
            </w:r>
          </w:p>
          <w:p>
            <w:pPr>
              <w:pStyle w:val="TableParagraph"/>
              <w:spacing w:line="240" w:lineRule="auto" w:before="2"/>
              <w:ind w:left="126" w:right="156" w:firstLine="372"/>
              <w:rPr>
                <w:rFonts w:ascii="Arial"/>
                <w:i/>
                <w:sz w:val="18"/>
              </w:rPr>
            </w:pPr>
            <w:r>
              <w:rPr>
                <w:rFonts w:ascii="Arial"/>
                <w:i/>
                <w:sz w:val="18"/>
              </w:rPr>
              <w:t>le</w:t>
            </w:r>
            <w:r>
              <w:rPr>
                <w:rFonts w:ascii="Arial"/>
                <w:i/>
                <w:spacing w:val="-13"/>
                <w:sz w:val="18"/>
              </w:rPr>
              <w:t> </w:t>
            </w:r>
            <w:r>
              <w:rPr>
                <w:rFonts w:ascii="Arial"/>
                <w:i/>
                <w:sz w:val="18"/>
              </w:rPr>
              <w:t>revenu maximal</w:t>
            </w:r>
            <w:r>
              <w:rPr>
                <w:rFonts w:ascii="Arial"/>
                <w:i/>
                <w:spacing w:val="-4"/>
                <w:sz w:val="18"/>
              </w:rPr>
              <w:t> </w:t>
            </w:r>
            <w:r>
              <w:rPr>
                <w:rFonts w:ascii="Arial"/>
                <w:i/>
                <w:sz w:val="18"/>
              </w:rPr>
              <w:t>de</w:t>
            </w:r>
            <w:r>
              <w:rPr>
                <w:rFonts w:ascii="Arial"/>
                <w:i/>
                <w:spacing w:val="-1"/>
                <w:sz w:val="18"/>
              </w:rPr>
              <w:t> </w:t>
            </w:r>
            <w:r>
              <w:rPr>
                <w:rFonts w:ascii="Arial"/>
                <w:i/>
                <w:spacing w:val="-5"/>
                <w:sz w:val="18"/>
              </w:rPr>
              <w:t>la</w:t>
            </w:r>
          </w:p>
          <w:p>
            <w:pPr>
              <w:pStyle w:val="TableParagraph"/>
              <w:spacing w:line="206" w:lineRule="exact"/>
              <w:ind w:right="156"/>
              <w:rPr>
                <w:rFonts w:ascii="Arial" w:hAnsi="Arial"/>
                <w:i/>
                <w:sz w:val="18"/>
              </w:rPr>
            </w:pPr>
            <w:r>
              <w:rPr>
                <w:rFonts w:ascii="Arial" w:hAnsi="Arial"/>
                <w:i/>
                <w:spacing w:val="-2"/>
                <w:sz w:val="18"/>
              </w:rPr>
              <w:t>catégorie</w:t>
            </w:r>
          </w:p>
        </w:tc>
        <w:tc>
          <w:tcPr>
            <w:tcW w:w="1254" w:type="dxa"/>
          </w:tcPr>
          <w:p>
            <w:pPr>
              <w:pStyle w:val="TableParagraph"/>
              <w:spacing w:line="240" w:lineRule="auto"/>
              <w:ind w:left="163" w:right="44" w:firstLine="38"/>
              <w:jc w:val="both"/>
              <w:rPr>
                <w:rFonts w:ascii="Arial" w:hAnsi="Arial"/>
                <w:i/>
                <w:sz w:val="18"/>
              </w:rPr>
            </w:pPr>
            <w:r>
              <w:rPr>
                <w:rFonts w:ascii="Arial" w:hAnsi="Arial"/>
                <w:i/>
                <w:sz w:val="18"/>
              </w:rPr>
              <w:t>Taux</w:t>
            </w:r>
            <w:r>
              <w:rPr>
                <w:rFonts w:ascii="Arial" w:hAnsi="Arial"/>
                <w:i/>
                <w:spacing w:val="-15"/>
                <w:sz w:val="18"/>
              </w:rPr>
              <w:t> </w:t>
            </w:r>
            <w:r>
              <w:rPr>
                <w:rFonts w:ascii="Arial" w:hAnsi="Arial"/>
                <w:i/>
                <w:sz w:val="18"/>
              </w:rPr>
              <w:t>réel</w:t>
            </w:r>
            <w:r>
              <w:rPr>
                <w:rFonts w:ascii="Arial" w:hAnsi="Arial"/>
                <w:i/>
                <w:spacing w:val="-12"/>
                <w:sz w:val="18"/>
              </w:rPr>
              <w:t> </w:t>
            </w:r>
            <w:r>
              <w:rPr>
                <w:rFonts w:ascii="Arial" w:hAnsi="Arial"/>
                <w:i/>
                <w:sz w:val="18"/>
              </w:rPr>
              <w:t>du maximum</w:t>
            </w:r>
            <w:r>
              <w:rPr>
                <w:rFonts w:ascii="Arial" w:hAnsi="Arial"/>
                <w:i/>
                <w:spacing w:val="-13"/>
                <w:sz w:val="18"/>
              </w:rPr>
              <w:t> </w:t>
            </w:r>
            <w:r>
              <w:rPr>
                <w:rFonts w:ascii="Arial" w:hAnsi="Arial"/>
                <w:i/>
                <w:sz w:val="18"/>
              </w:rPr>
              <w:t>de chaque</w:t>
            </w:r>
            <w:r>
              <w:rPr>
                <w:rFonts w:ascii="Arial" w:hAnsi="Arial"/>
                <w:i/>
                <w:spacing w:val="-3"/>
                <w:sz w:val="18"/>
              </w:rPr>
              <w:t> </w:t>
            </w:r>
            <w:r>
              <w:rPr>
                <w:rFonts w:ascii="Arial" w:hAnsi="Arial"/>
                <w:i/>
                <w:spacing w:val="-2"/>
                <w:sz w:val="18"/>
              </w:rPr>
              <w:t>caté-</w:t>
            </w:r>
          </w:p>
          <w:p>
            <w:pPr>
              <w:pStyle w:val="TableParagraph"/>
              <w:spacing w:line="240" w:lineRule="auto"/>
              <w:ind w:left="804"/>
              <w:jc w:val="left"/>
              <w:rPr>
                <w:rFonts w:ascii="Arial"/>
                <w:i/>
                <w:sz w:val="18"/>
              </w:rPr>
            </w:pPr>
            <w:r>
              <w:rPr>
                <w:rFonts w:ascii="Arial"/>
                <w:i/>
                <w:spacing w:val="-2"/>
                <w:sz w:val="18"/>
              </w:rPr>
              <w:t>gorie</w:t>
            </w:r>
          </w:p>
        </w:tc>
      </w:tr>
      <w:tr>
        <w:trPr>
          <w:trHeight w:val="267" w:hRule="atLeast"/>
        </w:trPr>
        <w:tc>
          <w:tcPr>
            <w:tcW w:w="1242" w:type="dxa"/>
          </w:tcPr>
          <w:p>
            <w:pPr>
              <w:pStyle w:val="TableParagraph"/>
              <w:spacing w:line="191" w:lineRule="exact" w:before="56"/>
              <w:ind w:right="290"/>
              <w:rPr>
                <w:rFonts w:ascii="Arial"/>
                <w:i/>
                <w:sz w:val="18"/>
              </w:rPr>
            </w:pPr>
            <w:r>
              <w:rPr>
                <w:rFonts w:ascii="Arial"/>
                <w:i/>
                <w:spacing w:val="-5"/>
                <w:sz w:val="18"/>
              </w:rPr>
              <w:t>Fr.</w:t>
            </w:r>
          </w:p>
        </w:tc>
        <w:tc>
          <w:tcPr>
            <w:tcW w:w="1023" w:type="dxa"/>
          </w:tcPr>
          <w:p>
            <w:pPr>
              <w:pStyle w:val="TableParagraph"/>
              <w:spacing w:line="240" w:lineRule="auto"/>
              <w:jc w:val="left"/>
              <w:rPr>
                <w:rFonts w:ascii="Times New Roman"/>
                <w:sz w:val="18"/>
              </w:rPr>
            </w:pPr>
          </w:p>
        </w:tc>
        <w:tc>
          <w:tcPr>
            <w:tcW w:w="1531" w:type="dxa"/>
          </w:tcPr>
          <w:p>
            <w:pPr>
              <w:pStyle w:val="TableParagraph"/>
              <w:spacing w:line="191" w:lineRule="exact" w:before="56"/>
              <w:ind w:right="355"/>
              <w:rPr>
                <w:rFonts w:ascii="Arial"/>
                <w:i/>
                <w:sz w:val="18"/>
              </w:rPr>
            </w:pPr>
            <w:r>
              <w:rPr>
                <w:rFonts w:ascii="Arial"/>
                <w:i/>
                <w:spacing w:val="-5"/>
                <w:sz w:val="18"/>
              </w:rPr>
              <w:t>Fr.</w:t>
            </w:r>
          </w:p>
        </w:tc>
        <w:tc>
          <w:tcPr>
            <w:tcW w:w="1132" w:type="dxa"/>
          </w:tcPr>
          <w:p>
            <w:pPr>
              <w:pStyle w:val="TableParagraph"/>
              <w:spacing w:line="191" w:lineRule="exact" w:before="56"/>
              <w:ind w:right="122"/>
              <w:rPr>
                <w:rFonts w:ascii="Arial"/>
                <w:i/>
                <w:sz w:val="18"/>
              </w:rPr>
            </w:pPr>
            <w:r>
              <w:rPr>
                <w:rFonts w:ascii="Arial"/>
                <w:i/>
                <w:spacing w:val="-10"/>
                <w:sz w:val="18"/>
              </w:rPr>
              <w:t>%</w:t>
            </w:r>
          </w:p>
        </w:tc>
        <w:tc>
          <w:tcPr>
            <w:tcW w:w="1400" w:type="dxa"/>
          </w:tcPr>
          <w:p>
            <w:pPr>
              <w:pStyle w:val="TableParagraph"/>
              <w:spacing w:line="191" w:lineRule="exact" w:before="56"/>
              <w:ind w:right="158"/>
              <w:rPr>
                <w:rFonts w:ascii="Arial"/>
                <w:i/>
                <w:sz w:val="18"/>
              </w:rPr>
            </w:pPr>
            <w:r>
              <w:rPr>
                <w:rFonts w:ascii="Arial"/>
                <w:i/>
                <w:spacing w:val="-5"/>
                <w:sz w:val="18"/>
              </w:rPr>
              <w:t>Fr.</w:t>
            </w:r>
          </w:p>
        </w:tc>
        <w:tc>
          <w:tcPr>
            <w:tcW w:w="1254" w:type="dxa"/>
          </w:tcPr>
          <w:p>
            <w:pPr>
              <w:pStyle w:val="TableParagraph"/>
              <w:spacing w:line="191" w:lineRule="exact" w:before="56"/>
              <w:ind w:right="47"/>
              <w:rPr>
                <w:rFonts w:ascii="Arial"/>
                <w:i/>
                <w:sz w:val="18"/>
              </w:rPr>
            </w:pPr>
            <w:r>
              <w:rPr>
                <w:rFonts w:ascii="Arial"/>
                <w:i/>
                <w:spacing w:val="-10"/>
                <w:sz w:val="18"/>
              </w:rPr>
              <w:t>%</w:t>
            </w:r>
          </w:p>
        </w:tc>
      </w:tr>
      <w:tr>
        <w:trPr>
          <w:trHeight w:val="207" w:hRule="atLeast"/>
        </w:trPr>
        <w:tc>
          <w:tcPr>
            <w:tcW w:w="1242" w:type="dxa"/>
          </w:tcPr>
          <w:p>
            <w:pPr>
              <w:pStyle w:val="TableParagraph"/>
              <w:spacing w:line="188" w:lineRule="exact"/>
              <w:ind w:right="290"/>
              <w:rPr>
                <w:sz w:val="18"/>
              </w:rPr>
            </w:pPr>
            <w:r>
              <w:rPr>
                <w:spacing w:val="-10"/>
                <w:sz w:val="18"/>
              </w:rPr>
              <w:t>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7.700.00</w:t>
            </w:r>
          </w:p>
        </w:tc>
        <w:tc>
          <w:tcPr>
            <w:tcW w:w="1132" w:type="dxa"/>
          </w:tcPr>
          <w:p>
            <w:pPr>
              <w:pStyle w:val="TableParagraph"/>
              <w:spacing w:line="188" w:lineRule="exact"/>
              <w:ind w:right="119"/>
              <w:rPr>
                <w:sz w:val="18"/>
              </w:rPr>
            </w:pPr>
            <w:r>
              <w:rPr>
                <w:spacing w:val="-2"/>
                <w:sz w:val="18"/>
              </w:rPr>
              <w:t>0,0000</w:t>
            </w:r>
          </w:p>
        </w:tc>
        <w:tc>
          <w:tcPr>
            <w:tcW w:w="1400" w:type="dxa"/>
          </w:tcPr>
          <w:p>
            <w:pPr>
              <w:pStyle w:val="TableParagraph"/>
              <w:spacing w:line="188" w:lineRule="exact"/>
              <w:ind w:right="159"/>
              <w:rPr>
                <w:sz w:val="18"/>
              </w:rPr>
            </w:pPr>
            <w:r>
              <w:rPr>
                <w:spacing w:val="-10"/>
                <w:sz w:val="18"/>
              </w:rPr>
              <w:t>0</w:t>
            </w:r>
          </w:p>
        </w:tc>
        <w:tc>
          <w:tcPr>
            <w:tcW w:w="1254" w:type="dxa"/>
          </w:tcPr>
          <w:p>
            <w:pPr>
              <w:pStyle w:val="TableParagraph"/>
              <w:spacing w:line="188" w:lineRule="exact"/>
              <w:ind w:right="45"/>
              <w:rPr>
                <w:sz w:val="18"/>
              </w:rPr>
            </w:pPr>
            <w:r>
              <w:rPr>
                <w:spacing w:val="-2"/>
                <w:sz w:val="18"/>
              </w:rPr>
              <w:t>0,000</w:t>
            </w:r>
          </w:p>
        </w:tc>
      </w:tr>
      <w:tr>
        <w:trPr>
          <w:trHeight w:val="206" w:hRule="atLeast"/>
        </w:trPr>
        <w:tc>
          <w:tcPr>
            <w:tcW w:w="1242" w:type="dxa"/>
          </w:tcPr>
          <w:p>
            <w:pPr>
              <w:pStyle w:val="TableParagraph"/>
              <w:ind w:right="288"/>
              <w:rPr>
                <w:sz w:val="18"/>
              </w:rPr>
            </w:pPr>
            <w:r>
              <w:rPr>
                <w:spacing w:val="-2"/>
                <w:sz w:val="18"/>
              </w:rPr>
              <w:t>7.701.00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10.300.00</w:t>
            </w:r>
          </w:p>
        </w:tc>
        <w:tc>
          <w:tcPr>
            <w:tcW w:w="1132" w:type="dxa"/>
          </w:tcPr>
          <w:p>
            <w:pPr>
              <w:pStyle w:val="TableParagraph"/>
              <w:ind w:right="119"/>
              <w:rPr>
                <w:sz w:val="18"/>
              </w:rPr>
            </w:pPr>
            <w:r>
              <w:rPr>
                <w:spacing w:val="-2"/>
                <w:sz w:val="18"/>
              </w:rPr>
              <w:t>1,9800</w:t>
            </w:r>
          </w:p>
        </w:tc>
        <w:tc>
          <w:tcPr>
            <w:tcW w:w="1400" w:type="dxa"/>
          </w:tcPr>
          <w:p>
            <w:pPr>
              <w:pStyle w:val="TableParagraph"/>
              <w:ind w:right="156"/>
              <w:rPr>
                <w:sz w:val="18"/>
              </w:rPr>
            </w:pPr>
            <w:r>
              <w:rPr>
                <w:spacing w:val="-2"/>
                <w:sz w:val="18"/>
              </w:rPr>
              <w:t>51.00</w:t>
            </w:r>
          </w:p>
        </w:tc>
        <w:tc>
          <w:tcPr>
            <w:tcW w:w="1254" w:type="dxa"/>
          </w:tcPr>
          <w:p>
            <w:pPr>
              <w:pStyle w:val="TableParagraph"/>
              <w:ind w:right="45"/>
              <w:rPr>
                <w:sz w:val="18"/>
              </w:rPr>
            </w:pPr>
            <w:r>
              <w:rPr>
                <w:spacing w:val="-2"/>
                <w:sz w:val="18"/>
              </w:rPr>
              <w:t>0,500</w:t>
            </w:r>
          </w:p>
        </w:tc>
      </w:tr>
      <w:tr>
        <w:trPr>
          <w:trHeight w:val="206" w:hRule="atLeast"/>
        </w:trPr>
        <w:tc>
          <w:tcPr>
            <w:tcW w:w="1242" w:type="dxa"/>
          </w:tcPr>
          <w:p>
            <w:pPr>
              <w:pStyle w:val="TableParagraph"/>
              <w:ind w:right="288"/>
              <w:rPr>
                <w:sz w:val="18"/>
              </w:rPr>
            </w:pPr>
            <w:r>
              <w:rPr>
                <w:spacing w:val="-2"/>
                <w:sz w:val="18"/>
              </w:rPr>
              <w:t>10.301.00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15.500.00</w:t>
            </w:r>
          </w:p>
        </w:tc>
        <w:tc>
          <w:tcPr>
            <w:tcW w:w="1132" w:type="dxa"/>
          </w:tcPr>
          <w:p>
            <w:pPr>
              <w:pStyle w:val="TableParagraph"/>
              <w:ind w:right="119"/>
              <w:rPr>
                <w:sz w:val="18"/>
              </w:rPr>
            </w:pPr>
            <w:r>
              <w:rPr>
                <w:spacing w:val="-2"/>
                <w:sz w:val="18"/>
              </w:rPr>
              <w:t>3,9600</w:t>
            </w:r>
          </w:p>
        </w:tc>
        <w:tc>
          <w:tcPr>
            <w:tcW w:w="1400" w:type="dxa"/>
          </w:tcPr>
          <w:p>
            <w:pPr>
              <w:pStyle w:val="TableParagraph"/>
              <w:ind w:right="156"/>
              <w:rPr>
                <w:sz w:val="18"/>
              </w:rPr>
            </w:pPr>
            <w:r>
              <w:rPr>
                <w:spacing w:val="-2"/>
                <w:sz w:val="18"/>
              </w:rPr>
              <w:t>257.00</w:t>
            </w:r>
          </w:p>
        </w:tc>
        <w:tc>
          <w:tcPr>
            <w:tcW w:w="1254" w:type="dxa"/>
          </w:tcPr>
          <w:p>
            <w:pPr>
              <w:pStyle w:val="TableParagraph"/>
              <w:ind w:right="45"/>
              <w:rPr>
                <w:sz w:val="18"/>
              </w:rPr>
            </w:pPr>
            <w:r>
              <w:rPr>
                <w:spacing w:val="-2"/>
                <w:sz w:val="18"/>
              </w:rPr>
              <w:t>1,660</w:t>
            </w:r>
          </w:p>
        </w:tc>
      </w:tr>
      <w:tr>
        <w:trPr>
          <w:trHeight w:val="207" w:hRule="atLeast"/>
        </w:trPr>
        <w:tc>
          <w:tcPr>
            <w:tcW w:w="1242" w:type="dxa"/>
          </w:tcPr>
          <w:p>
            <w:pPr>
              <w:pStyle w:val="TableParagraph"/>
              <w:spacing w:line="188" w:lineRule="exact"/>
              <w:ind w:right="288"/>
              <w:rPr>
                <w:sz w:val="18"/>
              </w:rPr>
            </w:pPr>
            <w:r>
              <w:rPr>
                <w:spacing w:val="-2"/>
                <w:sz w:val="18"/>
              </w:rPr>
              <w:t>15.501.00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20.600.00</w:t>
            </w:r>
          </w:p>
        </w:tc>
        <w:tc>
          <w:tcPr>
            <w:tcW w:w="1132" w:type="dxa"/>
          </w:tcPr>
          <w:p>
            <w:pPr>
              <w:pStyle w:val="TableParagraph"/>
              <w:spacing w:line="188" w:lineRule="exact"/>
              <w:ind w:right="119"/>
              <w:rPr>
                <w:sz w:val="18"/>
              </w:rPr>
            </w:pPr>
            <w:r>
              <w:rPr>
                <w:spacing w:val="-2"/>
                <w:sz w:val="18"/>
              </w:rPr>
              <w:t>7,9200</w:t>
            </w:r>
          </w:p>
        </w:tc>
        <w:tc>
          <w:tcPr>
            <w:tcW w:w="1400" w:type="dxa"/>
          </w:tcPr>
          <w:p>
            <w:pPr>
              <w:pStyle w:val="TableParagraph"/>
              <w:spacing w:line="188" w:lineRule="exact"/>
              <w:ind w:right="156"/>
              <w:rPr>
                <w:sz w:val="18"/>
              </w:rPr>
            </w:pPr>
            <w:r>
              <w:rPr>
                <w:spacing w:val="-2"/>
                <w:sz w:val="18"/>
              </w:rPr>
              <w:t>661.00</w:t>
            </w:r>
          </w:p>
        </w:tc>
        <w:tc>
          <w:tcPr>
            <w:tcW w:w="1254" w:type="dxa"/>
          </w:tcPr>
          <w:p>
            <w:pPr>
              <w:pStyle w:val="TableParagraph"/>
              <w:spacing w:line="188" w:lineRule="exact"/>
              <w:ind w:right="45"/>
              <w:rPr>
                <w:sz w:val="18"/>
              </w:rPr>
            </w:pPr>
            <w:r>
              <w:rPr>
                <w:spacing w:val="-2"/>
                <w:sz w:val="18"/>
              </w:rPr>
              <w:t>3,210</w:t>
            </w:r>
          </w:p>
        </w:tc>
      </w:tr>
      <w:tr>
        <w:trPr>
          <w:trHeight w:val="207" w:hRule="atLeast"/>
        </w:trPr>
        <w:tc>
          <w:tcPr>
            <w:tcW w:w="1242" w:type="dxa"/>
          </w:tcPr>
          <w:p>
            <w:pPr>
              <w:pStyle w:val="TableParagraph"/>
              <w:spacing w:line="188" w:lineRule="exact"/>
              <w:ind w:right="288"/>
              <w:rPr>
                <w:sz w:val="18"/>
              </w:rPr>
            </w:pPr>
            <w:r>
              <w:rPr>
                <w:spacing w:val="-2"/>
                <w:sz w:val="18"/>
              </w:rPr>
              <w:t>20.601.00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30.900.00</w:t>
            </w:r>
          </w:p>
        </w:tc>
        <w:tc>
          <w:tcPr>
            <w:tcW w:w="1132" w:type="dxa"/>
          </w:tcPr>
          <w:p>
            <w:pPr>
              <w:pStyle w:val="TableParagraph"/>
              <w:spacing w:line="188" w:lineRule="exact"/>
              <w:ind w:right="119"/>
              <w:rPr>
                <w:sz w:val="18"/>
              </w:rPr>
            </w:pPr>
            <w:r>
              <w:rPr>
                <w:spacing w:val="-2"/>
                <w:sz w:val="18"/>
              </w:rPr>
              <w:t>11,4840</w:t>
            </w:r>
          </w:p>
        </w:tc>
        <w:tc>
          <w:tcPr>
            <w:tcW w:w="1400" w:type="dxa"/>
          </w:tcPr>
          <w:p>
            <w:pPr>
              <w:pStyle w:val="TableParagraph"/>
              <w:spacing w:line="188" w:lineRule="exact"/>
              <w:ind w:right="156"/>
              <w:rPr>
                <w:sz w:val="18"/>
              </w:rPr>
            </w:pPr>
            <w:r>
              <w:rPr>
                <w:spacing w:val="-2"/>
                <w:sz w:val="18"/>
              </w:rPr>
              <w:t>1.844.00</w:t>
            </w:r>
          </w:p>
        </w:tc>
        <w:tc>
          <w:tcPr>
            <w:tcW w:w="1254" w:type="dxa"/>
          </w:tcPr>
          <w:p>
            <w:pPr>
              <w:pStyle w:val="TableParagraph"/>
              <w:spacing w:line="188" w:lineRule="exact"/>
              <w:ind w:right="45"/>
              <w:rPr>
                <w:sz w:val="18"/>
              </w:rPr>
            </w:pPr>
            <w:r>
              <w:rPr>
                <w:spacing w:val="-2"/>
                <w:sz w:val="18"/>
              </w:rPr>
              <w:t>5,970</w:t>
            </w:r>
          </w:p>
        </w:tc>
      </w:tr>
      <w:tr>
        <w:trPr>
          <w:trHeight w:val="206" w:hRule="atLeast"/>
        </w:trPr>
        <w:tc>
          <w:tcPr>
            <w:tcW w:w="1242" w:type="dxa"/>
          </w:tcPr>
          <w:p>
            <w:pPr>
              <w:pStyle w:val="TableParagraph"/>
              <w:ind w:right="288"/>
              <w:rPr>
                <w:sz w:val="18"/>
              </w:rPr>
            </w:pPr>
            <w:r>
              <w:rPr>
                <w:spacing w:val="-2"/>
                <w:sz w:val="18"/>
              </w:rPr>
              <w:t>30.901.00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41.200.00</w:t>
            </w:r>
          </w:p>
        </w:tc>
        <w:tc>
          <w:tcPr>
            <w:tcW w:w="1132" w:type="dxa"/>
          </w:tcPr>
          <w:p>
            <w:pPr>
              <w:pStyle w:val="TableParagraph"/>
              <w:ind w:right="119"/>
              <w:rPr>
                <w:sz w:val="18"/>
              </w:rPr>
            </w:pPr>
            <w:r>
              <w:rPr>
                <w:spacing w:val="-2"/>
                <w:sz w:val="18"/>
              </w:rPr>
              <w:t>11,7810</w:t>
            </w:r>
          </w:p>
        </w:tc>
        <w:tc>
          <w:tcPr>
            <w:tcW w:w="1400" w:type="dxa"/>
          </w:tcPr>
          <w:p>
            <w:pPr>
              <w:pStyle w:val="TableParagraph"/>
              <w:ind w:right="156"/>
              <w:rPr>
                <w:sz w:val="18"/>
              </w:rPr>
            </w:pPr>
            <w:r>
              <w:rPr>
                <w:spacing w:val="-2"/>
                <w:sz w:val="18"/>
              </w:rPr>
              <w:t>3.058.00</w:t>
            </w:r>
          </w:p>
        </w:tc>
        <w:tc>
          <w:tcPr>
            <w:tcW w:w="1254" w:type="dxa"/>
          </w:tcPr>
          <w:p>
            <w:pPr>
              <w:pStyle w:val="TableParagraph"/>
              <w:ind w:right="45"/>
              <w:rPr>
                <w:sz w:val="18"/>
              </w:rPr>
            </w:pPr>
            <w:r>
              <w:rPr>
                <w:spacing w:val="-2"/>
                <w:sz w:val="18"/>
              </w:rPr>
              <w:t>7,420</w:t>
            </w:r>
          </w:p>
        </w:tc>
      </w:tr>
      <w:tr>
        <w:trPr>
          <w:trHeight w:val="206" w:hRule="atLeast"/>
        </w:trPr>
        <w:tc>
          <w:tcPr>
            <w:tcW w:w="1242" w:type="dxa"/>
          </w:tcPr>
          <w:p>
            <w:pPr>
              <w:pStyle w:val="TableParagraph"/>
              <w:ind w:right="288"/>
              <w:rPr>
                <w:sz w:val="18"/>
              </w:rPr>
            </w:pPr>
            <w:r>
              <w:rPr>
                <w:spacing w:val="-2"/>
                <w:sz w:val="18"/>
              </w:rPr>
              <w:t>41.201.00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51.500.00</w:t>
            </w:r>
          </w:p>
        </w:tc>
        <w:tc>
          <w:tcPr>
            <w:tcW w:w="1132" w:type="dxa"/>
          </w:tcPr>
          <w:p>
            <w:pPr>
              <w:pStyle w:val="TableParagraph"/>
              <w:ind w:right="119"/>
              <w:rPr>
                <w:sz w:val="18"/>
              </w:rPr>
            </w:pPr>
            <w:r>
              <w:rPr>
                <w:spacing w:val="-2"/>
                <w:sz w:val="18"/>
              </w:rPr>
              <w:t>12,1770</w:t>
            </w:r>
          </w:p>
        </w:tc>
        <w:tc>
          <w:tcPr>
            <w:tcW w:w="1400" w:type="dxa"/>
          </w:tcPr>
          <w:p>
            <w:pPr>
              <w:pStyle w:val="TableParagraph"/>
              <w:ind w:right="156"/>
              <w:rPr>
                <w:sz w:val="18"/>
              </w:rPr>
            </w:pPr>
            <w:r>
              <w:rPr>
                <w:spacing w:val="-2"/>
                <w:sz w:val="18"/>
              </w:rPr>
              <w:t>4.312.00</w:t>
            </w:r>
          </w:p>
        </w:tc>
        <w:tc>
          <w:tcPr>
            <w:tcW w:w="1254" w:type="dxa"/>
          </w:tcPr>
          <w:p>
            <w:pPr>
              <w:pStyle w:val="TableParagraph"/>
              <w:ind w:right="45"/>
              <w:rPr>
                <w:sz w:val="18"/>
              </w:rPr>
            </w:pPr>
            <w:r>
              <w:rPr>
                <w:spacing w:val="-2"/>
                <w:sz w:val="18"/>
              </w:rPr>
              <w:t>8,370</w:t>
            </w:r>
          </w:p>
        </w:tc>
      </w:tr>
      <w:tr>
        <w:trPr>
          <w:trHeight w:val="207" w:hRule="atLeast"/>
        </w:trPr>
        <w:tc>
          <w:tcPr>
            <w:tcW w:w="1242" w:type="dxa"/>
          </w:tcPr>
          <w:p>
            <w:pPr>
              <w:pStyle w:val="TableParagraph"/>
              <w:spacing w:line="188" w:lineRule="exact"/>
              <w:ind w:right="288"/>
              <w:rPr>
                <w:sz w:val="18"/>
              </w:rPr>
            </w:pPr>
            <w:r>
              <w:rPr>
                <w:spacing w:val="-2"/>
                <w:sz w:val="18"/>
              </w:rPr>
              <w:t>51.501.00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61.800.00</w:t>
            </w:r>
          </w:p>
        </w:tc>
        <w:tc>
          <w:tcPr>
            <w:tcW w:w="1132" w:type="dxa"/>
          </w:tcPr>
          <w:p>
            <w:pPr>
              <w:pStyle w:val="TableParagraph"/>
              <w:spacing w:line="188" w:lineRule="exact"/>
              <w:ind w:right="119"/>
              <w:rPr>
                <w:sz w:val="18"/>
              </w:rPr>
            </w:pPr>
            <w:r>
              <w:rPr>
                <w:spacing w:val="-2"/>
                <w:sz w:val="18"/>
              </w:rPr>
              <w:t>12,6720</w:t>
            </w:r>
          </w:p>
        </w:tc>
        <w:tc>
          <w:tcPr>
            <w:tcW w:w="1400" w:type="dxa"/>
          </w:tcPr>
          <w:p>
            <w:pPr>
              <w:pStyle w:val="TableParagraph"/>
              <w:spacing w:line="188" w:lineRule="exact"/>
              <w:ind w:right="156"/>
              <w:rPr>
                <w:sz w:val="18"/>
              </w:rPr>
            </w:pPr>
            <w:r>
              <w:rPr>
                <w:spacing w:val="-2"/>
                <w:sz w:val="18"/>
              </w:rPr>
              <w:t>5.617.00</w:t>
            </w:r>
          </w:p>
        </w:tc>
        <w:tc>
          <w:tcPr>
            <w:tcW w:w="1254" w:type="dxa"/>
          </w:tcPr>
          <w:p>
            <w:pPr>
              <w:pStyle w:val="TableParagraph"/>
              <w:spacing w:line="188" w:lineRule="exact"/>
              <w:ind w:right="45"/>
              <w:rPr>
                <w:sz w:val="18"/>
              </w:rPr>
            </w:pPr>
            <w:r>
              <w:rPr>
                <w:spacing w:val="-2"/>
                <w:sz w:val="18"/>
              </w:rPr>
              <w:t>9,090</w:t>
            </w:r>
          </w:p>
        </w:tc>
      </w:tr>
      <w:tr>
        <w:trPr>
          <w:trHeight w:val="207" w:hRule="atLeast"/>
        </w:trPr>
        <w:tc>
          <w:tcPr>
            <w:tcW w:w="1242" w:type="dxa"/>
          </w:tcPr>
          <w:p>
            <w:pPr>
              <w:pStyle w:val="TableParagraph"/>
              <w:spacing w:line="188" w:lineRule="exact"/>
              <w:ind w:right="288"/>
              <w:rPr>
                <w:sz w:val="18"/>
              </w:rPr>
            </w:pPr>
            <w:r>
              <w:rPr>
                <w:spacing w:val="-2"/>
                <w:sz w:val="18"/>
              </w:rPr>
              <w:t>61.801.00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72.100.00</w:t>
            </w:r>
          </w:p>
        </w:tc>
        <w:tc>
          <w:tcPr>
            <w:tcW w:w="1132" w:type="dxa"/>
          </w:tcPr>
          <w:p>
            <w:pPr>
              <w:pStyle w:val="TableParagraph"/>
              <w:spacing w:line="188" w:lineRule="exact"/>
              <w:ind w:right="119"/>
              <w:rPr>
                <w:sz w:val="18"/>
              </w:rPr>
            </w:pPr>
            <w:r>
              <w:rPr>
                <w:spacing w:val="-2"/>
                <w:sz w:val="18"/>
              </w:rPr>
              <w:t>13,1670</w:t>
            </w:r>
          </w:p>
        </w:tc>
        <w:tc>
          <w:tcPr>
            <w:tcW w:w="1400" w:type="dxa"/>
          </w:tcPr>
          <w:p>
            <w:pPr>
              <w:pStyle w:val="TableParagraph"/>
              <w:spacing w:line="188" w:lineRule="exact"/>
              <w:ind w:right="156"/>
              <w:rPr>
                <w:sz w:val="18"/>
              </w:rPr>
            </w:pPr>
            <w:r>
              <w:rPr>
                <w:spacing w:val="-2"/>
                <w:sz w:val="18"/>
              </w:rPr>
              <w:t>6.973.00</w:t>
            </w:r>
          </w:p>
        </w:tc>
        <w:tc>
          <w:tcPr>
            <w:tcW w:w="1254" w:type="dxa"/>
          </w:tcPr>
          <w:p>
            <w:pPr>
              <w:pStyle w:val="TableParagraph"/>
              <w:spacing w:line="188" w:lineRule="exact"/>
              <w:ind w:right="45"/>
              <w:rPr>
                <w:sz w:val="18"/>
              </w:rPr>
            </w:pPr>
            <w:r>
              <w:rPr>
                <w:spacing w:val="-2"/>
                <w:sz w:val="18"/>
              </w:rPr>
              <w:t>9,670</w:t>
            </w:r>
          </w:p>
        </w:tc>
      </w:tr>
      <w:tr>
        <w:trPr>
          <w:trHeight w:val="206" w:hRule="atLeast"/>
        </w:trPr>
        <w:tc>
          <w:tcPr>
            <w:tcW w:w="1242" w:type="dxa"/>
          </w:tcPr>
          <w:p>
            <w:pPr>
              <w:pStyle w:val="TableParagraph"/>
              <w:ind w:right="288"/>
              <w:rPr>
                <w:sz w:val="18"/>
              </w:rPr>
            </w:pPr>
            <w:r>
              <w:rPr>
                <w:spacing w:val="-2"/>
                <w:sz w:val="18"/>
              </w:rPr>
              <w:t>72.101.00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82.400.00</w:t>
            </w:r>
          </w:p>
        </w:tc>
        <w:tc>
          <w:tcPr>
            <w:tcW w:w="1132" w:type="dxa"/>
          </w:tcPr>
          <w:p>
            <w:pPr>
              <w:pStyle w:val="TableParagraph"/>
              <w:ind w:right="119"/>
              <w:rPr>
                <w:sz w:val="18"/>
              </w:rPr>
            </w:pPr>
            <w:r>
              <w:rPr>
                <w:spacing w:val="-2"/>
                <w:sz w:val="18"/>
              </w:rPr>
              <w:t>13,6620</w:t>
            </w:r>
          </w:p>
        </w:tc>
        <w:tc>
          <w:tcPr>
            <w:tcW w:w="1400" w:type="dxa"/>
          </w:tcPr>
          <w:p>
            <w:pPr>
              <w:pStyle w:val="TableParagraph"/>
              <w:ind w:right="156"/>
              <w:rPr>
                <w:sz w:val="18"/>
              </w:rPr>
            </w:pPr>
            <w:r>
              <w:rPr>
                <w:spacing w:val="-2"/>
                <w:sz w:val="18"/>
              </w:rPr>
              <w:t>8.380.00</w:t>
            </w:r>
          </w:p>
        </w:tc>
        <w:tc>
          <w:tcPr>
            <w:tcW w:w="1254" w:type="dxa"/>
          </w:tcPr>
          <w:p>
            <w:pPr>
              <w:pStyle w:val="TableParagraph"/>
              <w:ind w:right="45"/>
              <w:rPr>
                <w:sz w:val="18"/>
              </w:rPr>
            </w:pPr>
            <w:r>
              <w:rPr>
                <w:spacing w:val="-2"/>
                <w:sz w:val="18"/>
              </w:rPr>
              <w:t>10,170</w:t>
            </w:r>
          </w:p>
        </w:tc>
      </w:tr>
      <w:tr>
        <w:trPr>
          <w:trHeight w:val="206" w:hRule="atLeast"/>
        </w:trPr>
        <w:tc>
          <w:tcPr>
            <w:tcW w:w="1242" w:type="dxa"/>
          </w:tcPr>
          <w:p>
            <w:pPr>
              <w:pStyle w:val="TableParagraph"/>
              <w:ind w:right="288"/>
              <w:rPr>
                <w:sz w:val="18"/>
              </w:rPr>
            </w:pPr>
            <w:r>
              <w:rPr>
                <w:spacing w:val="-2"/>
                <w:sz w:val="18"/>
              </w:rPr>
              <w:t>82.401.00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92.700.00</w:t>
            </w:r>
          </w:p>
        </w:tc>
        <w:tc>
          <w:tcPr>
            <w:tcW w:w="1132" w:type="dxa"/>
          </w:tcPr>
          <w:p>
            <w:pPr>
              <w:pStyle w:val="TableParagraph"/>
              <w:ind w:right="119"/>
              <w:rPr>
                <w:sz w:val="18"/>
              </w:rPr>
            </w:pPr>
            <w:r>
              <w:rPr>
                <w:spacing w:val="-2"/>
                <w:sz w:val="18"/>
              </w:rPr>
              <w:t>14,0580</w:t>
            </w:r>
          </w:p>
        </w:tc>
        <w:tc>
          <w:tcPr>
            <w:tcW w:w="1400" w:type="dxa"/>
          </w:tcPr>
          <w:p>
            <w:pPr>
              <w:pStyle w:val="TableParagraph"/>
              <w:ind w:right="156"/>
              <w:rPr>
                <w:sz w:val="18"/>
              </w:rPr>
            </w:pPr>
            <w:r>
              <w:rPr>
                <w:spacing w:val="-2"/>
                <w:sz w:val="18"/>
              </w:rPr>
              <w:t>9.828.00</w:t>
            </w:r>
          </w:p>
        </w:tc>
        <w:tc>
          <w:tcPr>
            <w:tcW w:w="1254" w:type="dxa"/>
          </w:tcPr>
          <w:p>
            <w:pPr>
              <w:pStyle w:val="TableParagraph"/>
              <w:ind w:right="45"/>
              <w:rPr>
                <w:sz w:val="18"/>
              </w:rPr>
            </w:pPr>
            <w:r>
              <w:rPr>
                <w:spacing w:val="-2"/>
                <w:sz w:val="18"/>
              </w:rPr>
              <w:t>10,600</w:t>
            </w:r>
          </w:p>
        </w:tc>
      </w:tr>
      <w:tr>
        <w:trPr>
          <w:trHeight w:val="207" w:hRule="atLeast"/>
        </w:trPr>
        <w:tc>
          <w:tcPr>
            <w:tcW w:w="1242" w:type="dxa"/>
          </w:tcPr>
          <w:p>
            <w:pPr>
              <w:pStyle w:val="TableParagraph"/>
              <w:spacing w:line="188" w:lineRule="exact"/>
              <w:ind w:right="288"/>
              <w:rPr>
                <w:sz w:val="18"/>
              </w:rPr>
            </w:pPr>
            <w:r>
              <w:rPr>
                <w:spacing w:val="-2"/>
                <w:sz w:val="18"/>
              </w:rPr>
              <w:t>92.701.00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103.000.00</w:t>
            </w:r>
          </w:p>
        </w:tc>
        <w:tc>
          <w:tcPr>
            <w:tcW w:w="1132" w:type="dxa"/>
          </w:tcPr>
          <w:p>
            <w:pPr>
              <w:pStyle w:val="TableParagraph"/>
              <w:spacing w:line="188" w:lineRule="exact"/>
              <w:ind w:right="119"/>
              <w:rPr>
                <w:sz w:val="18"/>
              </w:rPr>
            </w:pPr>
            <w:r>
              <w:rPr>
                <w:spacing w:val="-2"/>
                <w:sz w:val="18"/>
              </w:rPr>
              <w:t>14,3550</w:t>
            </w:r>
          </w:p>
        </w:tc>
        <w:tc>
          <w:tcPr>
            <w:tcW w:w="1400" w:type="dxa"/>
          </w:tcPr>
          <w:p>
            <w:pPr>
              <w:pStyle w:val="TableParagraph"/>
              <w:spacing w:line="188" w:lineRule="exact"/>
              <w:ind w:right="156"/>
              <w:rPr>
                <w:sz w:val="18"/>
              </w:rPr>
            </w:pPr>
            <w:r>
              <w:rPr>
                <w:spacing w:val="-2"/>
                <w:sz w:val="18"/>
              </w:rPr>
              <w:t>11.307.00</w:t>
            </w:r>
          </w:p>
        </w:tc>
        <w:tc>
          <w:tcPr>
            <w:tcW w:w="1254" w:type="dxa"/>
          </w:tcPr>
          <w:p>
            <w:pPr>
              <w:pStyle w:val="TableParagraph"/>
              <w:spacing w:line="188" w:lineRule="exact"/>
              <w:ind w:right="45"/>
              <w:rPr>
                <w:sz w:val="18"/>
              </w:rPr>
            </w:pPr>
            <w:r>
              <w:rPr>
                <w:spacing w:val="-2"/>
                <w:sz w:val="18"/>
              </w:rPr>
              <w:t>10,980</w:t>
            </w:r>
          </w:p>
        </w:tc>
      </w:tr>
      <w:tr>
        <w:trPr>
          <w:trHeight w:val="207" w:hRule="atLeast"/>
        </w:trPr>
        <w:tc>
          <w:tcPr>
            <w:tcW w:w="1242" w:type="dxa"/>
          </w:tcPr>
          <w:p>
            <w:pPr>
              <w:pStyle w:val="TableParagraph"/>
              <w:spacing w:line="188" w:lineRule="exact"/>
              <w:ind w:right="288"/>
              <w:rPr>
                <w:sz w:val="18"/>
              </w:rPr>
            </w:pPr>
            <w:r>
              <w:rPr>
                <w:spacing w:val="-2"/>
                <w:sz w:val="18"/>
              </w:rPr>
              <w:t>103.001.00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113.300.00</w:t>
            </w:r>
          </w:p>
        </w:tc>
        <w:tc>
          <w:tcPr>
            <w:tcW w:w="1132" w:type="dxa"/>
          </w:tcPr>
          <w:p>
            <w:pPr>
              <w:pStyle w:val="TableParagraph"/>
              <w:spacing w:line="188" w:lineRule="exact"/>
              <w:ind w:right="119"/>
              <w:rPr>
                <w:sz w:val="18"/>
              </w:rPr>
            </w:pPr>
            <w:r>
              <w:rPr>
                <w:spacing w:val="-2"/>
                <w:sz w:val="18"/>
              </w:rPr>
              <w:t>14,6520</w:t>
            </w:r>
          </w:p>
        </w:tc>
        <w:tc>
          <w:tcPr>
            <w:tcW w:w="1400" w:type="dxa"/>
          </w:tcPr>
          <w:p>
            <w:pPr>
              <w:pStyle w:val="TableParagraph"/>
              <w:spacing w:line="188" w:lineRule="exact"/>
              <w:ind w:right="156"/>
              <w:rPr>
                <w:sz w:val="18"/>
              </w:rPr>
            </w:pPr>
            <w:r>
              <w:rPr>
                <w:spacing w:val="-2"/>
                <w:sz w:val="18"/>
              </w:rPr>
              <w:t>12.816.00</w:t>
            </w:r>
          </w:p>
        </w:tc>
        <w:tc>
          <w:tcPr>
            <w:tcW w:w="1254" w:type="dxa"/>
          </w:tcPr>
          <w:p>
            <w:pPr>
              <w:pStyle w:val="TableParagraph"/>
              <w:spacing w:line="188" w:lineRule="exact"/>
              <w:ind w:right="45"/>
              <w:rPr>
                <w:sz w:val="18"/>
              </w:rPr>
            </w:pPr>
            <w:r>
              <w:rPr>
                <w:spacing w:val="-2"/>
                <w:sz w:val="18"/>
              </w:rPr>
              <w:t>11,310</w:t>
            </w:r>
          </w:p>
        </w:tc>
      </w:tr>
      <w:tr>
        <w:trPr>
          <w:trHeight w:val="206" w:hRule="atLeast"/>
        </w:trPr>
        <w:tc>
          <w:tcPr>
            <w:tcW w:w="1242" w:type="dxa"/>
          </w:tcPr>
          <w:p>
            <w:pPr>
              <w:pStyle w:val="TableParagraph"/>
              <w:ind w:right="288"/>
              <w:rPr>
                <w:sz w:val="18"/>
              </w:rPr>
            </w:pPr>
            <w:r>
              <w:rPr>
                <w:spacing w:val="-2"/>
                <w:sz w:val="18"/>
              </w:rPr>
              <w:t>113.301.00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123.600.00</w:t>
            </w:r>
          </w:p>
        </w:tc>
        <w:tc>
          <w:tcPr>
            <w:tcW w:w="1132" w:type="dxa"/>
          </w:tcPr>
          <w:p>
            <w:pPr>
              <w:pStyle w:val="TableParagraph"/>
              <w:ind w:right="119"/>
              <w:rPr>
                <w:sz w:val="18"/>
              </w:rPr>
            </w:pPr>
            <w:r>
              <w:rPr>
                <w:spacing w:val="-2"/>
                <w:sz w:val="18"/>
              </w:rPr>
              <w:t>14,9490</w:t>
            </w:r>
          </w:p>
        </w:tc>
        <w:tc>
          <w:tcPr>
            <w:tcW w:w="1400" w:type="dxa"/>
          </w:tcPr>
          <w:p>
            <w:pPr>
              <w:pStyle w:val="TableParagraph"/>
              <w:ind w:right="156"/>
              <w:rPr>
                <w:sz w:val="18"/>
              </w:rPr>
            </w:pPr>
            <w:r>
              <w:rPr>
                <w:spacing w:val="-2"/>
                <w:sz w:val="18"/>
              </w:rPr>
              <w:t>14.356.00</w:t>
            </w:r>
          </w:p>
        </w:tc>
        <w:tc>
          <w:tcPr>
            <w:tcW w:w="1254" w:type="dxa"/>
          </w:tcPr>
          <w:p>
            <w:pPr>
              <w:pStyle w:val="TableParagraph"/>
              <w:ind w:right="45"/>
              <w:rPr>
                <w:sz w:val="18"/>
              </w:rPr>
            </w:pPr>
            <w:r>
              <w:rPr>
                <w:spacing w:val="-2"/>
                <w:sz w:val="18"/>
              </w:rPr>
              <w:t>11,610</w:t>
            </w:r>
          </w:p>
        </w:tc>
      </w:tr>
      <w:tr>
        <w:trPr>
          <w:trHeight w:val="206" w:hRule="atLeast"/>
        </w:trPr>
        <w:tc>
          <w:tcPr>
            <w:tcW w:w="1242" w:type="dxa"/>
          </w:tcPr>
          <w:p>
            <w:pPr>
              <w:pStyle w:val="TableParagraph"/>
              <w:ind w:right="288"/>
              <w:rPr>
                <w:sz w:val="18"/>
              </w:rPr>
            </w:pPr>
            <w:r>
              <w:rPr>
                <w:spacing w:val="-2"/>
                <w:sz w:val="18"/>
              </w:rPr>
              <w:t>123.601.00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133.900.00</w:t>
            </w:r>
          </w:p>
        </w:tc>
        <w:tc>
          <w:tcPr>
            <w:tcW w:w="1132" w:type="dxa"/>
          </w:tcPr>
          <w:p>
            <w:pPr>
              <w:pStyle w:val="TableParagraph"/>
              <w:ind w:right="119"/>
              <w:rPr>
                <w:sz w:val="18"/>
              </w:rPr>
            </w:pPr>
            <w:r>
              <w:rPr>
                <w:spacing w:val="-2"/>
                <w:sz w:val="18"/>
              </w:rPr>
              <w:t>15,2460</w:t>
            </w:r>
          </w:p>
        </w:tc>
        <w:tc>
          <w:tcPr>
            <w:tcW w:w="1400" w:type="dxa"/>
          </w:tcPr>
          <w:p>
            <w:pPr>
              <w:pStyle w:val="TableParagraph"/>
              <w:ind w:right="156"/>
              <w:rPr>
                <w:sz w:val="18"/>
              </w:rPr>
            </w:pPr>
            <w:r>
              <w:rPr>
                <w:spacing w:val="-2"/>
                <w:sz w:val="18"/>
              </w:rPr>
              <w:t>15.926.00</w:t>
            </w:r>
          </w:p>
        </w:tc>
        <w:tc>
          <w:tcPr>
            <w:tcW w:w="1254" w:type="dxa"/>
          </w:tcPr>
          <w:p>
            <w:pPr>
              <w:pStyle w:val="TableParagraph"/>
              <w:ind w:right="45"/>
              <w:rPr>
                <w:sz w:val="18"/>
              </w:rPr>
            </w:pPr>
            <w:r>
              <w:rPr>
                <w:spacing w:val="-2"/>
                <w:sz w:val="18"/>
              </w:rPr>
              <w:t>11,890</w:t>
            </w:r>
          </w:p>
        </w:tc>
      </w:tr>
      <w:tr>
        <w:trPr>
          <w:trHeight w:val="207" w:hRule="atLeast"/>
        </w:trPr>
        <w:tc>
          <w:tcPr>
            <w:tcW w:w="1242" w:type="dxa"/>
          </w:tcPr>
          <w:p>
            <w:pPr>
              <w:pStyle w:val="TableParagraph"/>
              <w:spacing w:line="188" w:lineRule="exact"/>
              <w:ind w:right="288"/>
              <w:rPr>
                <w:sz w:val="18"/>
              </w:rPr>
            </w:pPr>
            <w:r>
              <w:rPr>
                <w:spacing w:val="-2"/>
                <w:sz w:val="18"/>
              </w:rPr>
              <w:t>133.901.00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144.200.00</w:t>
            </w:r>
          </w:p>
        </w:tc>
        <w:tc>
          <w:tcPr>
            <w:tcW w:w="1132" w:type="dxa"/>
          </w:tcPr>
          <w:p>
            <w:pPr>
              <w:pStyle w:val="TableParagraph"/>
              <w:spacing w:line="188" w:lineRule="exact"/>
              <w:ind w:right="119"/>
              <w:rPr>
                <w:sz w:val="18"/>
              </w:rPr>
            </w:pPr>
            <w:r>
              <w:rPr>
                <w:spacing w:val="-2"/>
                <w:sz w:val="18"/>
              </w:rPr>
              <w:t>15,3450</w:t>
            </w:r>
          </w:p>
        </w:tc>
        <w:tc>
          <w:tcPr>
            <w:tcW w:w="1400" w:type="dxa"/>
          </w:tcPr>
          <w:p>
            <w:pPr>
              <w:pStyle w:val="TableParagraph"/>
              <w:spacing w:line="188" w:lineRule="exact"/>
              <w:ind w:right="156"/>
              <w:rPr>
                <w:sz w:val="18"/>
              </w:rPr>
            </w:pPr>
            <w:r>
              <w:rPr>
                <w:spacing w:val="-2"/>
                <w:sz w:val="18"/>
              </w:rPr>
              <w:t>17.507.00</w:t>
            </w:r>
          </w:p>
        </w:tc>
        <w:tc>
          <w:tcPr>
            <w:tcW w:w="1254" w:type="dxa"/>
          </w:tcPr>
          <w:p>
            <w:pPr>
              <w:pStyle w:val="TableParagraph"/>
              <w:spacing w:line="188" w:lineRule="exact"/>
              <w:ind w:right="45"/>
              <w:rPr>
                <w:sz w:val="18"/>
              </w:rPr>
            </w:pPr>
            <w:r>
              <w:rPr>
                <w:spacing w:val="-2"/>
                <w:sz w:val="18"/>
              </w:rPr>
              <w:t>12,140</w:t>
            </w:r>
          </w:p>
        </w:tc>
      </w:tr>
      <w:tr>
        <w:trPr>
          <w:trHeight w:val="207" w:hRule="atLeast"/>
        </w:trPr>
        <w:tc>
          <w:tcPr>
            <w:tcW w:w="1242" w:type="dxa"/>
          </w:tcPr>
          <w:p>
            <w:pPr>
              <w:pStyle w:val="TableParagraph"/>
              <w:spacing w:line="188" w:lineRule="exact"/>
              <w:ind w:right="288"/>
              <w:rPr>
                <w:sz w:val="18"/>
              </w:rPr>
            </w:pPr>
            <w:r>
              <w:rPr>
                <w:spacing w:val="-2"/>
                <w:sz w:val="18"/>
              </w:rPr>
              <w:t>144.201.00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154.500.00</w:t>
            </w:r>
          </w:p>
        </w:tc>
        <w:tc>
          <w:tcPr>
            <w:tcW w:w="1132" w:type="dxa"/>
          </w:tcPr>
          <w:p>
            <w:pPr>
              <w:pStyle w:val="TableParagraph"/>
              <w:spacing w:line="188" w:lineRule="exact"/>
              <w:ind w:right="119"/>
              <w:rPr>
                <w:sz w:val="18"/>
              </w:rPr>
            </w:pPr>
            <w:r>
              <w:rPr>
                <w:spacing w:val="-2"/>
                <w:sz w:val="18"/>
              </w:rPr>
              <w:t>15,4440</w:t>
            </w:r>
          </w:p>
        </w:tc>
        <w:tc>
          <w:tcPr>
            <w:tcW w:w="1400" w:type="dxa"/>
          </w:tcPr>
          <w:p>
            <w:pPr>
              <w:pStyle w:val="TableParagraph"/>
              <w:spacing w:line="188" w:lineRule="exact"/>
              <w:ind w:right="156"/>
              <w:rPr>
                <w:sz w:val="18"/>
              </w:rPr>
            </w:pPr>
            <w:r>
              <w:rPr>
                <w:spacing w:val="-2"/>
                <w:sz w:val="18"/>
              </w:rPr>
              <w:t>19.097.00</w:t>
            </w:r>
          </w:p>
        </w:tc>
        <w:tc>
          <w:tcPr>
            <w:tcW w:w="1254" w:type="dxa"/>
          </w:tcPr>
          <w:p>
            <w:pPr>
              <w:pStyle w:val="TableParagraph"/>
              <w:spacing w:line="188" w:lineRule="exact"/>
              <w:ind w:right="45"/>
              <w:rPr>
                <w:sz w:val="18"/>
              </w:rPr>
            </w:pPr>
            <w:r>
              <w:rPr>
                <w:spacing w:val="-2"/>
                <w:sz w:val="18"/>
              </w:rPr>
              <w:t>12,360</w:t>
            </w:r>
          </w:p>
        </w:tc>
      </w:tr>
      <w:tr>
        <w:trPr>
          <w:trHeight w:val="206" w:hRule="atLeast"/>
        </w:trPr>
        <w:tc>
          <w:tcPr>
            <w:tcW w:w="1242" w:type="dxa"/>
          </w:tcPr>
          <w:p>
            <w:pPr>
              <w:pStyle w:val="TableParagraph"/>
              <w:ind w:right="288"/>
              <w:rPr>
                <w:sz w:val="18"/>
              </w:rPr>
            </w:pPr>
            <w:r>
              <w:rPr>
                <w:spacing w:val="-2"/>
                <w:sz w:val="18"/>
              </w:rPr>
              <w:t>154.501.00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164.800.00</w:t>
            </w:r>
          </w:p>
        </w:tc>
        <w:tc>
          <w:tcPr>
            <w:tcW w:w="1132" w:type="dxa"/>
          </w:tcPr>
          <w:p>
            <w:pPr>
              <w:pStyle w:val="TableParagraph"/>
              <w:ind w:right="119"/>
              <w:rPr>
                <w:sz w:val="18"/>
              </w:rPr>
            </w:pPr>
            <w:r>
              <w:rPr>
                <w:spacing w:val="-2"/>
                <w:sz w:val="18"/>
              </w:rPr>
              <w:t>15,5430</w:t>
            </w:r>
          </w:p>
        </w:tc>
        <w:tc>
          <w:tcPr>
            <w:tcW w:w="1400" w:type="dxa"/>
          </w:tcPr>
          <w:p>
            <w:pPr>
              <w:pStyle w:val="TableParagraph"/>
              <w:ind w:right="156"/>
              <w:rPr>
                <w:sz w:val="18"/>
              </w:rPr>
            </w:pPr>
            <w:r>
              <w:rPr>
                <w:spacing w:val="-2"/>
                <w:sz w:val="18"/>
              </w:rPr>
              <w:t>20.698.00</w:t>
            </w:r>
          </w:p>
        </w:tc>
        <w:tc>
          <w:tcPr>
            <w:tcW w:w="1254" w:type="dxa"/>
          </w:tcPr>
          <w:p>
            <w:pPr>
              <w:pStyle w:val="TableParagraph"/>
              <w:ind w:right="45"/>
              <w:rPr>
                <w:sz w:val="18"/>
              </w:rPr>
            </w:pPr>
            <w:r>
              <w:rPr>
                <w:spacing w:val="-2"/>
                <w:sz w:val="18"/>
              </w:rPr>
              <w:t>12,560</w:t>
            </w:r>
          </w:p>
        </w:tc>
      </w:tr>
      <w:tr>
        <w:trPr>
          <w:trHeight w:val="206" w:hRule="atLeast"/>
        </w:trPr>
        <w:tc>
          <w:tcPr>
            <w:tcW w:w="1242" w:type="dxa"/>
          </w:tcPr>
          <w:p>
            <w:pPr>
              <w:pStyle w:val="TableParagraph"/>
              <w:ind w:right="288"/>
              <w:rPr>
                <w:sz w:val="18"/>
              </w:rPr>
            </w:pPr>
            <w:r>
              <w:rPr>
                <w:spacing w:val="-2"/>
                <w:sz w:val="18"/>
              </w:rPr>
              <w:t>164.801.00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175.100.00</w:t>
            </w:r>
          </w:p>
        </w:tc>
        <w:tc>
          <w:tcPr>
            <w:tcW w:w="1132" w:type="dxa"/>
          </w:tcPr>
          <w:p>
            <w:pPr>
              <w:pStyle w:val="TableParagraph"/>
              <w:ind w:right="119"/>
              <w:rPr>
                <w:sz w:val="18"/>
              </w:rPr>
            </w:pPr>
            <w:r>
              <w:rPr>
                <w:spacing w:val="-2"/>
                <w:sz w:val="18"/>
              </w:rPr>
              <w:t>15,7410</w:t>
            </w:r>
          </w:p>
        </w:tc>
        <w:tc>
          <w:tcPr>
            <w:tcW w:w="1400" w:type="dxa"/>
          </w:tcPr>
          <w:p>
            <w:pPr>
              <w:pStyle w:val="TableParagraph"/>
              <w:ind w:right="156"/>
              <w:rPr>
                <w:sz w:val="18"/>
              </w:rPr>
            </w:pPr>
            <w:r>
              <w:rPr>
                <w:spacing w:val="-2"/>
                <w:sz w:val="18"/>
              </w:rPr>
              <w:t>22.320.00</w:t>
            </w:r>
          </w:p>
        </w:tc>
        <w:tc>
          <w:tcPr>
            <w:tcW w:w="1254" w:type="dxa"/>
          </w:tcPr>
          <w:p>
            <w:pPr>
              <w:pStyle w:val="TableParagraph"/>
              <w:ind w:right="45"/>
              <w:rPr>
                <w:sz w:val="18"/>
              </w:rPr>
            </w:pPr>
            <w:r>
              <w:rPr>
                <w:spacing w:val="-2"/>
                <w:sz w:val="18"/>
              </w:rPr>
              <w:t>12,750</w:t>
            </w:r>
          </w:p>
        </w:tc>
      </w:tr>
      <w:tr>
        <w:trPr>
          <w:trHeight w:val="206" w:hRule="atLeast"/>
        </w:trPr>
        <w:tc>
          <w:tcPr>
            <w:tcW w:w="1242" w:type="dxa"/>
          </w:tcPr>
          <w:p>
            <w:pPr>
              <w:pStyle w:val="TableParagraph"/>
              <w:ind w:right="288"/>
              <w:rPr>
                <w:sz w:val="18"/>
              </w:rPr>
            </w:pPr>
            <w:r>
              <w:rPr>
                <w:spacing w:val="-2"/>
                <w:sz w:val="18"/>
              </w:rPr>
              <w:t>175.101.00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185.400.00</w:t>
            </w:r>
          </w:p>
        </w:tc>
        <w:tc>
          <w:tcPr>
            <w:tcW w:w="1132" w:type="dxa"/>
          </w:tcPr>
          <w:p>
            <w:pPr>
              <w:pStyle w:val="TableParagraph"/>
              <w:ind w:right="119"/>
              <w:rPr>
                <w:sz w:val="18"/>
              </w:rPr>
            </w:pPr>
            <w:r>
              <w:rPr>
                <w:spacing w:val="-2"/>
                <w:sz w:val="18"/>
              </w:rPr>
              <w:t>15,9390</w:t>
            </w:r>
          </w:p>
        </w:tc>
        <w:tc>
          <w:tcPr>
            <w:tcW w:w="1400" w:type="dxa"/>
          </w:tcPr>
          <w:p>
            <w:pPr>
              <w:pStyle w:val="TableParagraph"/>
              <w:ind w:right="156"/>
              <w:rPr>
                <w:sz w:val="18"/>
              </w:rPr>
            </w:pPr>
            <w:r>
              <w:rPr>
                <w:spacing w:val="-2"/>
                <w:sz w:val="18"/>
              </w:rPr>
              <w:t>23.961.00</w:t>
            </w:r>
          </w:p>
        </w:tc>
        <w:tc>
          <w:tcPr>
            <w:tcW w:w="1254" w:type="dxa"/>
          </w:tcPr>
          <w:p>
            <w:pPr>
              <w:pStyle w:val="TableParagraph"/>
              <w:ind w:right="45"/>
              <w:rPr>
                <w:sz w:val="18"/>
              </w:rPr>
            </w:pPr>
            <w:r>
              <w:rPr>
                <w:spacing w:val="-2"/>
                <w:sz w:val="18"/>
              </w:rPr>
              <w:t>12,920</w:t>
            </w:r>
          </w:p>
        </w:tc>
      </w:tr>
      <w:tr>
        <w:trPr>
          <w:trHeight w:val="207" w:hRule="atLeast"/>
        </w:trPr>
        <w:tc>
          <w:tcPr>
            <w:tcW w:w="1242" w:type="dxa"/>
          </w:tcPr>
          <w:p>
            <w:pPr>
              <w:pStyle w:val="TableParagraph"/>
              <w:spacing w:line="188" w:lineRule="exact"/>
              <w:ind w:right="288"/>
              <w:rPr>
                <w:sz w:val="18"/>
              </w:rPr>
            </w:pPr>
            <w:r>
              <w:rPr>
                <w:spacing w:val="-2"/>
                <w:sz w:val="18"/>
              </w:rPr>
              <w:t>185.401.00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195.700.00</w:t>
            </w:r>
          </w:p>
        </w:tc>
        <w:tc>
          <w:tcPr>
            <w:tcW w:w="1132" w:type="dxa"/>
          </w:tcPr>
          <w:p>
            <w:pPr>
              <w:pStyle w:val="TableParagraph"/>
              <w:spacing w:line="188" w:lineRule="exact"/>
              <w:ind w:right="119"/>
              <w:rPr>
                <w:sz w:val="18"/>
              </w:rPr>
            </w:pPr>
            <w:r>
              <w:rPr>
                <w:spacing w:val="-2"/>
                <w:sz w:val="18"/>
              </w:rPr>
              <w:t>16,0380</w:t>
            </w:r>
          </w:p>
        </w:tc>
        <w:tc>
          <w:tcPr>
            <w:tcW w:w="1400" w:type="dxa"/>
          </w:tcPr>
          <w:p>
            <w:pPr>
              <w:pStyle w:val="TableParagraph"/>
              <w:spacing w:line="188" w:lineRule="exact"/>
              <w:ind w:right="156"/>
              <w:rPr>
                <w:sz w:val="18"/>
              </w:rPr>
            </w:pPr>
            <w:r>
              <w:rPr>
                <w:spacing w:val="-2"/>
                <w:sz w:val="18"/>
              </w:rPr>
              <w:t>25.613.00</w:t>
            </w:r>
          </w:p>
        </w:tc>
        <w:tc>
          <w:tcPr>
            <w:tcW w:w="1254" w:type="dxa"/>
          </w:tcPr>
          <w:p>
            <w:pPr>
              <w:pStyle w:val="TableParagraph"/>
              <w:spacing w:line="188" w:lineRule="exact"/>
              <w:ind w:right="45"/>
              <w:rPr>
                <w:sz w:val="18"/>
              </w:rPr>
            </w:pPr>
            <w:r>
              <w:rPr>
                <w:spacing w:val="-2"/>
                <w:sz w:val="18"/>
              </w:rPr>
              <w:t>13,090</w:t>
            </w:r>
          </w:p>
        </w:tc>
      </w:tr>
      <w:tr>
        <w:trPr>
          <w:trHeight w:val="207" w:hRule="atLeast"/>
        </w:trPr>
        <w:tc>
          <w:tcPr>
            <w:tcW w:w="1242" w:type="dxa"/>
          </w:tcPr>
          <w:p>
            <w:pPr>
              <w:pStyle w:val="TableParagraph"/>
              <w:spacing w:line="188" w:lineRule="exact"/>
              <w:ind w:right="288"/>
              <w:rPr>
                <w:sz w:val="18"/>
              </w:rPr>
            </w:pPr>
            <w:r>
              <w:rPr>
                <w:spacing w:val="-2"/>
                <w:sz w:val="18"/>
              </w:rPr>
              <w:t>195.701.00</w:t>
            </w:r>
          </w:p>
        </w:tc>
        <w:tc>
          <w:tcPr>
            <w:tcW w:w="1023" w:type="dxa"/>
          </w:tcPr>
          <w:p>
            <w:pPr>
              <w:pStyle w:val="TableParagraph"/>
              <w:spacing w:line="188" w:lineRule="exact"/>
              <w:ind w:left="291"/>
              <w:jc w:val="left"/>
              <w:rPr>
                <w:sz w:val="18"/>
              </w:rPr>
            </w:pPr>
            <w:r>
              <w:rPr>
                <w:spacing w:val="-10"/>
                <w:sz w:val="18"/>
              </w:rPr>
              <w:t>à</w:t>
            </w:r>
          </w:p>
        </w:tc>
        <w:tc>
          <w:tcPr>
            <w:tcW w:w="1531" w:type="dxa"/>
          </w:tcPr>
          <w:p>
            <w:pPr>
              <w:pStyle w:val="TableParagraph"/>
              <w:spacing w:line="188" w:lineRule="exact"/>
              <w:ind w:right="353"/>
              <w:rPr>
                <w:sz w:val="18"/>
              </w:rPr>
            </w:pPr>
            <w:r>
              <w:rPr>
                <w:spacing w:val="-2"/>
                <w:sz w:val="18"/>
              </w:rPr>
              <w:t>206.000.00</w:t>
            </w:r>
          </w:p>
        </w:tc>
        <w:tc>
          <w:tcPr>
            <w:tcW w:w="1132" w:type="dxa"/>
          </w:tcPr>
          <w:p>
            <w:pPr>
              <w:pStyle w:val="TableParagraph"/>
              <w:spacing w:line="188" w:lineRule="exact"/>
              <w:ind w:right="119"/>
              <w:rPr>
                <w:sz w:val="18"/>
              </w:rPr>
            </w:pPr>
            <w:r>
              <w:rPr>
                <w:spacing w:val="-2"/>
                <w:sz w:val="18"/>
              </w:rPr>
              <w:t>16,0380</w:t>
            </w:r>
          </w:p>
        </w:tc>
        <w:tc>
          <w:tcPr>
            <w:tcW w:w="1400" w:type="dxa"/>
          </w:tcPr>
          <w:p>
            <w:pPr>
              <w:pStyle w:val="TableParagraph"/>
              <w:spacing w:line="188" w:lineRule="exact"/>
              <w:ind w:right="156"/>
              <w:rPr>
                <w:sz w:val="18"/>
              </w:rPr>
            </w:pPr>
            <w:r>
              <w:rPr>
                <w:spacing w:val="-2"/>
                <w:sz w:val="18"/>
              </w:rPr>
              <w:t>27.265.00</w:t>
            </w:r>
          </w:p>
        </w:tc>
        <w:tc>
          <w:tcPr>
            <w:tcW w:w="1254" w:type="dxa"/>
          </w:tcPr>
          <w:p>
            <w:pPr>
              <w:pStyle w:val="TableParagraph"/>
              <w:spacing w:line="188" w:lineRule="exact"/>
              <w:ind w:right="45"/>
              <w:rPr>
                <w:sz w:val="18"/>
              </w:rPr>
            </w:pPr>
            <w:r>
              <w:rPr>
                <w:spacing w:val="-2"/>
                <w:sz w:val="18"/>
              </w:rPr>
              <w:t>13,240</w:t>
            </w:r>
          </w:p>
        </w:tc>
      </w:tr>
      <w:tr>
        <w:trPr>
          <w:trHeight w:val="206" w:hRule="atLeast"/>
        </w:trPr>
        <w:tc>
          <w:tcPr>
            <w:tcW w:w="1242" w:type="dxa"/>
          </w:tcPr>
          <w:p>
            <w:pPr>
              <w:pStyle w:val="TableParagraph"/>
              <w:ind w:right="288"/>
              <w:rPr>
                <w:sz w:val="18"/>
              </w:rPr>
            </w:pPr>
            <w:r>
              <w:rPr>
                <w:spacing w:val="-2"/>
                <w:sz w:val="18"/>
              </w:rPr>
              <w:t>206.001.00</w:t>
            </w:r>
          </w:p>
        </w:tc>
        <w:tc>
          <w:tcPr>
            <w:tcW w:w="1023" w:type="dxa"/>
          </w:tcPr>
          <w:p>
            <w:pPr>
              <w:pStyle w:val="TableParagraph"/>
              <w:ind w:left="291"/>
              <w:jc w:val="left"/>
              <w:rPr>
                <w:sz w:val="18"/>
              </w:rPr>
            </w:pPr>
            <w:r>
              <w:rPr>
                <w:spacing w:val="-10"/>
                <w:sz w:val="18"/>
              </w:rPr>
              <w:t>à</w:t>
            </w:r>
          </w:p>
        </w:tc>
        <w:tc>
          <w:tcPr>
            <w:tcW w:w="1531" w:type="dxa"/>
          </w:tcPr>
          <w:p>
            <w:pPr>
              <w:pStyle w:val="TableParagraph"/>
              <w:ind w:right="353"/>
              <w:rPr>
                <w:sz w:val="18"/>
              </w:rPr>
            </w:pPr>
            <w:r>
              <w:rPr>
                <w:spacing w:val="-2"/>
                <w:sz w:val="18"/>
              </w:rPr>
              <w:t>309.000.00</w:t>
            </w:r>
          </w:p>
        </w:tc>
        <w:tc>
          <w:tcPr>
            <w:tcW w:w="1132" w:type="dxa"/>
          </w:tcPr>
          <w:p>
            <w:pPr>
              <w:pStyle w:val="TableParagraph"/>
              <w:ind w:right="119"/>
              <w:rPr>
                <w:sz w:val="18"/>
              </w:rPr>
            </w:pPr>
            <w:r>
              <w:rPr>
                <w:spacing w:val="-2"/>
                <w:sz w:val="18"/>
              </w:rPr>
              <w:t>13,3650</w:t>
            </w:r>
          </w:p>
        </w:tc>
        <w:tc>
          <w:tcPr>
            <w:tcW w:w="1400" w:type="dxa"/>
          </w:tcPr>
          <w:p>
            <w:pPr>
              <w:pStyle w:val="TableParagraph"/>
              <w:ind w:right="156"/>
              <w:rPr>
                <w:sz w:val="18"/>
              </w:rPr>
            </w:pPr>
            <w:r>
              <w:rPr>
                <w:spacing w:val="-2"/>
                <w:sz w:val="18"/>
              </w:rPr>
              <w:t>41.031.00</w:t>
            </w:r>
          </w:p>
        </w:tc>
        <w:tc>
          <w:tcPr>
            <w:tcW w:w="1254" w:type="dxa"/>
          </w:tcPr>
          <w:p>
            <w:pPr>
              <w:pStyle w:val="TableParagraph"/>
              <w:ind w:right="45"/>
              <w:rPr>
                <w:sz w:val="18"/>
              </w:rPr>
            </w:pPr>
            <w:r>
              <w:rPr>
                <w:spacing w:val="-2"/>
                <w:sz w:val="18"/>
              </w:rPr>
              <w:t>13,280</w:t>
            </w:r>
          </w:p>
        </w:tc>
      </w:tr>
      <w:tr>
        <w:trPr>
          <w:trHeight w:val="203" w:hRule="atLeast"/>
        </w:trPr>
        <w:tc>
          <w:tcPr>
            <w:tcW w:w="1242" w:type="dxa"/>
          </w:tcPr>
          <w:p>
            <w:pPr>
              <w:pStyle w:val="TableParagraph"/>
              <w:spacing w:line="184" w:lineRule="exact"/>
              <w:ind w:right="288"/>
              <w:rPr>
                <w:sz w:val="18"/>
              </w:rPr>
            </w:pPr>
            <w:r>
              <w:rPr>
                <w:spacing w:val="-2"/>
                <w:sz w:val="18"/>
              </w:rPr>
              <w:t>309.001.00</w:t>
            </w:r>
          </w:p>
        </w:tc>
        <w:tc>
          <w:tcPr>
            <w:tcW w:w="1023" w:type="dxa"/>
          </w:tcPr>
          <w:p>
            <w:pPr>
              <w:pStyle w:val="TableParagraph"/>
              <w:spacing w:line="184" w:lineRule="exact"/>
              <w:ind w:left="291"/>
              <w:jc w:val="left"/>
              <w:rPr>
                <w:sz w:val="18"/>
              </w:rPr>
            </w:pPr>
            <w:r>
              <w:rPr>
                <w:spacing w:val="-10"/>
                <w:sz w:val="18"/>
              </w:rPr>
              <w:t>à</w:t>
            </w:r>
          </w:p>
        </w:tc>
        <w:tc>
          <w:tcPr>
            <w:tcW w:w="1531" w:type="dxa"/>
          </w:tcPr>
          <w:p>
            <w:pPr>
              <w:pStyle w:val="TableParagraph"/>
              <w:spacing w:line="184" w:lineRule="exact"/>
              <w:ind w:right="353"/>
              <w:rPr>
                <w:sz w:val="18"/>
              </w:rPr>
            </w:pPr>
            <w:r>
              <w:rPr>
                <w:spacing w:val="-2"/>
                <w:sz w:val="18"/>
              </w:rPr>
              <w:t>412.000.00</w:t>
            </w:r>
          </w:p>
        </w:tc>
        <w:tc>
          <w:tcPr>
            <w:tcW w:w="1132" w:type="dxa"/>
          </w:tcPr>
          <w:p>
            <w:pPr>
              <w:pStyle w:val="TableParagraph"/>
              <w:spacing w:line="184" w:lineRule="exact"/>
              <w:ind w:right="119"/>
              <w:rPr>
                <w:sz w:val="18"/>
              </w:rPr>
            </w:pPr>
            <w:r>
              <w:rPr>
                <w:spacing w:val="-2"/>
                <w:sz w:val="18"/>
              </w:rPr>
              <w:t>13,6125</w:t>
            </w:r>
          </w:p>
        </w:tc>
        <w:tc>
          <w:tcPr>
            <w:tcW w:w="1400" w:type="dxa"/>
          </w:tcPr>
          <w:p>
            <w:pPr>
              <w:pStyle w:val="TableParagraph"/>
              <w:spacing w:line="184" w:lineRule="exact"/>
              <w:ind w:right="156"/>
              <w:rPr>
                <w:sz w:val="18"/>
              </w:rPr>
            </w:pPr>
            <w:r>
              <w:rPr>
                <w:spacing w:val="-2"/>
                <w:sz w:val="18"/>
              </w:rPr>
              <w:t>55.052.00</w:t>
            </w:r>
          </w:p>
        </w:tc>
        <w:tc>
          <w:tcPr>
            <w:tcW w:w="1254" w:type="dxa"/>
          </w:tcPr>
          <w:p>
            <w:pPr>
              <w:pStyle w:val="TableParagraph"/>
              <w:spacing w:line="184" w:lineRule="exact"/>
              <w:ind w:right="45"/>
              <w:rPr>
                <w:sz w:val="18"/>
              </w:rPr>
            </w:pPr>
            <w:r>
              <w:rPr>
                <w:spacing w:val="-2"/>
                <w:sz w:val="18"/>
              </w:rPr>
              <w:t>13,360</w:t>
            </w:r>
          </w:p>
        </w:tc>
      </w:tr>
    </w:tbl>
    <w:p>
      <w:pPr>
        <w:pStyle w:val="BodyText"/>
        <w:spacing w:before="169"/>
        <w:ind w:left="1134"/>
      </w:pPr>
      <w:r>
        <w:rPr>
          <w:position w:val="6"/>
          <w:sz w:val="12"/>
        </w:rPr>
        <w:t>2</w:t>
      </w:r>
      <w:r>
        <w:rPr>
          <w:spacing w:val="-2"/>
          <w:position w:val="6"/>
          <w:sz w:val="12"/>
        </w:rPr>
        <w:t> </w:t>
      </w:r>
      <w:r>
        <w:rPr/>
        <w:t>Le</w:t>
      </w:r>
      <w:r>
        <w:rPr>
          <w:spacing w:val="-1"/>
        </w:rPr>
        <w:t> </w:t>
      </w:r>
      <w:r>
        <w:rPr/>
        <w:t>revenu</w:t>
      </w:r>
      <w:r>
        <w:rPr>
          <w:spacing w:val="-1"/>
        </w:rPr>
        <w:t> </w:t>
      </w:r>
      <w:r>
        <w:rPr/>
        <w:t>supérieur</w:t>
      </w:r>
      <w:r>
        <w:rPr>
          <w:spacing w:val="-3"/>
        </w:rPr>
        <w:t> </w:t>
      </w:r>
      <w:r>
        <w:rPr/>
        <w:t>à</w:t>
      </w:r>
      <w:r>
        <w:rPr>
          <w:spacing w:val="-1"/>
        </w:rPr>
        <w:t> </w:t>
      </w:r>
      <w:r>
        <w:rPr/>
        <w:t>412.000</w:t>
      </w:r>
      <w:r>
        <w:rPr>
          <w:spacing w:val="-1"/>
        </w:rPr>
        <w:t> </w:t>
      </w:r>
      <w:r>
        <w:rPr/>
        <w:t>francs</w:t>
      </w:r>
      <w:r>
        <w:rPr>
          <w:spacing w:val="-3"/>
        </w:rPr>
        <w:t> </w:t>
      </w:r>
      <w:r>
        <w:rPr/>
        <w:t>est</w:t>
      </w:r>
      <w:r>
        <w:rPr>
          <w:spacing w:val="-4"/>
        </w:rPr>
        <w:t> </w:t>
      </w:r>
      <w:r>
        <w:rPr/>
        <w:t>imposé</w:t>
      </w:r>
      <w:r>
        <w:rPr>
          <w:spacing w:val="-1"/>
        </w:rPr>
        <w:t> </w:t>
      </w:r>
      <w:r>
        <w:rPr/>
        <w:t>à</w:t>
      </w:r>
      <w:r>
        <w:rPr>
          <w:spacing w:val="-3"/>
        </w:rPr>
        <w:t> </w:t>
      </w:r>
      <w:r>
        <w:rPr>
          <w:spacing w:val="-2"/>
        </w:rPr>
        <w:t>13,86%.</w:t>
      </w:r>
    </w:p>
    <w:p>
      <w:pPr>
        <w:pStyle w:val="BodyText"/>
        <w:spacing w:before="37"/>
        <w:ind w:left="1134"/>
      </w:pPr>
      <w:r>
        <w:rPr>
          <w:position w:val="6"/>
          <w:sz w:val="12"/>
        </w:rPr>
        <w:t>4</w:t>
      </w:r>
      <w:r>
        <w:rPr>
          <w:spacing w:val="-2"/>
          <w:position w:val="6"/>
          <w:sz w:val="12"/>
        </w:rPr>
        <w:t> </w:t>
      </w:r>
      <w:r>
        <w:rPr/>
        <w:t>Le</w:t>
      </w:r>
      <w:r>
        <w:rPr>
          <w:spacing w:val="-1"/>
        </w:rPr>
        <w:t> </w:t>
      </w:r>
      <w:r>
        <w:rPr/>
        <w:t>revenu</w:t>
      </w:r>
      <w:r>
        <w:rPr>
          <w:spacing w:val="-2"/>
        </w:rPr>
        <w:t> </w:t>
      </w:r>
      <w:r>
        <w:rPr/>
        <w:t>net</w:t>
      </w:r>
      <w:r>
        <w:rPr>
          <w:spacing w:val="-2"/>
        </w:rPr>
        <w:t> </w:t>
      </w:r>
      <w:r>
        <w:rPr/>
        <w:t>imposable</w:t>
      </w:r>
      <w:r>
        <w:rPr>
          <w:spacing w:val="-1"/>
        </w:rPr>
        <w:t> </w:t>
      </w:r>
      <w:r>
        <w:rPr/>
        <w:t>est</w:t>
      </w:r>
      <w:r>
        <w:rPr>
          <w:spacing w:val="-4"/>
        </w:rPr>
        <w:t> </w:t>
      </w:r>
      <w:r>
        <w:rPr/>
        <w:t>arrondi</w:t>
      </w:r>
      <w:r>
        <w:rPr>
          <w:spacing w:val="-1"/>
        </w:rPr>
        <w:t> </w:t>
      </w:r>
      <w:r>
        <w:rPr/>
        <w:t>à</w:t>
      </w:r>
      <w:r>
        <w:rPr>
          <w:spacing w:val="-2"/>
        </w:rPr>
        <w:t> </w:t>
      </w:r>
      <w:r>
        <w:rPr/>
        <w:t>la</w:t>
      </w:r>
      <w:r>
        <w:rPr>
          <w:spacing w:val="-1"/>
        </w:rPr>
        <w:t> </w:t>
      </w:r>
      <w:r>
        <w:rPr/>
        <w:t>centaine</w:t>
      </w:r>
      <w:r>
        <w:rPr>
          <w:spacing w:val="-4"/>
        </w:rPr>
        <w:t> </w:t>
      </w:r>
      <w:r>
        <w:rPr/>
        <w:t>de</w:t>
      </w:r>
      <w:r>
        <w:rPr>
          <w:spacing w:val="-1"/>
        </w:rPr>
        <w:t> </w:t>
      </w:r>
      <w:r>
        <w:rPr/>
        <w:t>francs</w:t>
      </w:r>
      <w:r>
        <w:rPr>
          <w:spacing w:val="-3"/>
        </w:rPr>
        <w:t> </w:t>
      </w:r>
      <w:r>
        <w:rPr>
          <w:spacing w:val="-2"/>
        </w:rPr>
        <w:t>inférieure.</w:t>
      </w:r>
    </w:p>
    <w:p>
      <w:pPr>
        <w:pStyle w:val="BodyText"/>
        <w:spacing w:before="154"/>
      </w:pPr>
    </w:p>
    <w:p>
      <w:pPr>
        <w:pStyle w:val="Heading7"/>
      </w:pPr>
      <w:r>
        <w:rPr>
          <w:color w:val="950000"/>
        </w:rPr>
        <w:t>Splitting</w:t>
      </w:r>
      <w:r>
        <w:rPr>
          <w:color w:val="950000"/>
          <w:spacing w:val="80"/>
        </w:rPr>
        <w:t> </w:t>
      </w:r>
      <w:r>
        <w:rPr>
          <w:color w:val="950000"/>
          <w:spacing w:val="3"/>
        </w:rPr>
        <w:drawing>
          <wp:inline distT="0" distB="0" distL="0" distR="0">
            <wp:extent cx="201278" cy="114880"/>
            <wp:effectExtent l="0" t="0" r="0" b="0"/>
            <wp:docPr id="50" name="Image 50" descr="">
              <a:hlinkClick r:id="rId63"/>
            </wp:docPr>
            <wp:cNvGraphicFramePr>
              <a:graphicFrameLocks/>
            </wp:cNvGraphicFramePr>
            <a:graphic>
              <a:graphicData uri="http://schemas.openxmlformats.org/drawingml/2006/picture">
                <pic:pic>
                  <pic:nvPicPr>
                    <pic:cNvPr id="50" name="Image 50" descr="">
                      <a:hlinkClick r:id="rId63"/>
                    </pic:cNvPr>
                    <pic:cNvPicPr/>
                  </pic:nvPicPr>
                  <pic:blipFill>
                    <a:blip r:embed="rId11" cstate="print"/>
                    <a:stretch>
                      <a:fillRect/>
                    </a:stretch>
                  </pic:blipFill>
                  <pic:spPr>
                    <a:xfrm>
                      <a:off x="0" y="0"/>
                      <a:ext cx="201278" cy="114880"/>
                    </a:xfrm>
                    <a:prstGeom prst="rect">
                      <a:avLst/>
                    </a:prstGeom>
                  </pic:spPr>
                </pic:pic>
              </a:graphicData>
            </a:graphic>
          </wp:inline>
        </w:drawing>
      </w:r>
      <w:r>
        <w:rPr>
          <w:color w:val="950000"/>
          <w:spacing w:val="3"/>
        </w:rPr>
      </w:r>
    </w:p>
    <w:p>
      <w:pPr>
        <w:pStyle w:val="Heading8"/>
        <w:spacing w:before="89"/>
      </w:pPr>
      <w:r>
        <w:rPr/>
        <w:t>Art.</w:t>
      </w:r>
      <w:r>
        <w:rPr>
          <w:spacing w:val="-2"/>
        </w:rPr>
        <w:t> </w:t>
      </w:r>
      <w:r>
        <w:rPr/>
        <w:t>40b</w:t>
      </w:r>
      <w:r>
        <w:rPr>
          <w:position w:val="6"/>
          <w:sz w:val="12"/>
        </w:rPr>
        <w:t>ter</w:t>
      </w:r>
      <w:r>
        <w:rPr/>
        <w:t>,</w:t>
      </w:r>
      <w:r>
        <w:rPr>
          <w:spacing w:val="-2"/>
        </w:rPr>
        <w:t> </w:t>
      </w:r>
      <w:r>
        <w:rPr/>
        <w:t>al.</w:t>
      </w:r>
      <w:r>
        <w:rPr>
          <w:spacing w:val="-1"/>
        </w:rPr>
        <w:t> </w:t>
      </w:r>
      <w:r>
        <w:rPr/>
        <w:t>3</w:t>
      </w:r>
      <w:r>
        <w:rPr>
          <w:spacing w:val="-3"/>
        </w:rPr>
        <w:t> </w:t>
      </w:r>
      <w:r>
        <w:rPr>
          <w:spacing w:val="-4"/>
        </w:rPr>
        <w:t>LCdir</w:t>
      </w:r>
    </w:p>
    <w:p>
      <w:pPr>
        <w:pStyle w:val="BodyText"/>
        <w:spacing w:before="55"/>
        <w:ind w:left="1134" w:right="704"/>
        <w:jc w:val="both"/>
      </w:pPr>
      <w:r>
        <w:rPr>
          <w:position w:val="6"/>
          <w:sz w:val="12"/>
        </w:rPr>
        <w:t>3</w:t>
      </w:r>
      <w:r>
        <w:rPr>
          <w:spacing w:val="19"/>
          <w:position w:val="6"/>
          <w:sz w:val="12"/>
        </w:rPr>
        <w:t> </w:t>
      </w:r>
      <w:r>
        <w:rPr/>
        <w:t>Pour les époux vivant en ménage commun, ainsi que pour les contribuables veufs, séparés, divorcés et célibataires qui vivent en ménage commun avec des enfants, dont ils assument pour l'essentiel l'en-tretien, le revenu est frappé du taux correspondant au 52 %* de son montant.</w:t>
      </w:r>
    </w:p>
    <w:p>
      <w:pPr>
        <w:pStyle w:val="BodyText"/>
        <w:spacing w:before="39"/>
        <w:ind w:left="1134"/>
        <w:jc w:val="both"/>
      </w:pPr>
      <w:r>
        <w:rPr/>
        <w:t>*Dès</w:t>
      </w:r>
      <w:r>
        <w:rPr>
          <w:spacing w:val="-2"/>
        </w:rPr>
        <w:t> </w:t>
      </w:r>
      <w:r>
        <w:rPr/>
        <w:t>la</w:t>
      </w:r>
      <w:r>
        <w:rPr>
          <w:spacing w:val="-4"/>
        </w:rPr>
        <w:t> </w:t>
      </w:r>
      <w:r>
        <w:rPr/>
        <w:t>période</w:t>
      </w:r>
      <w:r>
        <w:rPr>
          <w:spacing w:val="-2"/>
        </w:rPr>
        <w:t> </w:t>
      </w:r>
      <w:r>
        <w:rPr/>
        <w:t>fiscale</w:t>
      </w:r>
      <w:r>
        <w:rPr>
          <w:spacing w:val="-1"/>
        </w:rPr>
        <w:t> </w:t>
      </w:r>
      <w:r>
        <w:rPr>
          <w:spacing w:val="-4"/>
        </w:rPr>
        <w:t>2023.</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jc w:val="both"/>
      </w:pPr>
      <w:r>
        <w:rPr>
          <w:color w:val="950000"/>
        </w:rPr>
        <w:t>Rabais d’impôt pour l’impôt cantonal</w:t>
      </w:r>
      <w:r>
        <w:rPr>
          <w:color w:val="950000"/>
          <w:spacing w:val="80"/>
        </w:rPr>
        <w:t> </w:t>
      </w:r>
      <w:r>
        <w:rPr>
          <w:color w:val="950000"/>
          <w:spacing w:val="1"/>
        </w:rPr>
        <w:drawing>
          <wp:inline distT="0" distB="0" distL="0" distR="0">
            <wp:extent cx="201273" cy="114902"/>
            <wp:effectExtent l="0" t="0" r="0" b="0"/>
            <wp:docPr id="51" name="Image 51" descr="">
              <a:hlinkClick r:id="rId59"/>
            </wp:docPr>
            <wp:cNvGraphicFramePr>
              <a:graphicFrameLocks/>
            </wp:cNvGraphicFramePr>
            <a:graphic>
              <a:graphicData uri="http://schemas.openxmlformats.org/drawingml/2006/picture">
                <pic:pic>
                  <pic:nvPicPr>
                    <pic:cNvPr id="51" name="Image 51" descr="">
                      <a:hlinkClick r:id="rId59"/>
                    </pic:cNvPr>
                    <pic:cNvPicPr/>
                  </pic:nvPicPr>
                  <pic:blipFill>
                    <a:blip r:embed="rId11" cstate="print"/>
                    <a:stretch>
                      <a:fillRect/>
                    </a:stretch>
                  </pic:blipFill>
                  <pic:spPr>
                    <a:xfrm>
                      <a:off x="0" y="0"/>
                      <a:ext cx="201273" cy="114902"/>
                    </a:xfrm>
                    <a:prstGeom prst="rect">
                      <a:avLst/>
                    </a:prstGeom>
                  </pic:spPr>
                </pic:pic>
              </a:graphicData>
            </a:graphic>
          </wp:inline>
        </w:drawing>
      </w:r>
      <w:r>
        <w:rPr>
          <w:color w:val="950000"/>
          <w:spacing w:val="1"/>
        </w:rPr>
      </w:r>
    </w:p>
    <w:p>
      <w:pPr>
        <w:pStyle w:val="Heading8"/>
        <w:spacing w:before="94"/>
      </w:pPr>
      <w:r>
        <w:rPr/>
        <w:t>Art.</w:t>
      </w:r>
      <w:r>
        <w:rPr>
          <w:spacing w:val="-4"/>
        </w:rPr>
        <w:t> </w:t>
      </w:r>
      <w:r>
        <w:rPr/>
        <w:t>40c,</w:t>
      </w:r>
      <w:r>
        <w:rPr>
          <w:spacing w:val="-1"/>
        </w:rPr>
        <w:t> </w:t>
      </w:r>
      <w:r>
        <w:rPr/>
        <w:t>al.</w:t>
      </w:r>
      <w:r>
        <w:rPr>
          <w:spacing w:val="-1"/>
        </w:rPr>
        <w:t> </w:t>
      </w:r>
      <w:r>
        <w:rPr/>
        <w:t>1</w:t>
      </w:r>
      <w:r>
        <w:rPr>
          <w:spacing w:val="-2"/>
        </w:rPr>
        <w:t> LCdir</w:t>
      </w:r>
    </w:p>
    <w:p>
      <w:pPr>
        <w:pStyle w:val="BodyText"/>
        <w:spacing w:before="55"/>
        <w:ind w:left="1134" w:right="701"/>
        <w:jc w:val="both"/>
      </w:pPr>
      <w:r>
        <w:rPr>
          <w:position w:val="6"/>
          <w:sz w:val="12"/>
        </w:rPr>
        <w:t>1</w:t>
      </w:r>
      <w:r>
        <w:rPr>
          <w:spacing w:val="5"/>
          <w:position w:val="6"/>
          <w:sz w:val="12"/>
        </w:rPr>
        <w:t> </w:t>
      </w:r>
      <w:r>
        <w:rPr/>
        <w:t>Pour</w:t>
      </w:r>
      <w:r>
        <w:rPr>
          <w:spacing w:val="-12"/>
        </w:rPr>
        <w:t> </w:t>
      </w:r>
      <w:r>
        <w:rPr/>
        <w:t>chaque</w:t>
      </w:r>
      <w:r>
        <w:rPr>
          <w:spacing w:val="-11"/>
        </w:rPr>
        <w:t> </w:t>
      </w:r>
      <w:r>
        <w:rPr/>
        <w:t>enfant</w:t>
      </w:r>
      <w:r>
        <w:rPr>
          <w:spacing w:val="-11"/>
        </w:rPr>
        <w:t> </w:t>
      </w:r>
      <w:r>
        <w:rPr/>
        <w:t>mineur</w:t>
      </w:r>
      <w:r>
        <w:rPr>
          <w:spacing w:val="-12"/>
        </w:rPr>
        <w:t> </w:t>
      </w:r>
      <w:r>
        <w:rPr/>
        <w:t>ou</w:t>
      </w:r>
      <w:r>
        <w:rPr>
          <w:spacing w:val="-11"/>
        </w:rPr>
        <w:t> </w:t>
      </w:r>
      <w:r>
        <w:rPr/>
        <w:t>majeur</w:t>
      </w:r>
      <w:r>
        <w:rPr>
          <w:spacing w:val="-12"/>
        </w:rPr>
        <w:t> </w:t>
      </w:r>
      <w:r>
        <w:rPr/>
        <w:t>poursuivant</w:t>
      </w:r>
      <w:r>
        <w:rPr>
          <w:spacing w:val="-11"/>
        </w:rPr>
        <w:t> </w:t>
      </w:r>
      <w:r>
        <w:rPr/>
        <w:t>un</w:t>
      </w:r>
      <w:r>
        <w:rPr>
          <w:spacing w:val="-11"/>
        </w:rPr>
        <w:t> </w:t>
      </w:r>
      <w:r>
        <w:rPr/>
        <w:t>apprentissage</w:t>
      </w:r>
      <w:r>
        <w:rPr>
          <w:spacing w:val="-11"/>
        </w:rPr>
        <w:t> </w:t>
      </w:r>
      <w:r>
        <w:rPr/>
        <w:t>ou</w:t>
      </w:r>
      <w:r>
        <w:rPr>
          <w:spacing w:val="-11"/>
        </w:rPr>
        <w:t> </w:t>
      </w:r>
      <w:r>
        <w:rPr/>
        <w:t>des</w:t>
      </w:r>
      <w:r>
        <w:rPr>
          <w:spacing w:val="-10"/>
        </w:rPr>
        <w:t> </w:t>
      </w:r>
      <w:r>
        <w:rPr/>
        <w:t>études</w:t>
      </w:r>
      <w:r>
        <w:rPr>
          <w:spacing w:val="-10"/>
        </w:rPr>
        <w:t> </w:t>
      </w:r>
      <w:r>
        <w:rPr/>
        <w:t>dont</w:t>
      </w:r>
      <w:r>
        <w:rPr>
          <w:spacing w:val="-13"/>
        </w:rPr>
        <w:t> </w:t>
      </w:r>
      <w:r>
        <w:rPr/>
        <w:t>le</w:t>
      </w:r>
      <w:r>
        <w:rPr>
          <w:spacing w:val="-12"/>
        </w:rPr>
        <w:t> </w:t>
      </w:r>
      <w:r>
        <w:rPr/>
        <w:t>contribuable assume pour l'essentiel l'entretien, il est déduit de l'impôt cantonal sur le revenu le montant de 200 francs.</w:t>
      </w:r>
      <w:r>
        <w:rPr>
          <w:spacing w:val="-4"/>
        </w:rPr>
        <w:t> </w:t>
      </w:r>
      <w:r>
        <w:rPr/>
        <w:t>Ce</w:t>
      </w:r>
      <w:r>
        <w:rPr>
          <w:spacing w:val="-4"/>
        </w:rPr>
        <w:t> </w:t>
      </w:r>
      <w:r>
        <w:rPr/>
        <w:t>montant</w:t>
      </w:r>
      <w:r>
        <w:rPr>
          <w:spacing w:val="-4"/>
        </w:rPr>
        <w:t> </w:t>
      </w:r>
      <w:r>
        <w:rPr/>
        <w:t>est</w:t>
      </w:r>
      <w:r>
        <w:rPr>
          <w:spacing w:val="-4"/>
        </w:rPr>
        <w:t> </w:t>
      </w:r>
      <w:r>
        <w:rPr/>
        <w:t>déduit</w:t>
      </w:r>
      <w:r>
        <w:rPr>
          <w:spacing w:val="-6"/>
        </w:rPr>
        <w:t> </w:t>
      </w:r>
      <w:r>
        <w:rPr/>
        <w:t>de</w:t>
      </w:r>
      <w:r>
        <w:rPr>
          <w:spacing w:val="-4"/>
        </w:rPr>
        <w:t> </w:t>
      </w:r>
      <w:r>
        <w:rPr/>
        <w:t>l'impôt</w:t>
      </w:r>
      <w:r>
        <w:rPr>
          <w:spacing w:val="-4"/>
        </w:rPr>
        <w:t> </w:t>
      </w:r>
      <w:r>
        <w:rPr/>
        <w:t>direct</w:t>
      </w:r>
      <w:r>
        <w:rPr>
          <w:spacing w:val="-4"/>
        </w:rPr>
        <w:t> </w:t>
      </w:r>
      <w:r>
        <w:rPr/>
        <w:t>cantonal</w:t>
      </w:r>
      <w:r>
        <w:rPr>
          <w:spacing w:val="-4"/>
        </w:rPr>
        <w:t> </w:t>
      </w:r>
      <w:r>
        <w:rPr/>
        <w:t>dû</w:t>
      </w:r>
      <w:r>
        <w:rPr>
          <w:spacing w:val="-6"/>
        </w:rPr>
        <w:t> </w:t>
      </w:r>
      <w:r>
        <w:rPr/>
        <w:t>déterminé</w:t>
      </w:r>
      <w:r>
        <w:rPr>
          <w:spacing w:val="-6"/>
        </w:rPr>
        <w:t> </w:t>
      </w:r>
      <w:r>
        <w:rPr/>
        <w:t>conformément</w:t>
      </w:r>
      <w:r>
        <w:rPr>
          <w:spacing w:val="-4"/>
        </w:rPr>
        <w:t> </w:t>
      </w:r>
      <w:r>
        <w:rPr/>
        <w:t>aux</w:t>
      </w:r>
      <w:r>
        <w:rPr>
          <w:spacing w:val="-3"/>
        </w:rPr>
        <w:t> </w:t>
      </w:r>
      <w:r>
        <w:rPr/>
        <w:t>articles</w:t>
      </w:r>
      <w:r>
        <w:rPr>
          <w:spacing w:val="-3"/>
        </w:rPr>
        <w:t> </w:t>
      </w:r>
      <w:r>
        <w:rPr/>
        <w:t>3</w:t>
      </w:r>
      <w:r>
        <w:rPr>
          <w:spacing w:val="-6"/>
        </w:rPr>
        <w:t> </w:t>
      </w:r>
      <w:r>
        <w:rPr/>
        <w:t>et</w:t>
      </w:r>
      <w:r>
        <w:rPr>
          <w:spacing w:val="-4"/>
        </w:rPr>
        <w:t> </w:t>
      </w:r>
      <w:r>
        <w:rPr/>
        <w:t>40 (impôt de base multiplié par le coefficient d'impôt cantonal).</w:t>
      </w:r>
    </w:p>
    <w:p>
      <w:pPr>
        <w:pStyle w:val="BodyText"/>
        <w:spacing w:before="32"/>
      </w:pPr>
    </w:p>
    <w:p>
      <w:pPr>
        <w:pStyle w:val="Heading4"/>
      </w:pPr>
      <w:bookmarkStart w:name="Cas particuliers" w:id="22"/>
      <w:bookmarkEnd w:id="22"/>
      <w:r>
        <w:rPr/>
      </w:r>
      <w:r>
        <w:rPr>
          <w:color w:val="2D73B4"/>
        </w:rPr>
        <w:t>Cas</w:t>
      </w:r>
      <w:r>
        <w:rPr>
          <w:color w:val="2D73B4"/>
          <w:spacing w:val="-1"/>
        </w:rPr>
        <w:t> </w:t>
      </w:r>
      <w:r>
        <w:rPr>
          <w:color w:val="2D73B4"/>
          <w:spacing w:val="-2"/>
        </w:rPr>
        <w:t>particuliers</w:t>
      </w:r>
    </w:p>
    <w:p>
      <w:pPr>
        <w:pStyle w:val="BodyText"/>
        <w:spacing w:before="61"/>
        <w:ind w:left="851"/>
      </w:pPr>
      <w:r>
        <w:rPr/>
        <w:t>(Art.</w:t>
      </w:r>
      <w:r>
        <w:rPr>
          <w:spacing w:val="-1"/>
        </w:rPr>
        <w:t> </w:t>
      </w:r>
      <w:r>
        <w:rPr/>
        <w:t>41</w:t>
      </w:r>
      <w:r>
        <w:rPr>
          <w:spacing w:val="-2"/>
        </w:rPr>
        <w:t> </w:t>
      </w:r>
      <w:r>
        <w:rPr/>
        <w:t>à 42a</w:t>
      </w:r>
      <w:r>
        <w:rPr>
          <w:spacing w:val="1"/>
        </w:rPr>
        <w:t> </w:t>
      </w:r>
      <w:r>
        <w:rPr>
          <w:spacing w:val="-2"/>
        </w:rPr>
        <w:t>LCdir)</w:t>
      </w:r>
    </w:p>
    <w:p>
      <w:pPr>
        <w:pStyle w:val="BodyText"/>
        <w:spacing w:before="153"/>
      </w:pPr>
    </w:p>
    <w:p>
      <w:pPr>
        <w:pStyle w:val="Heading7"/>
        <w:jc w:val="both"/>
      </w:pPr>
      <w:r>
        <w:rPr>
          <w:color w:val="950000"/>
        </w:rPr>
        <w:t>Bénéfices de liquidation</w:t>
      </w:r>
      <w:r>
        <w:rPr>
          <w:color w:val="950000"/>
          <w:spacing w:val="80"/>
        </w:rPr>
        <w:t> </w:t>
      </w:r>
      <w:r>
        <w:rPr>
          <w:color w:val="950000"/>
          <w:spacing w:val="2"/>
        </w:rPr>
        <w:drawing>
          <wp:inline distT="0" distB="0" distL="0" distR="0">
            <wp:extent cx="201234" cy="114886"/>
            <wp:effectExtent l="0" t="0" r="0" b="0"/>
            <wp:docPr id="52" name="Image 52" descr="">
              <a:hlinkClick r:id="rId64"/>
            </wp:docPr>
            <wp:cNvGraphicFramePr>
              <a:graphicFrameLocks/>
            </wp:cNvGraphicFramePr>
            <a:graphic>
              <a:graphicData uri="http://schemas.openxmlformats.org/drawingml/2006/picture">
                <pic:pic>
                  <pic:nvPicPr>
                    <pic:cNvPr id="52" name="Image 52" descr="">
                      <a:hlinkClick r:id="rId64"/>
                    </pic:cNvPr>
                    <pic:cNvPicPr/>
                  </pic:nvPicPr>
                  <pic:blipFill>
                    <a:blip r:embed="rId11" cstate="print"/>
                    <a:stretch>
                      <a:fillRect/>
                    </a:stretch>
                  </pic:blipFill>
                  <pic:spPr>
                    <a:xfrm>
                      <a:off x="0" y="0"/>
                      <a:ext cx="201234" cy="114886"/>
                    </a:xfrm>
                    <a:prstGeom prst="rect">
                      <a:avLst/>
                    </a:prstGeom>
                  </pic:spPr>
                </pic:pic>
              </a:graphicData>
            </a:graphic>
          </wp:inline>
        </w:drawing>
      </w:r>
      <w:r>
        <w:rPr>
          <w:color w:val="950000"/>
          <w:spacing w:val="2"/>
        </w:rPr>
      </w:r>
    </w:p>
    <w:p>
      <w:pPr>
        <w:pStyle w:val="Heading8"/>
        <w:spacing w:before="94"/>
      </w:pPr>
      <w:r>
        <w:rPr/>
        <w:t>Art.</w:t>
      </w:r>
      <w:r>
        <w:rPr>
          <w:spacing w:val="-3"/>
        </w:rPr>
        <w:t> </w:t>
      </w:r>
      <w:r>
        <w:rPr/>
        <w:t>41b</w:t>
      </w:r>
      <w:r>
        <w:rPr>
          <w:spacing w:val="-1"/>
        </w:rPr>
        <w:t> </w:t>
      </w:r>
      <w:r>
        <w:rPr>
          <w:spacing w:val="-2"/>
        </w:rPr>
        <w:t>LCdir</w:t>
      </w:r>
    </w:p>
    <w:p>
      <w:pPr>
        <w:pStyle w:val="BodyText"/>
        <w:spacing w:before="55"/>
        <w:ind w:left="1134" w:right="703"/>
        <w:jc w:val="both"/>
      </w:pPr>
      <w:r>
        <w:rPr>
          <w:position w:val="6"/>
          <w:sz w:val="12"/>
        </w:rPr>
        <w:t>1</w:t>
      </w:r>
      <w:r>
        <w:rPr>
          <w:spacing w:val="16"/>
          <w:position w:val="6"/>
          <w:sz w:val="12"/>
        </w:rPr>
        <w:t> </w:t>
      </w:r>
      <w:r>
        <w:rPr/>
        <w:t>Le total des réserves latentes réalisées</w:t>
      </w:r>
      <w:r>
        <w:rPr>
          <w:spacing w:val="-2"/>
        </w:rPr>
        <w:t> </w:t>
      </w:r>
      <w:r>
        <w:rPr/>
        <w:t>au</w:t>
      </w:r>
      <w:r>
        <w:rPr>
          <w:spacing w:val="-2"/>
        </w:rPr>
        <w:t> </w:t>
      </w:r>
      <w:r>
        <w:rPr/>
        <w:t>cours des deux</w:t>
      </w:r>
      <w:r>
        <w:rPr>
          <w:spacing w:val="-2"/>
        </w:rPr>
        <w:t> </w:t>
      </w:r>
      <w:r>
        <w:rPr/>
        <w:t>derniers exercices</w:t>
      </w:r>
      <w:r>
        <w:rPr>
          <w:spacing w:val="-2"/>
        </w:rPr>
        <w:t> </w:t>
      </w:r>
      <w:r>
        <w:rPr/>
        <w:t>commerciaux est impo-sable séparément des autres revenus si le contribuable âgé de 55 ans révolus cesse définitivement d’exercer</w:t>
      </w:r>
      <w:r>
        <w:rPr>
          <w:spacing w:val="-8"/>
        </w:rPr>
        <w:t> </w:t>
      </w:r>
      <w:r>
        <w:rPr/>
        <w:t>son</w:t>
      </w:r>
      <w:r>
        <w:rPr>
          <w:spacing w:val="-8"/>
        </w:rPr>
        <w:t> </w:t>
      </w:r>
      <w:r>
        <w:rPr/>
        <w:t>activité</w:t>
      </w:r>
      <w:r>
        <w:rPr>
          <w:spacing w:val="-8"/>
        </w:rPr>
        <w:t> </w:t>
      </w:r>
      <w:r>
        <w:rPr/>
        <w:t>lucrative</w:t>
      </w:r>
      <w:r>
        <w:rPr>
          <w:spacing w:val="-10"/>
        </w:rPr>
        <w:t> </w:t>
      </w:r>
      <w:r>
        <w:rPr/>
        <w:t>indépendante</w:t>
      </w:r>
      <w:r>
        <w:rPr>
          <w:spacing w:val="-8"/>
        </w:rPr>
        <w:t> </w:t>
      </w:r>
      <w:r>
        <w:rPr/>
        <w:t>ou</w:t>
      </w:r>
      <w:r>
        <w:rPr>
          <w:spacing w:val="-8"/>
        </w:rPr>
        <w:t> </w:t>
      </w:r>
      <w:r>
        <w:rPr/>
        <w:t>s’il</w:t>
      </w:r>
      <w:r>
        <w:rPr>
          <w:spacing w:val="-7"/>
        </w:rPr>
        <w:t> </w:t>
      </w:r>
      <w:r>
        <w:rPr/>
        <w:t>est</w:t>
      </w:r>
      <w:r>
        <w:rPr>
          <w:spacing w:val="-8"/>
        </w:rPr>
        <w:t> </w:t>
      </w:r>
      <w:r>
        <w:rPr/>
        <w:t>incapable</w:t>
      </w:r>
      <w:r>
        <w:rPr>
          <w:spacing w:val="-8"/>
        </w:rPr>
        <w:t> </w:t>
      </w:r>
      <w:r>
        <w:rPr/>
        <w:t>de</w:t>
      </w:r>
      <w:r>
        <w:rPr>
          <w:spacing w:val="-8"/>
        </w:rPr>
        <w:t> </w:t>
      </w:r>
      <w:r>
        <w:rPr/>
        <w:t>poursuivre</w:t>
      </w:r>
      <w:r>
        <w:rPr>
          <w:spacing w:val="-8"/>
        </w:rPr>
        <w:t> </w:t>
      </w:r>
      <w:r>
        <w:rPr/>
        <w:t>cette</w:t>
      </w:r>
      <w:r>
        <w:rPr>
          <w:spacing w:val="-8"/>
        </w:rPr>
        <w:t> </w:t>
      </w:r>
      <w:r>
        <w:rPr/>
        <w:t>activité</w:t>
      </w:r>
      <w:r>
        <w:rPr>
          <w:spacing w:val="-10"/>
        </w:rPr>
        <w:t> </w:t>
      </w:r>
      <w:r>
        <w:rPr/>
        <w:t>pour</w:t>
      </w:r>
      <w:r>
        <w:rPr>
          <w:spacing w:val="-8"/>
        </w:rPr>
        <w:t> </w:t>
      </w:r>
      <w:r>
        <w:rPr/>
        <w:t>cause d’invalidité. Les rachats</w:t>
      </w:r>
      <w:r>
        <w:rPr>
          <w:spacing w:val="-1"/>
        </w:rPr>
        <w:t> </w:t>
      </w:r>
      <w:r>
        <w:rPr/>
        <w:t>au</w:t>
      </w:r>
      <w:r>
        <w:rPr>
          <w:spacing w:val="-1"/>
        </w:rPr>
        <w:t> </w:t>
      </w:r>
      <w:r>
        <w:rPr/>
        <w:t>sens de</w:t>
      </w:r>
      <w:r>
        <w:rPr>
          <w:spacing w:val="-1"/>
        </w:rPr>
        <w:t> </w:t>
      </w:r>
      <w:r>
        <w:rPr/>
        <w:t>l’article</w:t>
      </w:r>
      <w:r>
        <w:rPr>
          <w:spacing w:val="-1"/>
        </w:rPr>
        <w:t> </w:t>
      </w:r>
      <w:r>
        <w:rPr/>
        <w:t>36, alinéa 1, lettre </w:t>
      </w:r>
      <w:r>
        <w:rPr>
          <w:rFonts w:ascii="Arial" w:hAnsi="Arial"/>
          <w:i/>
        </w:rPr>
        <w:t>e</w:t>
      </w:r>
      <w:r>
        <w:rPr/>
        <w:t>, sont</w:t>
      </w:r>
      <w:r>
        <w:rPr>
          <w:spacing w:val="-2"/>
        </w:rPr>
        <w:t> </w:t>
      </w:r>
      <w:r>
        <w:rPr/>
        <w:t>déductibles. Si</w:t>
      </w:r>
      <w:r>
        <w:rPr>
          <w:spacing w:val="-1"/>
        </w:rPr>
        <w:t> </w:t>
      </w:r>
      <w:r>
        <w:rPr/>
        <w:t>un tel</w:t>
      </w:r>
      <w:r>
        <w:rPr>
          <w:spacing w:val="-1"/>
        </w:rPr>
        <w:t> </w:t>
      </w:r>
      <w:r>
        <w:rPr/>
        <w:t>rachat n’est pas</w:t>
      </w:r>
      <w:r>
        <w:rPr>
          <w:spacing w:val="-1"/>
        </w:rPr>
        <w:t> </w:t>
      </w:r>
      <w:r>
        <w:rPr/>
        <w:t>effectué,</w:t>
      </w:r>
      <w:r>
        <w:rPr>
          <w:spacing w:val="-4"/>
        </w:rPr>
        <w:t> </w:t>
      </w:r>
      <w:r>
        <w:rPr/>
        <w:t>l’impôt</w:t>
      </w:r>
      <w:r>
        <w:rPr>
          <w:spacing w:val="-2"/>
        </w:rPr>
        <w:t> </w:t>
      </w:r>
      <w:r>
        <w:rPr/>
        <w:t>est</w:t>
      </w:r>
      <w:r>
        <w:rPr>
          <w:spacing w:val="-2"/>
        </w:rPr>
        <w:t> </w:t>
      </w:r>
      <w:r>
        <w:rPr/>
        <w:t>perçu,</w:t>
      </w:r>
      <w:r>
        <w:rPr>
          <w:spacing w:val="-4"/>
        </w:rPr>
        <w:t> </w:t>
      </w:r>
      <w:r>
        <w:rPr/>
        <w:t>de</w:t>
      </w:r>
      <w:r>
        <w:rPr>
          <w:spacing w:val="-1"/>
        </w:rPr>
        <w:t> </w:t>
      </w:r>
      <w:r>
        <w:rPr/>
        <w:t>la</w:t>
      </w:r>
      <w:r>
        <w:rPr>
          <w:spacing w:val="-4"/>
        </w:rPr>
        <w:t> </w:t>
      </w:r>
      <w:r>
        <w:rPr/>
        <w:t>même</w:t>
      </w:r>
      <w:r>
        <w:rPr>
          <w:spacing w:val="-1"/>
        </w:rPr>
        <w:t> </w:t>
      </w:r>
      <w:r>
        <w:rPr/>
        <w:t>manière</w:t>
      </w:r>
      <w:r>
        <w:rPr>
          <w:spacing w:val="-1"/>
        </w:rPr>
        <w:t> </w:t>
      </w:r>
      <w:r>
        <w:rPr/>
        <w:t>que</w:t>
      </w:r>
      <w:r>
        <w:rPr>
          <w:spacing w:val="-1"/>
        </w:rPr>
        <w:t> </w:t>
      </w:r>
      <w:r>
        <w:rPr/>
        <w:t>pour</w:t>
      </w:r>
      <w:r>
        <w:rPr>
          <w:spacing w:val="-4"/>
        </w:rPr>
        <w:t> </w:t>
      </w:r>
      <w:r>
        <w:rPr/>
        <w:t>les</w:t>
      </w:r>
      <w:r>
        <w:rPr>
          <w:spacing w:val="-1"/>
        </w:rPr>
        <w:t> </w:t>
      </w:r>
      <w:r>
        <w:rPr/>
        <w:t>prestations</w:t>
      </w:r>
      <w:r>
        <w:rPr>
          <w:spacing w:val="-3"/>
        </w:rPr>
        <w:t> </w:t>
      </w:r>
      <w:r>
        <w:rPr/>
        <w:t>en</w:t>
      </w:r>
      <w:r>
        <w:rPr>
          <w:spacing w:val="-1"/>
        </w:rPr>
        <w:t> </w:t>
      </w:r>
      <w:r>
        <w:rPr/>
        <w:t>capital</w:t>
      </w:r>
      <w:r>
        <w:rPr>
          <w:spacing w:val="-1"/>
        </w:rPr>
        <w:t> </w:t>
      </w:r>
      <w:r>
        <w:rPr/>
        <w:t>provenant</w:t>
      </w:r>
      <w:r>
        <w:rPr>
          <w:spacing w:val="-4"/>
        </w:rPr>
        <w:t> </w:t>
      </w:r>
      <w:r>
        <w:rPr/>
        <w:t>de</w:t>
      </w:r>
      <w:r>
        <w:rPr>
          <w:spacing w:val="-1"/>
        </w:rPr>
        <w:t> </w:t>
      </w:r>
      <w:r>
        <w:rPr/>
        <w:t>la prévoyance</w:t>
      </w:r>
      <w:r>
        <w:rPr>
          <w:spacing w:val="-6"/>
        </w:rPr>
        <w:t> </w:t>
      </w:r>
      <w:r>
        <w:rPr/>
        <w:t>selon</w:t>
      </w:r>
      <w:r>
        <w:rPr>
          <w:spacing w:val="-4"/>
        </w:rPr>
        <w:t> </w:t>
      </w:r>
      <w:r>
        <w:rPr/>
        <w:t>l'article</w:t>
      </w:r>
      <w:r>
        <w:rPr>
          <w:spacing w:val="-4"/>
        </w:rPr>
        <w:t> </w:t>
      </w:r>
      <w:r>
        <w:rPr/>
        <w:t>42,</w:t>
      </w:r>
      <w:r>
        <w:rPr>
          <w:spacing w:val="-4"/>
        </w:rPr>
        <w:t> </w:t>
      </w:r>
      <w:r>
        <w:rPr/>
        <w:t>sur</w:t>
      </w:r>
      <w:r>
        <w:rPr>
          <w:spacing w:val="-4"/>
        </w:rPr>
        <w:t> </w:t>
      </w:r>
      <w:r>
        <w:rPr/>
        <w:t>la</w:t>
      </w:r>
      <w:r>
        <w:rPr>
          <w:spacing w:val="-4"/>
        </w:rPr>
        <w:t> </w:t>
      </w:r>
      <w:r>
        <w:rPr/>
        <w:t>part</w:t>
      </w:r>
      <w:r>
        <w:rPr>
          <w:spacing w:val="-4"/>
        </w:rPr>
        <w:t> </w:t>
      </w:r>
      <w:r>
        <w:rPr/>
        <w:t>des</w:t>
      </w:r>
      <w:r>
        <w:rPr>
          <w:spacing w:val="-3"/>
        </w:rPr>
        <w:t> </w:t>
      </w:r>
      <w:r>
        <w:rPr/>
        <w:t>réserves</w:t>
      </w:r>
      <w:r>
        <w:rPr>
          <w:spacing w:val="-6"/>
        </w:rPr>
        <w:t> </w:t>
      </w:r>
      <w:r>
        <w:rPr/>
        <w:t>latentes</w:t>
      </w:r>
      <w:r>
        <w:rPr>
          <w:spacing w:val="-3"/>
        </w:rPr>
        <w:t> </w:t>
      </w:r>
      <w:r>
        <w:rPr/>
        <w:t>réalisées</w:t>
      </w:r>
      <w:r>
        <w:rPr>
          <w:spacing w:val="-6"/>
        </w:rPr>
        <w:t> </w:t>
      </w:r>
      <w:r>
        <w:rPr/>
        <w:t>correspondant</w:t>
      </w:r>
      <w:r>
        <w:rPr>
          <w:spacing w:val="-4"/>
        </w:rPr>
        <w:t> </w:t>
      </w:r>
      <w:r>
        <w:rPr/>
        <w:t>au</w:t>
      </w:r>
      <w:r>
        <w:rPr>
          <w:spacing w:val="-6"/>
        </w:rPr>
        <w:t> </w:t>
      </w:r>
      <w:r>
        <w:rPr/>
        <w:t>montant</w:t>
      </w:r>
      <w:r>
        <w:rPr>
          <w:spacing w:val="-4"/>
        </w:rPr>
        <w:t> </w:t>
      </w:r>
      <w:r>
        <w:rPr/>
        <w:t>dont le contribuable prouve l’admissibilité comme rachat au sens l’article 36, alinéa 1, lettre e. Le solde des réserves</w:t>
      </w:r>
      <w:r>
        <w:rPr>
          <w:spacing w:val="-1"/>
        </w:rPr>
        <w:t> </w:t>
      </w:r>
      <w:r>
        <w:rPr/>
        <w:t>latentes</w:t>
      </w:r>
      <w:r>
        <w:rPr>
          <w:spacing w:val="-1"/>
        </w:rPr>
        <w:t> </w:t>
      </w:r>
      <w:r>
        <w:rPr/>
        <w:t>réalisées</w:t>
      </w:r>
      <w:r>
        <w:rPr>
          <w:spacing w:val="-1"/>
        </w:rPr>
        <w:t> </w:t>
      </w:r>
      <w:r>
        <w:rPr/>
        <w:t>est</w:t>
      </w:r>
      <w:r>
        <w:rPr>
          <w:spacing w:val="-4"/>
        </w:rPr>
        <w:t> </w:t>
      </w:r>
      <w:r>
        <w:rPr/>
        <w:t>imposé</w:t>
      </w:r>
      <w:r>
        <w:rPr>
          <w:spacing w:val="-1"/>
        </w:rPr>
        <w:t> </w:t>
      </w:r>
      <w:r>
        <w:rPr/>
        <w:t>selon</w:t>
      </w:r>
      <w:r>
        <w:rPr>
          <w:spacing w:val="-1"/>
        </w:rPr>
        <w:t> </w:t>
      </w:r>
      <w:r>
        <w:rPr/>
        <w:t>le</w:t>
      </w:r>
      <w:r>
        <w:rPr>
          <w:spacing w:val="-1"/>
        </w:rPr>
        <w:t> </w:t>
      </w:r>
      <w:r>
        <w:rPr/>
        <w:t>barème</w:t>
      </w:r>
      <w:r>
        <w:rPr>
          <w:spacing w:val="-1"/>
        </w:rPr>
        <w:t> </w:t>
      </w:r>
      <w:r>
        <w:rPr/>
        <w:t>de</w:t>
      </w:r>
      <w:r>
        <w:rPr>
          <w:spacing w:val="-1"/>
        </w:rPr>
        <w:t> </w:t>
      </w:r>
      <w:r>
        <w:rPr/>
        <w:t>l'article</w:t>
      </w:r>
      <w:r>
        <w:rPr>
          <w:spacing w:val="-1"/>
        </w:rPr>
        <w:t> </w:t>
      </w:r>
      <w:r>
        <w:rPr/>
        <w:t>40,</w:t>
      </w:r>
      <w:r>
        <w:rPr>
          <w:spacing w:val="-2"/>
        </w:rPr>
        <w:t> </w:t>
      </w:r>
      <w:r>
        <w:rPr/>
        <w:t>alinéa</w:t>
      </w:r>
      <w:r>
        <w:rPr>
          <w:spacing w:val="-1"/>
        </w:rPr>
        <w:t> </w:t>
      </w:r>
      <w:r>
        <w:rPr/>
        <w:t>1;</w:t>
      </w:r>
      <w:r>
        <w:rPr>
          <w:spacing w:val="-2"/>
        </w:rPr>
        <w:t> </w:t>
      </w:r>
      <w:r>
        <w:rPr/>
        <w:t>l'article</w:t>
      </w:r>
      <w:r>
        <w:rPr>
          <w:spacing w:val="-1"/>
        </w:rPr>
        <w:t> </w:t>
      </w:r>
      <w:r>
        <w:rPr/>
        <w:t>40,</w:t>
      </w:r>
      <w:r>
        <w:rPr>
          <w:spacing w:val="-4"/>
        </w:rPr>
        <w:t> </w:t>
      </w:r>
      <w:r>
        <w:rPr/>
        <w:t>alinéa</w:t>
      </w:r>
      <w:r>
        <w:rPr>
          <w:spacing w:val="-1"/>
        </w:rPr>
        <w:t> </w:t>
      </w:r>
      <w:r>
        <w:rPr/>
        <w:t>3,</w:t>
      </w:r>
      <w:r>
        <w:rPr>
          <w:spacing w:val="-2"/>
        </w:rPr>
        <w:t> </w:t>
      </w:r>
      <w:r>
        <w:rPr/>
        <w:t>est applicable par analogie; les déductions générales et les déductions sociales ne sont pas accordées.</w:t>
      </w:r>
    </w:p>
    <w:p>
      <w:pPr>
        <w:pStyle w:val="BodyText"/>
        <w:spacing w:before="37"/>
        <w:ind w:left="1134" w:right="703"/>
        <w:jc w:val="both"/>
        <w:rPr>
          <w:rFonts w:ascii="Arial" w:hAnsi="Arial"/>
          <w:i/>
        </w:rPr>
      </w:pPr>
      <w:r>
        <w:rPr>
          <w:position w:val="6"/>
          <w:sz w:val="12"/>
        </w:rPr>
        <w:t>2</w:t>
      </w:r>
      <w:r>
        <w:rPr>
          <w:spacing w:val="7"/>
          <w:position w:val="6"/>
          <w:sz w:val="12"/>
        </w:rPr>
        <w:t> </w:t>
      </w:r>
      <w:r>
        <w:rPr/>
        <w:t>L'alinéa</w:t>
      </w:r>
      <w:r>
        <w:rPr>
          <w:spacing w:val="-11"/>
        </w:rPr>
        <w:t> </w:t>
      </w:r>
      <w:r>
        <w:rPr/>
        <w:t>1</w:t>
      </w:r>
      <w:r>
        <w:rPr>
          <w:spacing w:val="-11"/>
        </w:rPr>
        <w:t> </w:t>
      </w:r>
      <w:r>
        <w:rPr/>
        <w:t>s’applique</w:t>
      </w:r>
      <w:r>
        <w:rPr>
          <w:spacing w:val="-9"/>
        </w:rPr>
        <w:t> </w:t>
      </w:r>
      <w:r>
        <w:rPr/>
        <w:t>également</w:t>
      </w:r>
      <w:r>
        <w:rPr>
          <w:spacing w:val="-9"/>
        </w:rPr>
        <w:t> </w:t>
      </w:r>
      <w:r>
        <w:rPr/>
        <w:t>au</w:t>
      </w:r>
      <w:r>
        <w:rPr>
          <w:spacing w:val="-11"/>
        </w:rPr>
        <w:t> </w:t>
      </w:r>
      <w:r>
        <w:rPr/>
        <w:t>conjoint</w:t>
      </w:r>
      <w:r>
        <w:rPr>
          <w:spacing w:val="-11"/>
        </w:rPr>
        <w:t> </w:t>
      </w:r>
      <w:r>
        <w:rPr/>
        <w:t>survivant,</w:t>
      </w:r>
      <w:r>
        <w:rPr>
          <w:spacing w:val="-9"/>
        </w:rPr>
        <w:t> </w:t>
      </w:r>
      <w:r>
        <w:rPr/>
        <w:t>aux</w:t>
      </w:r>
      <w:r>
        <w:rPr>
          <w:spacing w:val="-11"/>
        </w:rPr>
        <w:t> </w:t>
      </w:r>
      <w:r>
        <w:rPr/>
        <w:t>autres</w:t>
      </w:r>
      <w:r>
        <w:rPr>
          <w:spacing w:val="-10"/>
        </w:rPr>
        <w:t> </w:t>
      </w:r>
      <w:r>
        <w:rPr/>
        <w:t>héritiers</w:t>
      </w:r>
      <w:r>
        <w:rPr>
          <w:spacing w:val="-8"/>
        </w:rPr>
        <w:t> </w:t>
      </w:r>
      <w:r>
        <w:rPr/>
        <w:t>et</w:t>
      </w:r>
      <w:r>
        <w:rPr>
          <w:spacing w:val="-11"/>
        </w:rPr>
        <w:t> </w:t>
      </w:r>
      <w:r>
        <w:rPr/>
        <w:t>aux</w:t>
      </w:r>
      <w:r>
        <w:rPr>
          <w:spacing w:val="-10"/>
        </w:rPr>
        <w:t> </w:t>
      </w:r>
      <w:r>
        <w:rPr/>
        <w:t>légataires,</w:t>
      </w:r>
      <w:r>
        <w:rPr>
          <w:spacing w:val="-13"/>
        </w:rPr>
        <w:t> </w:t>
      </w:r>
      <w:r>
        <w:rPr/>
        <w:t>pour</w:t>
      </w:r>
      <w:r>
        <w:rPr>
          <w:spacing w:val="-11"/>
        </w:rPr>
        <w:t> </w:t>
      </w:r>
      <w:r>
        <w:rPr/>
        <w:t>autant qu’ils</w:t>
      </w:r>
      <w:r>
        <w:rPr>
          <w:spacing w:val="-1"/>
        </w:rPr>
        <w:t> </w:t>
      </w:r>
      <w:r>
        <w:rPr/>
        <w:t>ne</w:t>
      </w:r>
      <w:r>
        <w:rPr>
          <w:spacing w:val="-1"/>
        </w:rPr>
        <w:t> </w:t>
      </w:r>
      <w:r>
        <w:rPr/>
        <w:t>poursuivent</w:t>
      </w:r>
      <w:r>
        <w:rPr>
          <w:spacing w:val="-2"/>
        </w:rPr>
        <w:t> </w:t>
      </w:r>
      <w:r>
        <w:rPr/>
        <w:t>pas</w:t>
      </w:r>
      <w:r>
        <w:rPr>
          <w:spacing w:val="-1"/>
        </w:rPr>
        <w:t> </w:t>
      </w:r>
      <w:r>
        <w:rPr/>
        <w:t>l’exploitation</w:t>
      </w:r>
      <w:r>
        <w:rPr>
          <w:spacing w:val="-1"/>
        </w:rPr>
        <w:t> </w:t>
      </w:r>
      <w:r>
        <w:rPr/>
        <w:t>de</w:t>
      </w:r>
      <w:r>
        <w:rPr>
          <w:spacing w:val="-1"/>
        </w:rPr>
        <w:t> </w:t>
      </w:r>
      <w:r>
        <w:rPr/>
        <w:t>l’entreprise</w:t>
      </w:r>
      <w:r>
        <w:rPr>
          <w:spacing w:val="-1"/>
        </w:rPr>
        <w:t> </w:t>
      </w:r>
      <w:r>
        <w:rPr/>
        <w:t>qu’ils</w:t>
      </w:r>
      <w:r>
        <w:rPr>
          <w:spacing w:val="-1"/>
        </w:rPr>
        <w:t> </w:t>
      </w:r>
      <w:r>
        <w:rPr/>
        <w:t>ont</w:t>
      </w:r>
      <w:r>
        <w:rPr>
          <w:spacing w:val="-2"/>
        </w:rPr>
        <w:t> </w:t>
      </w:r>
      <w:r>
        <w:rPr/>
        <w:t>reprise;</w:t>
      </w:r>
      <w:r>
        <w:rPr>
          <w:spacing w:val="-4"/>
        </w:rPr>
        <w:t> </w:t>
      </w:r>
      <w:r>
        <w:rPr/>
        <w:t>le</w:t>
      </w:r>
      <w:r>
        <w:rPr>
          <w:spacing w:val="-1"/>
        </w:rPr>
        <w:t> </w:t>
      </w:r>
      <w:r>
        <w:rPr/>
        <w:t>décompte</w:t>
      </w:r>
      <w:r>
        <w:rPr>
          <w:spacing w:val="-1"/>
        </w:rPr>
        <w:t> </w:t>
      </w:r>
      <w:r>
        <w:rPr/>
        <w:t>fiscal</w:t>
      </w:r>
      <w:r>
        <w:rPr>
          <w:spacing w:val="-1"/>
        </w:rPr>
        <w:t> </w:t>
      </w:r>
      <w:r>
        <w:rPr/>
        <w:t>a</w:t>
      </w:r>
      <w:r>
        <w:rPr>
          <w:spacing w:val="-4"/>
        </w:rPr>
        <w:t> </w:t>
      </w:r>
      <w:r>
        <w:rPr/>
        <w:t>lieu</w:t>
      </w:r>
      <w:r>
        <w:rPr>
          <w:spacing w:val="-4"/>
        </w:rPr>
        <w:t> </w:t>
      </w:r>
      <w:r>
        <w:rPr/>
        <w:t>au</w:t>
      </w:r>
      <w:r>
        <w:rPr>
          <w:spacing w:val="-1"/>
        </w:rPr>
        <w:t> </w:t>
      </w:r>
      <w:r>
        <w:rPr/>
        <w:t>plus tard cinq années civiles après la fin de l’année civile dans laquelle le contribuable est décédé</w:t>
      </w:r>
      <w:r>
        <w:rPr>
          <w:rFonts w:ascii="Arial" w:hAnsi="Arial"/>
          <w:i/>
        </w:rPr>
        <w:t>.</w:t>
      </w:r>
    </w:p>
    <w:p>
      <w:pPr>
        <w:pStyle w:val="BodyText"/>
        <w:spacing w:before="153"/>
        <w:rPr>
          <w:rFonts w:ascii="Arial"/>
          <w:i/>
        </w:rPr>
      </w:pPr>
    </w:p>
    <w:p>
      <w:pPr>
        <w:pStyle w:val="Heading7"/>
        <w:jc w:val="both"/>
      </w:pPr>
      <w:r>
        <w:rPr>
          <w:color w:val="950000"/>
        </w:rPr>
        <w:t>Prestations en capital provenant de la prévoyance</w:t>
      </w:r>
      <w:r>
        <w:rPr>
          <w:color w:val="950000"/>
          <w:spacing w:val="80"/>
          <w:w w:val="150"/>
        </w:rPr>
        <w:t> </w:t>
      </w:r>
      <w:r>
        <w:rPr>
          <w:color w:val="950000"/>
          <w:spacing w:val="1"/>
        </w:rPr>
        <w:drawing>
          <wp:inline distT="0" distB="0" distL="0" distR="0">
            <wp:extent cx="201268" cy="114874"/>
            <wp:effectExtent l="0" t="0" r="0" b="0"/>
            <wp:docPr id="53" name="Image 53" descr="">
              <a:hlinkClick r:id="rId65"/>
            </wp:docPr>
            <wp:cNvGraphicFramePr>
              <a:graphicFrameLocks/>
            </wp:cNvGraphicFramePr>
            <a:graphic>
              <a:graphicData uri="http://schemas.openxmlformats.org/drawingml/2006/picture">
                <pic:pic>
                  <pic:nvPicPr>
                    <pic:cNvPr id="53" name="Image 53" descr="">
                      <a:hlinkClick r:id="rId65"/>
                    </pic:cNvPr>
                    <pic:cNvPicPr/>
                  </pic:nvPicPr>
                  <pic:blipFill>
                    <a:blip r:embed="rId11" cstate="print"/>
                    <a:stretch>
                      <a:fillRect/>
                    </a:stretch>
                  </pic:blipFill>
                  <pic:spPr>
                    <a:xfrm>
                      <a:off x="0" y="0"/>
                      <a:ext cx="201268" cy="114874"/>
                    </a:xfrm>
                    <a:prstGeom prst="rect">
                      <a:avLst/>
                    </a:prstGeom>
                  </pic:spPr>
                </pic:pic>
              </a:graphicData>
            </a:graphic>
          </wp:inline>
        </w:drawing>
      </w:r>
      <w:r>
        <w:rPr>
          <w:color w:val="950000"/>
          <w:spacing w:val="1"/>
        </w:rPr>
      </w:r>
    </w:p>
    <w:p>
      <w:pPr>
        <w:pStyle w:val="Heading8"/>
      </w:pPr>
      <w:r>
        <w:rPr/>
        <w:t>Art.</w:t>
      </w:r>
      <w:r>
        <w:rPr>
          <w:spacing w:val="-1"/>
        </w:rPr>
        <w:t> </w:t>
      </w:r>
      <w:r>
        <w:rPr/>
        <w:t>42 </w:t>
      </w:r>
      <w:r>
        <w:rPr>
          <w:spacing w:val="-2"/>
        </w:rPr>
        <w:t>LCdir</w:t>
      </w:r>
    </w:p>
    <w:p>
      <w:pPr>
        <w:pStyle w:val="BodyText"/>
        <w:spacing w:before="60"/>
        <w:ind w:left="1134" w:right="703"/>
        <w:jc w:val="both"/>
      </w:pPr>
      <w:r>
        <w:rPr/>
        <w:t>Les prestations en capital provenant de la prévoyance selon l'article 25, ainsi que les sommes versées ensuite de décès, de dommages corporels permanents ou d'atteinte durable à la santé sont imposées séparément</w:t>
      </w:r>
      <w:r>
        <w:rPr>
          <w:spacing w:val="-2"/>
        </w:rPr>
        <w:t> </w:t>
      </w:r>
      <w:r>
        <w:rPr/>
        <w:t>et</w:t>
      </w:r>
      <w:r>
        <w:rPr>
          <w:spacing w:val="-2"/>
        </w:rPr>
        <w:t> </w:t>
      </w:r>
      <w:r>
        <w:rPr/>
        <w:t>soumises</w:t>
      </w:r>
      <w:r>
        <w:rPr>
          <w:spacing w:val="-1"/>
        </w:rPr>
        <w:t> </w:t>
      </w:r>
      <w:r>
        <w:rPr/>
        <w:t>à</w:t>
      </w:r>
      <w:r>
        <w:rPr>
          <w:spacing w:val="-4"/>
        </w:rPr>
        <w:t> </w:t>
      </w:r>
      <w:r>
        <w:rPr/>
        <w:t>un</w:t>
      </w:r>
      <w:r>
        <w:rPr>
          <w:spacing w:val="-1"/>
        </w:rPr>
        <w:t> </w:t>
      </w:r>
      <w:r>
        <w:rPr/>
        <w:t>impôt</w:t>
      </w:r>
      <w:r>
        <w:rPr>
          <w:spacing w:val="-4"/>
        </w:rPr>
        <w:t> </w:t>
      </w:r>
      <w:r>
        <w:rPr/>
        <w:t>annuel</w:t>
      </w:r>
      <w:r>
        <w:rPr>
          <w:spacing w:val="-4"/>
        </w:rPr>
        <w:t> </w:t>
      </w:r>
      <w:r>
        <w:rPr/>
        <w:t>entier</w:t>
      </w:r>
      <w:r>
        <w:rPr>
          <w:spacing w:val="-2"/>
        </w:rPr>
        <w:t> </w:t>
      </w:r>
      <w:r>
        <w:rPr/>
        <w:t>calculé</w:t>
      </w:r>
      <w:r>
        <w:rPr>
          <w:spacing w:val="-4"/>
        </w:rPr>
        <w:t> </w:t>
      </w:r>
      <w:r>
        <w:rPr/>
        <w:t>sur</w:t>
      </w:r>
      <w:r>
        <w:rPr>
          <w:spacing w:val="-4"/>
        </w:rPr>
        <w:t> </w:t>
      </w:r>
      <w:r>
        <w:rPr/>
        <w:t>la</w:t>
      </w:r>
      <w:r>
        <w:rPr>
          <w:spacing w:val="-1"/>
        </w:rPr>
        <w:t> </w:t>
      </w:r>
      <w:r>
        <w:rPr/>
        <w:t>base</w:t>
      </w:r>
      <w:r>
        <w:rPr>
          <w:spacing w:val="-4"/>
        </w:rPr>
        <w:t> </w:t>
      </w:r>
      <w:r>
        <w:rPr/>
        <w:t>d'un</w:t>
      </w:r>
      <w:r>
        <w:rPr>
          <w:spacing w:val="-1"/>
        </w:rPr>
        <w:t> </w:t>
      </w:r>
      <w:r>
        <w:rPr/>
        <w:t>taux</w:t>
      </w:r>
      <w:r>
        <w:rPr>
          <w:spacing w:val="-1"/>
        </w:rPr>
        <w:t> </w:t>
      </w:r>
      <w:r>
        <w:rPr/>
        <w:t>représentant</w:t>
      </w:r>
      <w:r>
        <w:rPr>
          <w:spacing w:val="-4"/>
        </w:rPr>
        <w:t> </w:t>
      </w:r>
      <w:r>
        <w:rPr/>
        <w:t>le</w:t>
      </w:r>
      <w:r>
        <w:rPr>
          <w:spacing w:val="-1"/>
        </w:rPr>
        <w:t> </w:t>
      </w:r>
      <w:r>
        <w:rPr/>
        <w:t>quart</w:t>
      </w:r>
      <w:r>
        <w:rPr>
          <w:spacing w:val="-2"/>
        </w:rPr>
        <w:t> </w:t>
      </w:r>
      <w:r>
        <w:rPr/>
        <w:t>du barème déterminant pour l'impôt sur le revenu, cela sous les trois réserves suivantes:</w:t>
      </w:r>
    </w:p>
    <w:p>
      <w:pPr>
        <w:pStyle w:val="ListParagraph"/>
        <w:numPr>
          <w:ilvl w:val="0"/>
          <w:numId w:val="10"/>
        </w:numPr>
        <w:tabs>
          <w:tab w:pos="1559" w:val="left" w:leader="none"/>
        </w:tabs>
        <w:spacing w:line="240" w:lineRule="auto" w:before="41" w:after="0"/>
        <w:ind w:left="1559" w:right="0" w:hanging="425"/>
        <w:jc w:val="left"/>
        <w:rPr>
          <w:sz w:val="18"/>
        </w:rPr>
      </w:pPr>
      <w:r>
        <w:rPr>
          <w:sz w:val="18"/>
        </w:rPr>
        <w:t>le</w:t>
      </w:r>
      <w:r>
        <w:rPr>
          <w:spacing w:val="-1"/>
          <w:sz w:val="18"/>
        </w:rPr>
        <w:t> </w:t>
      </w:r>
      <w:r>
        <w:rPr>
          <w:sz w:val="18"/>
        </w:rPr>
        <w:t>taux</w:t>
      </w:r>
      <w:r>
        <w:rPr>
          <w:spacing w:val="-1"/>
          <w:sz w:val="18"/>
        </w:rPr>
        <w:t> </w:t>
      </w:r>
      <w:r>
        <w:rPr>
          <w:sz w:val="18"/>
        </w:rPr>
        <w:t>de</w:t>
      </w:r>
      <w:r>
        <w:rPr>
          <w:spacing w:val="-1"/>
          <w:sz w:val="18"/>
        </w:rPr>
        <w:t> </w:t>
      </w:r>
      <w:r>
        <w:rPr>
          <w:sz w:val="18"/>
        </w:rPr>
        <w:t>l'impôt</w:t>
      </w:r>
      <w:r>
        <w:rPr>
          <w:spacing w:val="-2"/>
          <w:sz w:val="18"/>
        </w:rPr>
        <w:t> </w:t>
      </w:r>
      <w:r>
        <w:rPr>
          <w:sz w:val="18"/>
        </w:rPr>
        <w:t>de</w:t>
      </w:r>
      <w:r>
        <w:rPr>
          <w:spacing w:val="-4"/>
          <w:sz w:val="18"/>
        </w:rPr>
        <w:t> </w:t>
      </w:r>
      <w:r>
        <w:rPr>
          <w:sz w:val="18"/>
        </w:rPr>
        <w:t>base ne</w:t>
      </w:r>
      <w:r>
        <w:rPr>
          <w:spacing w:val="-4"/>
          <w:sz w:val="18"/>
        </w:rPr>
        <w:t> </w:t>
      </w:r>
      <w:r>
        <w:rPr>
          <w:sz w:val="18"/>
        </w:rPr>
        <w:t>peut</w:t>
      </w:r>
      <w:r>
        <w:rPr>
          <w:spacing w:val="-2"/>
          <w:sz w:val="18"/>
        </w:rPr>
        <w:t> </w:t>
      </w:r>
      <w:r>
        <w:rPr>
          <w:sz w:val="18"/>
        </w:rPr>
        <w:t>être</w:t>
      </w:r>
      <w:r>
        <w:rPr>
          <w:spacing w:val="-1"/>
          <w:sz w:val="18"/>
        </w:rPr>
        <w:t> </w:t>
      </w:r>
      <w:r>
        <w:rPr>
          <w:sz w:val="18"/>
        </w:rPr>
        <w:t>inférieur</w:t>
      </w:r>
      <w:r>
        <w:rPr>
          <w:spacing w:val="-2"/>
          <w:sz w:val="18"/>
        </w:rPr>
        <w:t> </w:t>
      </w:r>
      <w:r>
        <w:rPr>
          <w:sz w:val="18"/>
        </w:rPr>
        <w:t>à</w:t>
      </w:r>
      <w:r>
        <w:rPr>
          <w:spacing w:val="-3"/>
          <w:sz w:val="18"/>
        </w:rPr>
        <w:t> </w:t>
      </w:r>
      <w:r>
        <w:rPr>
          <w:spacing w:val="-2"/>
          <w:sz w:val="18"/>
        </w:rPr>
        <w:t>2,5%;</w:t>
      </w:r>
    </w:p>
    <w:p>
      <w:pPr>
        <w:pStyle w:val="ListParagraph"/>
        <w:numPr>
          <w:ilvl w:val="0"/>
          <w:numId w:val="10"/>
        </w:numPr>
        <w:tabs>
          <w:tab w:pos="1559" w:val="left" w:leader="none"/>
        </w:tabs>
        <w:spacing w:line="240" w:lineRule="auto" w:before="40" w:after="0"/>
        <w:ind w:left="1559" w:right="0" w:hanging="425"/>
        <w:jc w:val="left"/>
        <w:rPr>
          <w:sz w:val="18"/>
        </w:rPr>
      </w:pPr>
      <w:r>
        <w:rPr>
          <w:sz w:val="18"/>
        </w:rPr>
        <w:t>les</w:t>
      </w:r>
      <w:r>
        <w:rPr>
          <w:spacing w:val="-6"/>
          <w:sz w:val="18"/>
        </w:rPr>
        <w:t> </w:t>
      </w:r>
      <w:r>
        <w:rPr>
          <w:sz w:val="18"/>
        </w:rPr>
        <w:t>déductions</w:t>
      </w:r>
      <w:r>
        <w:rPr>
          <w:spacing w:val="-3"/>
          <w:sz w:val="18"/>
        </w:rPr>
        <w:t> </w:t>
      </w:r>
      <w:r>
        <w:rPr>
          <w:sz w:val="18"/>
        </w:rPr>
        <w:t>générales</w:t>
      </w:r>
      <w:r>
        <w:rPr>
          <w:spacing w:val="-4"/>
          <w:sz w:val="18"/>
        </w:rPr>
        <w:t> </w:t>
      </w:r>
      <w:r>
        <w:rPr>
          <w:sz w:val="18"/>
        </w:rPr>
        <w:t>et</w:t>
      </w:r>
      <w:r>
        <w:rPr>
          <w:spacing w:val="-2"/>
          <w:sz w:val="18"/>
        </w:rPr>
        <w:t> </w:t>
      </w:r>
      <w:r>
        <w:rPr>
          <w:sz w:val="18"/>
        </w:rPr>
        <w:t>les</w:t>
      </w:r>
      <w:r>
        <w:rPr>
          <w:spacing w:val="-1"/>
          <w:sz w:val="18"/>
        </w:rPr>
        <w:t> </w:t>
      </w:r>
      <w:r>
        <w:rPr>
          <w:sz w:val="18"/>
        </w:rPr>
        <w:t>déductions</w:t>
      </w:r>
      <w:r>
        <w:rPr>
          <w:spacing w:val="-4"/>
          <w:sz w:val="18"/>
        </w:rPr>
        <w:t> </w:t>
      </w:r>
      <w:r>
        <w:rPr>
          <w:sz w:val="18"/>
        </w:rPr>
        <w:t>sociales</w:t>
      </w:r>
      <w:r>
        <w:rPr>
          <w:spacing w:val="-1"/>
          <w:sz w:val="18"/>
        </w:rPr>
        <w:t> </w:t>
      </w:r>
      <w:r>
        <w:rPr>
          <w:sz w:val="18"/>
        </w:rPr>
        <w:t>ne</w:t>
      </w:r>
      <w:r>
        <w:rPr>
          <w:spacing w:val="-2"/>
          <w:sz w:val="18"/>
        </w:rPr>
        <w:t> </w:t>
      </w:r>
      <w:r>
        <w:rPr>
          <w:sz w:val="18"/>
        </w:rPr>
        <w:t>sont</w:t>
      </w:r>
      <w:r>
        <w:rPr>
          <w:spacing w:val="-4"/>
          <w:sz w:val="18"/>
        </w:rPr>
        <w:t> </w:t>
      </w:r>
      <w:r>
        <w:rPr>
          <w:sz w:val="18"/>
        </w:rPr>
        <w:t>pas</w:t>
      </w:r>
      <w:r>
        <w:rPr>
          <w:spacing w:val="-3"/>
          <w:sz w:val="18"/>
        </w:rPr>
        <w:t> </w:t>
      </w:r>
      <w:r>
        <w:rPr>
          <w:spacing w:val="-2"/>
          <w:sz w:val="18"/>
        </w:rPr>
        <w:t>accordées;</w:t>
      </w:r>
    </w:p>
    <w:p>
      <w:pPr>
        <w:pStyle w:val="ListParagraph"/>
        <w:numPr>
          <w:ilvl w:val="0"/>
          <w:numId w:val="10"/>
        </w:numPr>
        <w:tabs>
          <w:tab w:pos="1559" w:val="left" w:leader="none"/>
        </w:tabs>
        <w:spacing w:line="240" w:lineRule="auto" w:before="40" w:after="0"/>
        <w:ind w:left="1559" w:right="0" w:hanging="425"/>
        <w:jc w:val="left"/>
        <w:rPr>
          <w:sz w:val="18"/>
        </w:rPr>
      </w:pPr>
      <w:r>
        <w:rPr>
          <w:sz w:val="18"/>
        </w:rPr>
        <w:t>aucune</w:t>
      </w:r>
      <w:r>
        <w:rPr>
          <w:spacing w:val="-3"/>
          <w:sz w:val="18"/>
        </w:rPr>
        <w:t> </w:t>
      </w:r>
      <w:r>
        <w:rPr>
          <w:sz w:val="18"/>
        </w:rPr>
        <w:t>réduction</w:t>
      </w:r>
      <w:r>
        <w:rPr>
          <w:spacing w:val="-3"/>
          <w:sz w:val="18"/>
        </w:rPr>
        <w:t> </w:t>
      </w:r>
      <w:r>
        <w:rPr>
          <w:sz w:val="18"/>
        </w:rPr>
        <w:t>supplémentaire</w:t>
      </w:r>
      <w:r>
        <w:rPr>
          <w:spacing w:val="-2"/>
          <w:sz w:val="18"/>
        </w:rPr>
        <w:t> </w:t>
      </w:r>
      <w:r>
        <w:rPr>
          <w:sz w:val="18"/>
        </w:rPr>
        <w:t>du</w:t>
      </w:r>
      <w:r>
        <w:rPr>
          <w:spacing w:val="-3"/>
          <w:sz w:val="18"/>
        </w:rPr>
        <w:t> </w:t>
      </w:r>
      <w:r>
        <w:rPr>
          <w:sz w:val="18"/>
        </w:rPr>
        <w:t>taux</w:t>
      </w:r>
      <w:r>
        <w:rPr>
          <w:spacing w:val="-2"/>
          <w:sz w:val="18"/>
        </w:rPr>
        <w:t> </w:t>
      </w:r>
      <w:r>
        <w:rPr>
          <w:sz w:val="18"/>
        </w:rPr>
        <w:t>n'est</w:t>
      </w:r>
      <w:r>
        <w:rPr>
          <w:spacing w:val="-5"/>
          <w:sz w:val="18"/>
        </w:rPr>
        <w:t> </w:t>
      </w:r>
      <w:r>
        <w:rPr>
          <w:spacing w:val="-2"/>
          <w:sz w:val="18"/>
        </w:rPr>
        <w:t>accordée.</w:t>
      </w:r>
    </w:p>
    <w:p>
      <w:pPr>
        <w:pStyle w:val="BodyText"/>
        <w:spacing w:before="153"/>
      </w:pPr>
    </w:p>
    <w:p>
      <w:pPr>
        <w:pStyle w:val="Heading7"/>
        <w:jc w:val="both"/>
      </w:pPr>
      <w:r>
        <w:rPr>
          <w:color w:val="950000"/>
        </w:rPr>
        <w:t>Gains réalisés à des jeux d’argent</w:t>
      </w:r>
      <w:r>
        <w:rPr>
          <w:color w:val="950000"/>
          <w:spacing w:val="80"/>
          <w:w w:val="150"/>
        </w:rPr>
        <w:t> </w:t>
      </w:r>
      <w:r>
        <w:rPr>
          <w:color w:val="950000"/>
          <w:spacing w:val="2"/>
        </w:rPr>
        <w:drawing>
          <wp:inline distT="0" distB="0" distL="0" distR="0">
            <wp:extent cx="201232" cy="114906"/>
            <wp:effectExtent l="0" t="0" r="0" b="0"/>
            <wp:docPr id="54" name="Image 54" descr="">
              <a:hlinkClick r:id="rId37"/>
            </wp:docPr>
            <wp:cNvGraphicFramePr>
              <a:graphicFrameLocks/>
            </wp:cNvGraphicFramePr>
            <a:graphic>
              <a:graphicData uri="http://schemas.openxmlformats.org/drawingml/2006/picture">
                <pic:pic>
                  <pic:nvPicPr>
                    <pic:cNvPr id="54" name="Image 54" descr="">
                      <a:hlinkClick r:id="rId37"/>
                    </pic:cNvPr>
                    <pic:cNvPicPr/>
                  </pic:nvPicPr>
                  <pic:blipFill>
                    <a:blip r:embed="rId11" cstate="print"/>
                    <a:stretch>
                      <a:fillRect/>
                    </a:stretch>
                  </pic:blipFill>
                  <pic:spPr>
                    <a:xfrm>
                      <a:off x="0" y="0"/>
                      <a:ext cx="201232" cy="114906"/>
                    </a:xfrm>
                    <a:prstGeom prst="rect">
                      <a:avLst/>
                    </a:prstGeom>
                  </pic:spPr>
                </pic:pic>
              </a:graphicData>
            </a:graphic>
          </wp:inline>
        </w:drawing>
      </w:r>
      <w:r>
        <w:rPr>
          <w:color w:val="950000"/>
          <w:spacing w:val="2"/>
        </w:rPr>
      </w:r>
    </w:p>
    <w:p>
      <w:pPr>
        <w:pStyle w:val="Heading8"/>
        <w:spacing w:before="94"/>
      </w:pPr>
      <w:r>
        <w:rPr/>
        <w:t>Art.</w:t>
      </w:r>
      <w:r>
        <w:rPr>
          <w:spacing w:val="-4"/>
        </w:rPr>
        <w:t> </w:t>
      </w:r>
      <w:r>
        <w:rPr/>
        <w:t>42a,</w:t>
      </w:r>
      <w:r>
        <w:rPr>
          <w:spacing w:val="-1"/>
        </w:rPr>
        <w:t> </w:t>
      </w:r>
      <w:r>
        <w:rPr/>
        <w:t>al.</w:t>
      </w:r>
      <w:r>
        <w:rPr>
          <w:spacing w:val="-1"/>
        </w:rPr>
        <w:t> </w:t>
      </w:r>
      <w:r>
        <w:rPr/>
        <w:t>1</w:t>
      </w:r>
      <w:r>
        <w:rPr>
          <w:spacing w:val="-2"/>
        </w:rPr>
        <w:t> LCdir</w:t>
      </w:r>
    </w:p>
    <w:p>
      <w:pPr>
        <w:pStyle w:val="BodyText"/>
        <w:spacing w:before="55"/>
        <w:ind w:left="1134" w:right="703"/>
        <w:jc w:val="both"/>
      </w:pPr>
      <w:r>
        <w:rPr>
          <w:position w:val="6"/>
          <w:sz w:val="12"/>
        </w:rPr>
        <w:t>1</w:t>
      </w:r>
      <w:r>
        <w:rPr>
          <w:spacing w:val="5"/>
          <w:position w:val="6"/>
          <w:sz w:val="12"/>
        </w:rPr>
        <w:t> </w:t>
      </w:r>
      <w:r>
        <w:rPr/>
        <w:t>Les</w:t>
      </w:r>
      <w:r>
        <w:rPr>
          <w:spacing w:val="-10"/>
        </w:rPr>
        <w:t> </w:t>
      </w:r>
      <w:r>
        <w:rPr/>
        <w:t>gains</w:t>
      </w:r>
      <w:r>
        <w:rPr>
          <w:spacing w:val="-10"/>
        </w:rPr>
        <w:t> </w:t>
      </w:r>
      <w:r>
        <w:rPr/>
        <w:t>réalisés</w:t>
      </w:r>
      <w:r>
        <w:rPr>
          <w:spacing w:val="-10"/>
        </w:rPr>
        <w:t> </w:t>
      </w:r>
      <w:r>
        <w:rPr/>
        <w:t>à</w:t>
      </w:r>
      <w:r>
        <w:rPr>
          <w:spacing w:val="-11"/>
        </w:rPr>
        <w:t> </w:t>
      </w:r>
      <w:r>
        <w:rPr/>
        <w:t>des</w:t>
      </w:r>
      <w:r>
        <w:rPr>
          <w:spacing w:val="-10"/>
        </w:rPr>
        <w:t> </w:t>
      </w:r>
      <w:r>
        <w:rPr/>
        <w:t>jeux</w:t>
      </w:r>
      <w:r>
        <w:rPr>
          <w:spacing w:val="-13"/>
        </w:rPr>
        <w:t> </w:t>
      </w:r>
      <w:r>
        <w:rPr/>
        <w:t>d’argent</w:t>
      </w:r>
      <w:r>
        <w:rPr>
          <w:spacing w:val="-10"/>
        </w:rPr>
        <w:t> </w:t>
      </w:r>
      <w:r>
        <w:rPr/>
        <w:t>au</w:t>
      </w:r>
      <w:r>
        <w:rPr>
          <w:spacing w:val="-13"/>
        </w:rPr>
        <w:t> </w:t>
      </w:r>
      <w:r>
        <w:rPr/>
        <w:t>sens</w:t>
      </w:r>
      <w:r>
        <w:rPr>
          <w:spacing w:val="-9"/>
        </w:rPr>
        <w:t> </w:t>
      </w:r>
      <w:r>
        <w:rPr/>
        <w:t>de</w:t>
      </w:r>
      <w:r>
        <w:rPr>
          <w:spacing w:val="-11"/>
        </w:rPr>
        <w:t> </w:t>
      </w:r>
      <w:r>
        <w:rPr/>
        <w:t>la</w:t>
      </w:r>
      <w:r>
        <w:rPr>
          <w:spacing w:val="-11"/>
        </w:rPr>
        <w:t> </w:t>
      </w:r>
      <w:r>
        <w:rPr/>
        <w:t>LJAr</w:t>
      </w:r>
      <w:r>
        <w:rPr>
          <w:spacing w:val="-12"/>
        </w:rPr>
        <w:t> </w:t>
      </w:r>
      <w:r>
        <w:rPr/>
        <w:t>ainsi</w:t>
      </w:r>
      <w:r>
        <w:rPr>
          <w:spacing w:val="-11"/>
        </w:rPr>
        <w:t> </w:t>
      </w:r>
      <w:r>
        <w:rPr/>
        <w:t>qu’à</w:t>
      </w:r>
      <w:r>
        <w:rPr>
          <w:spacing w:val="-11"/>
        </w:rPr>
        <w:t> </w:t>
      </w:r>
      <w:r>
        <w:rPr/>
        <w:t>des</w:t>
      </w:r>
      <w:r>
        <w:rPr>
          <w:spacing w:val="-10"/>
        </w:rPr>
        <w:t> </w:t>
      </w:r>
      <w:r>
        <w:rPr/>
        <w:t>loteries</w:t>
      </w:r>
      <w:r>
        <w:rPr>
          <w:spacing w:val="-10"/>
        </w:rPr>
        <w:t> </w:t>
      </w:r>
      <w:r>
        <w:rPr/>
        <w:t>ou</w:t>
      </w:r>
      <w:r>
        <w:rPr>
          <w:spacing w:val="-11"/>
        </w:rPr>
        <w:t> </w:t>
      </w:r>
      <w:r>
        <w:rPr/>
        <w:t>à</w:t>
      </w:r>
      <w:r>
        <w:rPr>
          <w:spacing w:val="-11"/>
        </w:rPr>
        <w:t> </w:t>
      </w:r>
      <w:r>
        <w:rPr/>
        <w:t>des</w:t>
      </w:r>
      <w:r>
        <w:rPr>
          <w:spacing w:val="-10"/>
        </w:rPr>
        <w:t> </w:t>
      </w:r>
      <w:r>
        <w:rPr/>
        <w:t>jeux</w:t>
      </w:r>
      <w:r>
        <w:rPr>
          <w:spacing w:val="-10"/>
        </w:rPr>
        <w:t> </w:t>
      </w:r>
      <w:r>
        <w:rPr/>
        <w:t>d’adresse destinés</w:t>
      </w:r>
      <w:r>
        <w:rPr>
          <w:spacing w:val="-6"/>
        </w:rPr>
        <w:t> </w:t>
      </w:r>
      <w:r>
        <w:rPr/>
        <w:t>à</w:t>
      </w:r>
      <w:r>
        <w:rPr>
          <w:spacing w:val="-6"/>
        </w:rPr>
        <w:t> </w:t>
      </w:r>
      <w:r>
        <w:rPr/>
        <w:t>promouvoir</w:t>
      </w:r>
      <w:r>
        <w:rPr>
          <w:spacing w:val="-7"/>
        </w:rPr>
        <w:t> </w:t>
      </w:r>
      <w:r>
        <w:rPr/>
        <w:t>les</w:t>
      </w:r>
      <w:r>
        <w:rPr>
          <w:spacing w:val="-6"/>
        </w:rPr>
        <w:t> </w:t>
      </w:r>
      <w:r>
        <w:rPr/>
        <w:t>ventes</w:t>
      </w:r>
      <w:r>
        <w:rPr>
          <w:spacing w:val="-6"/>
        </w:rPr>
        <w:t> </w:t>
      </w:r>
      <w:r>
        <w:rPr/>
        <w:t>qui</w:t>
      </w:r>
      <w:r>
        <w:rPr>
          <w:spacing w:val="-6"/>
        </w:rPr>
        <w:t> </w:t>
      </w:r>
      <w:r>
        <w:rPr/>
        <w:t>ne</w:t>
      </w:r>
      <w:r>
        <w:rPr>
          <w:spacing w:val="-6"/>
        </w:rPr>
        <w:t> </w:t>
      </w:r>
      <w:r>
        <w:rPr/>
        <w:t>sont</w:t>
      </w:r>
      <w:r>
        <w:rPr>
          <w:spacing w:val="-7"/>
        </w:rPr>
        <w:t> </w:t>
      </w:r>
      <w:r>
        <w:rPr/>
        <w:t>pas</w:t>
      </w:r>
      <w:r>
        <w:rPr>
          <w:spacing w:val="-6"/>
        </w:rPr>
        <w:t> </w:t>
      </w:r>
      <w:r>
        <w:rPr/>
        <w:t>soumis</w:t>
      </w:r>
      <w:r>
        <w:rPr>
          <w:spacing w:val="-6"/>
        </w:rPr>
        <w:t> </w:t>
      </w:r>
      <w:r>
        <w:rPr/>
        <w:t>à</w:t>
      </w:r>
      <w:r>
        <w:rPr>
          <w:spacing w:val="-6"/>
        </w:rPr>
        <w:t> </w:t>
      </w:r>
      <w:r>
        <w:rPr/>
        <w:t>la</w:t>
      </w:r>
      <w:r>
        <w:rPr>
          <w:spacing w:val="-8"/>
        </w:rPr>
        <w:t> </w:t>
      </w:r>
      <w:r>
        <w:rPr/>
        <w:t>LJAr</w:t>
      </w:r>
      <w:r>
        <w:rPr>
          <w:spacing w:val="-7"/>
        </w:rPr>
        <w:t> </w:t>
      </w:r>
      <w:r>
        <w:rPr/>
        <w:t>sont</w:t>
      </w:r>
      <w:r>
        <w:rPr>
          <w:spacing w:val="-7"/>
        </w:rPr>
        <w:t> </w:t>
      </w:r>
      <w:r>
        <w:rPr/>
        <w:t>imposés</w:t>
      </w:r>
      <w:r>
        <w:rPr>
          <w:spacing w:val="-6"/>
        </w:rPr>
        <w:t> </w:t>
      </w:r>
      <w:r>
        <w:rPr/>
        <w:t>séparément</w:t>
      </w:r>
      <w:r>
        <w:rPr>
          <w:spacing w:val="-7"/>
        </w:rPr>
        <w:t> </w:t>
      </w:r>
      <w:r>
        <w:rPr/>
        <w:t>des</w:t>
      </w:r>
      <w:r>
        <w:rPr>
          <w:spacing w:val="-6"/>
        </w:rPr>
        <w:t> </w:t>
      </w:r>
      <w:r>
        <w:rPr/>
        <w:t>autres revenus et soumis ensemble à un taux de l’impôt de base de 10%, pour autant qu’ils ne soient pas exonérés d’impôt au sens de l’article 27, lettres i à j.</w:t>
      </w:r>
    </w:p>
    <w:p>
      <w:pPr>
        <w:pStyle w:val="BodyText"/>
        <w:spacing w:before="153"/>
      </w:pPr>
    </w:p>
    <w:p>
      <w:pPr>
        <w:pStyle w:val="Heading3"/>
      </w:pPr>
      <w:bookmarkStart w:name="Progression à froid" w:id="23"/>
      <w:bookmarkEnd w:id="23"/>
      <w:r>
        <w:rPr>
          <w:b w:val="0"/>
        </w:rPr>
      </w:r>
      <w:bookmarkStart w:name="_bookmark8" w:id="24"/>
      <w:bookmarkEnd w:id="24"/>
      <w:r>
        <w:rPr>
          <w:b w:val="0"/>
        </w:rPr>
      </w:r>
      <w:r>
        <w:rPr>
          <w:color w:val="2D73B4"/>
        </w:rPr>
        <w:t>Progression</w:t>
      </w:r>
      <w:r>
        <w:rPr>
          <w:color w:val="2D73B4"/>
          <w:spacing w:val="-9"/>
        </w:rPr>
        <w:t> </w:t>
      </w:r>
      <w:r>
        <w:rPr>
          <w:color w:val="2D73B4"/>
        </w:rPr>
        <w:t>à</w:t>
      </w:r>
      <w:r>
        <w:rPr>
          <w:color w:val="2D73B4"/>
          <w:spacing w:val="-11"/>
        </w:rPr>
        <w:t> </w:t>
      </w:r>
      <w:r>
        <w:rPr>
          <w:color w:val="2D73B4"/>
          <w:spacing w:val="-2"/>
        </w:rPr>
        <w:t>froid</w:t>
      </w:r>
    </w:p>
    <w:p>
      <w:pPr>
        <w:pStyle w:val="BodyText"/>
        <w:spacing w:before="59"/>
        <w:ind w:left="851"/>
      </w:pPr>
      <w:r>
        <w:rPr/>
        <w:t>(Art. 45</w:t>
      </w:r>
      <w:r>
        <w:rPr>
          <w:spacing w:val="-2"/>
        </w:rPr>
        <w:t> LCdir)</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66">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31"/>
        <w:rPr>
          <w:sz w:val="20"/>
        </w:rPr>
      </w:pPr>
    </w:p>
    <w:p>
      <w:pPr>
        <w:pStyle w:val="Heading7"/>
        <w:jc w:val="both"/>
      </w:pPr>
      <w:r>
        <w:rPr>
          <w:color w:val="950000"/>
        </w:rPr>
        <w:t>Compensation des effets de la progression à froid</w:t>
      </w:r>
      <w:r>
        <w:rPr>
          <w:color w:val="950000"/>
          <w:spacing w:val="80"/>
          <w:w w:val="150"/>
        </w:rPr>
        <w:t> </w:t>
      </w:r>
      <w:r>
        <w:rPr>
          <w:color w:val="950000"/>
        </w:rPr>
        <w:drawing>
          <wp:inline distT="0" distB="0" distL="0" distR="0">
            <wp:extent cx="201283" cy="114918"/>
            <wp:effectExtent l="0" t="0" r="0" b="0"/>
            <wp:docPr id="55" name="Image 55" descr="">
              <a:hlinkClick r:id="rId67"/>
            </wp:docPr>
            <wp:cNvGraphicFramePr>
              <a:graphicFrameLocks/>
            </wp:cNvGraphicFramePr>
            <a:graphic>
              <a:graphicData uri="http://schemas.openxmlformats.org/drawingml/2006/picture">
                <pic:pic>
                  <pic:nvPicPr>
                    <pic:cNvPr id="55" name="Image 55" descr="">
                      <a:hlinkClick r:id="rId67"/>
                    </pic:cNvPr>
                    <pic:cNvPicPr/>
                  </pic:nvPicPr>
                  <pic:blipFill>
                    <a:blip r:embed="rId11" cstate="print"/>
                    <a:stretch>
                      <a:fillRect/>
                    </a:stretch>
                  </pic:blipFill>
                  <pic:spPr>
                    <a:xfrm>
                      <a:off x="0" y="0"/>
                      <a:ext cx="201283" cy="114918"/>
                    </a:xfrm>
                    <a:prstGeom prst="rect">
                      <a:avLst/>
                    </a:prstGeom>
                  </pic:spPr>
                </pic:pic>
              </a:graphicData>
            </a:graphic>
          </wp:inline>
        </w:drawing>
      </w:r>
      <w:r>
        <w:rPr>
          <w:color w:val="950000"/>
        </w:rPr>
      </w:r>
    </w:p>
    <w:p>
      <w:pPr>
        <w:pStyle w:val="Heading8"/>
        <w:jc w:val="both"/>
      </w:pPr>
      <w:r>
        <w:rPr/>
        <w:t>Art.</w:t>
      </w:r>
      <w:r>
        <w:rPr>
          <w:spacing w:val="-1"/>
        </w:rPr>
        <w:t> </w:t>
      </w:r>
      <w:r>
        <w:rPr/>
        <w:t>45 </w:t>
      </w:r>
      <w:r>
        <w:rPr>
          <w:spacing w:val="-2"/>
        </w:rPr>
        <w:t>LCdir</w:t>
      </w:r>
    </w:p>
    <w:p>
      <w:pPr>
        <w:pStyle w:val="BodyText"/>
        <w:spacing w:before="56"/>
        <w:ind w:left="1134" w:right="703"/>
        <w:jc w:val="both"/>
      </w:pPr>
      <w:r>
        <w:rPr>
          <w:position w:val="6"/>
          <w:sz w:val="12"/>
        </w:rPr>
        <w:t>1</w:t>
      </w:r>
      <w:r>
        <w:rPr>
          <w:spacing w:val="27"/>
          <w:position w:val="6"/>
          <w:sz w:val="12"/>
        </w:rPr>
        <w:t> </w:t>
      </w:r>
      <w:r>
        <w:rPr/>
        <w:t>Les effets de la progression à froid sur l’impôt frappant le revenu des personnes physiques sont, en principe,</w:t>
      </w:r>
      <w:r>
        <w:rPr>
          <w:spacing w:val="-5"/>
        </w:rPr>
        <w:t> </w:t>
      </w:r>
      <w:r>
        <w:rPr/>
        <w:t>compensés</w:t>
      </w:r>
      <w:r>
        <w:rPr>
          <w:spacing w:val="-2"/>
        </w:rPr>
        <w:t> </w:t>
      </w:r>
      <w:r>
        <w:rPr/>
        <w:t>par</w:t>
      </w:r>
      <w:r>
        <w:rPr>
          <w:spacing w:val="-3"/>
        </w:rPr>
        <w:t> </w:t>
      </w:r>
      <w:r>
        <w:rPr/>
        <w:t>une</w:t>
      </w:r>
      <w:r>
        <w:rPr>
          <w:spacing w:val="-5"/>
        </w:rPr>
        <w:t> </w:t>
      </w:r>
      <w:r>
        <w:rPr/>
        <w:t>adaptation</w:t>
      </w:r>
      <w:r>
        <w:rPr>
          <w:spacing w:val="-2"/>
        </w:rPr>
        <w:t> </w:t>
      </w:r>
      <w:r>
        <w:rPr/>
        <w:t>équivalente</w:t>
      </w:r>
      <w:r>
        <w:rPr>
          <w:spacing w:val="-2"/>
        </w:rPr>
        <w:t> </w:t>
      </w:r>
      <w:r>
        <w:rPr/>
        <w:t>des</w:t>
      </w:r>
      <w:r>
        <w:rPr>
          <w:spacing w:val="-2"/>
        </w:rPr>
        <w:t> </w:t>
      </w:r>
      <w:r>
        <w:rPr/>
        <w:t>barèmes</w:t>
      </w:r>
      <w:r>
        <w:rPr>
          <w:spacing w:val="-2"/>
        </w:rPr>
        <w:t> </w:t>
      </w:r>
      <w:r>
        <w:rPr/>
        <w:t>et</w:t>
      </w:r>
      <w:r>
        <w:rPr>
          <w:spacing w:val="-3"/>
        </w:rPr>
        <w:t> </w:t>
      </w:r>
      <w:r>
        <w:rPr/>
        <w:t>des</w:t>
      </w:r>
      <w:r>
        <w:rPr>
          <w:spacing w:val="-2"/>
        </w:rPr>
        <w:t> </w:t>
      </w:r>
      <w:r>
        <w:rPr/>
        <w:t>déductions</w:t>
      </w:r>
      <w:r>
        <w:rPr>
          <w:spacing w:val="-4"/>
        </w:rPr>
        <w:t> </w:t>
      </w:r>
      <w:r>
        <w:rPr/>
        <w:t>en</w:t>
      </w:r>
      <w:r>
        <w:rPr>
          <w:spacing w:val="-2"/>
        </w:rPr>
        <w:t> </w:t>
      </w:r>
      <w:r>
        <w:rPr/>
        <w:t>francs</w:t>
      </w:r>
      <w:r>
        <w:rPr>
          <w:spacing w:val="-2"/>
        </w:rPr>
        <w:t> </w:t>
      </w:r>
      <w:r>
        <w:rPr/>
        <w:t>opérées sur le revenu. Les montants doivent être arrondis aux 100 francs supérieurs ou inférieurs.</w:t>
      </w:r>
    </w:p>
    <w:p>
      <w:pPr>
        <w:pStyle w:val="BodyText"/>
        <w:spacing w:before="38"/>
        <w:ind w:left="1134" w:right="703"/>
        <w:jc w:val="both"/>
      </w:pPr>
      <w:r>
        <w:rPr>
          <w:position w:val="6"/>
          <w:sz w:val="12"/>
        </w:rPr>
        <w:t>2</w:t>
      </w:r>
      <w:r>
        <w:rPr>
          <w:spacing w:val="17"/>
          <w:position w:val="6"/>
          <w:sz w:val="12"/>
        </w:rPr>
        <w:t> </w:t>
      </w:r>
      <w:r>
        <w:rPr/>
        <w:t>Le Conseil d’Etat présente au Grand Conseil un</w:t>
      </w:r>
      <w:r>
        <w:rPr>
          <w:spacing w:val="-1"/>
        </w:rPr>
        <w:t> </w:t>
      </w:r>
      <w:r>
        <w:rPr/>
        <w:t>projet d'adaptation dans</w:t>
      </w:r>
      <w:r>
        <w:rPr>
          <w:spacing w:val="-1"/>
        </w:rPr>
        <w:t> </w:t>
      </w:r>
      <w:r>
        <w:rPr/>
        <w:t>le</w:t>
      </w:r>
      <w:r>
        <w:rPr>
          <w:spacing w:val="-1"/>
        </w:rPr>
        <w:t> </w:t>
      </w:r>
      <w:r>
        <w:rPr/>
        <w:t>courant de l’année précé-dant</w:t>
      </w:r>
      <w:r>
        <w:rPr>
          <w:spacing w:val="-3"/>
        </w:rPr>
        <w:t> </w:t>
      </w:r>
      <w:r>
        <w:rPr/>
        <w:t>la</w:t>
      </w:r>
      <w:r>
        <w:rPr>
          <w:spacing w:val="-3"/>
        </w:rPr>
        <w:t> </w:t>
      </w:r>
      <w:r>
        <w:rPr/>
        <w:t>période</w:t>
      </w:r>
      <w:r>
        <w:rPr>
          <w:spacing w:val="-3"/>
        </w:rPr>
        <w:t> </w:t>
      </w:r>
      <w:r>
        <w:rPr/>
        <w:t>fiscale,</w:t>
      </w:r>
      <w:r>
        <w:rPr>
          <w:spacing w:val="-1"/>
        </w:rPr>
        <w:t> </w:t>
      </w:r>
      <w:r>
        <w:rPr/>
        <w:t>lorsque</w:t>
      </w:r>
      <w:r>
        <w:rPr>
          <w:spacing w:val="-3"/>
        </w:rPr>
        <w:t> </w:t>
      </w:r>
      <w:r>
        <w:rPr/>
        <w:t>l’indice</w:t>
      </w:r>
      <w:r>
        <w:rPr>
          <w:spacing w:val="-3"/>
        </w:rPr>
        <w:t> </w:t>
      </w:r>
      <w:r>
        <w:rPr/>
        <w:t>suisse</w:t>
      </w:r>
      <w:r>
        <w:rPr>
          <w:spacing w:val="-3"/>
        </w:rPr>
        <w:t> </w:t>
      </w:r>
      <w:r>
        <w:rPr/>
        <w:t>des</w:t>
      </w:r>
      <w:r>
        <w:rPr>
          <w:spacing w:val="-2"/>
        </w:rPr>
        <w:t> </w:t>
      </w:r>
      <w:r>
        <w:rPr/>
        <w:t>prix</w:t>
      </w:r>
      <w:r>
        <w:rPr>
          <w:spacing w:val="-2"/>
        </w:rPr>
        <w:t> </w:t>
      </w:r>
      <w:r>
        <w:rPr/>
        <w:t>à</w:t>
      </w:r>
      <w:r>
        <w:rPr>
          <w:spacing w:val="-3"/>
        </w:rPr>
        <w:t> </w:t>
      </w:r>
      <w:r>
        <w:rPr/>
        <w:t>la</w:t>
      </w:r>
      <w:r>
        <w:rPr>
          <w:spacing w:val="-3"/>
        </w:rPr>
        <w:t> </w:t>
      </w:r>
      <w:r>
        <w:rPr/>
        <w:t>consommation</w:t>
      </w:r>
      <w:r>
        <w:rPr>
          <w:spacing w:val="-3"/>
        </w:rPr>
        <w:t> </w:t>
      </w:r>
      <w:r>
        <w:rPr/>
        <w:t>(IPC)</w:t>
      </w:r>
      <w:r>
        <w:rPr>
          <w:spacing w:val="-3"/>
        </w:rPr>
        <w:t> </w:t>
      </w:r>
      <w:r>
        <w:rPr/>
        <w:t>a</w:t>
      </w:r>
      <w:r>
        <w:rPr>
          <w:spacing w:val="-3"/>
        </w:rPr>
        <w:t> </w:t>
      </w:r>
      <w:r>
        <w:rPr/>
        <w:t>augmenté</w:t>
      </w:r>
      <w:r>
        <w:rPr>
          <w:spacing w:val="-3"/>
        </w:rPr>
        <w:t> </w:t>
      </w:r>
      <w:r>
        <w:rPr/>
        <w:t>d’au</w:t>
      </w:r>
      <w:r>
        <w:rPr>
          <w:spacing w:val="-3"/>
        </w:rPr>
        <w:t> </w:t>
      </w:r>
      <w:r>
        <w:rPr/>
        <w:t>moins 5% depuis l’entrée en vigueur de la présente loi ou depuis la dernière adaptation. Est déterminant le niveau de l’indice une année avant le début de la période fiscale.</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Impôt sur la fortune" w:id="25"/>
      <w:bookmarkEnd w:id="25"/>
      <w:r>
        <w:rPr>
          <w:b w:val="0"/>
        </w:rPr>
      </w:r>
      <w:bookmarkStart w:name="_bookmark9" w:id="26"/>
      <w:bookmarkEnd w:id="26"/>
      <w:r>
        <w:rPr>
          <w:b w:val="0"/>
        </w:rPr>
      </w:r>
      <w:r>
        <w:rPr>
          <w:color w:val="2D73B4"/>
        </w:rPr>
        <w:t>Impôt</w:t>
      </w:r>
      <w:r>
        <w:rPr>
          <w:color w:val="2D73B4"/>
          <w:spacing w:val="-7"/>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851"/>
      </w:pPr>
      <w:r>
        <w:rPr/>
        <w:t>(Art. 46</w:t>
      </w:r>
      <w:r>
        <w:rPr>
          <w:spacing w:val="-2"/>
        </w:rPr>
        <w:t> </w:t>
      </w:r>
      <w:r>
        <w:rPr/>
        <w:t>à</w:t>
      </w:r>
      <w:r>
        <w:rPr>
          <w:spacing w:val="1"/>
        </w:rPr>
        <w:t> </w:t>
      </w:r>
      <w:r>
        <w:rPr/>
        <w:t>55</w:t>
      </w:r>
      <w:r>
        <w:rPr>
          <w:spacing w:val="-2"/>
        </w:rPr>
        <w:t> LCdir)</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68">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4"/>
        <w:rPr>
          <w:sz w:val="26"/>
        </w:rPr>
      </w:pPr>
    </w:p>
    <w:p>
      <w:pPr>
        <w:pStyle w:val="Heading3"/>
        <w:jc w:val="both"/>
      </w:pPr>
      <w:bookmarkStart w:name="Objet de l’impôt sur la fortune" w:id="27"/>
      <w:bookmarkEnd w:id="27"/>
      <w:r>
        <w:rPr>
          <w:b w:val="0"/>
        </w:rPr>
      </w:r>
      <w:bookmarkStart w:name="_bookmark10" w:id="28"/>
      <w:bookmarkEnd w:id="28"/>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pStyle w:val="BodyText"/>
        <w:spacing w:before="57"/>
        <w:ind w:left="851"/>
        <w:jc w:val="both"/>
      </w:pPr>
      <w:r>
        <w:rPr/>
        <w:t>(Art. 46</w:t>
      </w:r>
      <w:r>
        <w:rPr>
          <w:spacing w:val="-2"/>
        </w:rPr>
        <w:t> </w:t>
      </w:r>
      <w:r>
        <w:rPr/>
        <w:t>et 47</w:t>
      </w:r>
      <w:r>
        <w:rPr>
          <w:spacing w:val="-2"/>
        </w:rPr>
        <w:t> LCdir)</w:t>
      </w:r>
    </w:p>
    <w:p>
      <w:pPr>
        <w:pStyle w:val="Heading7"/>
        <w:spacing w:before="120"/>
        <w:ind w:left="851" w:right="137"/>
        <w:jc w:val="both"/>
      </w:pPr>
      <w:r>
        <w:rPr/>
        <w:t>L’objet</w:t>
      </w:r>
      <w:r>
        <w:rPr>
          <w:spacing w:val="-10"/>
        </w:rPr>
        <w:t> </w:t>
      </w:r>
      <w:r>
        <w:rPr/>
        <w:t>de</w:t>
      </w:r>
      <w:r>
        <w:rPr>
          <w:spacing w:val="-9"/>
        </w:rPr>
        <w:t> </w:t>
      </w:r>
      <w:r>
        <w:rPr/>
        <w:t>l’impôt</w:t>
      </w:r>
      <w:r>
        <w:rPr>
          <w:spacing w:val="-9"/>
        </w:rPr>
        <w:t> </w:t>
      </w:r>
      <w:r>
        <w:rPr/>
        <w:t>est</w:t>
      </w:r>
      <w:r>
        <w:rPr>
          <w:spacing w:val="-10"/>
        </w:rPr>
        <w:t> </w:t>
      </w:r>
      <w:r>
        <w:rPr/>
        <w:t>constitué</w:t>
      </w:r>
      <w:r>
        <w:rPr>
          <w:spacing w:val="-10"/>
        </w:rPr>
        <w:t> </w:t>
      </w:r>
      <w:r>
        <w:rPr/>
        <w:t>de</w:t>
      </w:r>
      <w:r>
        <w:rPr>
          <w:spacing w:val="-10"/>
        </w:rPr>
        <w:t> </w:t>
      </w:r>
      <w:r>
        <w:rPr/>
        <w:t>la</w:t>
      </w:r>
      <w:r>
        <w:rPr>
          <w:spacing w:val="-10"/>
        </w:rPr>
        <w:t> </w:t>
      </w:r>
      <w:r>
        <w:rPr/>
        <w:t>fortune</w:t>
      </w:r>
      <w:r>
        <w:rPr>
          <w:spacing w:val="-9"/>
        </w:rPr>
        <w:t> </w:t>
      </w:r>
      <w:r>
        <w:rPr/>
        <w:t>nette.</w:t>
      </w:r>
      <w:r>
        <w:rPr>
          <w:spacing w:val="-10"/>
        </w:rPr>
        <w:t> </w:t>
      </w:r>
      <w:r>
        <w:rPr/>
        <w:t>Celle-ci</w:t>
      </w:r>
      <w:r>
        <w:rPr>
          <w:spacing w:val="-11"/>
        </w:rPr>
        <w:t> </w:t>
      </w:r>
      <w:r>
        <w:rPr/>
        <w:t>comprend</w:t>
      </w:r>
      <w:r>
        <w:rPr>
          <w:spacing w:val="-10"/>
        </w:rPr>
        <w:t> </w:t>
      </w:r>
      <w:r>
        <w:rPr/>
        <w:t>toutes</w:t>
      </w:r>
      <w:r>
        <w:rPr>
          <w:spacing w:val="-7"/>
        </w:rPr>
        <w:t> </w:t>
      </w:r>
      <w:r>
        <w:rPr/>
        <w:t>les</w:t>
      </w:r>
      <w:r>
        <w:rPr>
          <w:spacing w:val="-9"/>
        </w:rPr>
        <w:t> </w:t>
      </w:r>
      <w:r>
        <w:rPr/>
        <w:t>valeurs</w:t>
      </w:r>
      <w:r>
        <w:rPr>
          <w:spacing w:val="-9"/>
        </w:rPr>
        <w:t> </w:t>
      </w:r>
      <w:r>
        <w:rPr/>
        <w:t>et</w:t>
      </w:r>
      <w:r>
        <w:rPr>
          <w:spacing w:val="-10"/>
        </w:rPr>
        <w:t> </w:t>
      </w:r>
      <w:r>
        <w:rPr/>
        <w:t>tous</w:t>
      </w:r>
      <w:r>
        <w:rPr>
          <w:spacing w:val="-9"/>
        </w:rPr>
        <w:t> </w:t>
      </w:r>
      <w:r>
        <w:rPr/>
        <w:t>les</w:t>
      </w:r>
      <w:r>
        <w:rPr>
          <w:spacing w:val="-7"/>
        </w:rPr>
        <w:t> </w:t>
      </w:r>
      <w:r>
        <w:rPr/>
        <w:t>droits appartenant</w:t>
      </w:r>
      <w:r>
        <w:rPr>
          <w:spacing w:val="-9"/>
        </w:rPr>
        <w:t> </w:t>
      </w:r>
      <w:r>
        <w:rPr/>
        <w:t>au</w:t>
      </w:r>
      <w:r>
        <w:rPr>
          <w:spacing w:val="-9"/>
        </w:rPr>
        <w:t> </w:t>
      </w:r>
      <w:r>
        <w:rPr/>
        <w:t>contribuable</w:t>
      </w:r>
      <w:r>
        <w:rPr>
          <w:spacing w:val="-9"/>
        </w:rPr>
        <w:t> </w:t>
      </w:r>
      <w:r>
        <w:rPr/>
        <w:t>ou</w:t>
      </w:r>
      <w:r>
        <w:rPr>
          <w:spacing w:val="-9"/>
        </w:rPr>
        <w:t> </w:t>
      </w:r>
      <w:r>
        <w:rPr/>
        <w:t>dont</w:t>
      </w:r>
      <w:r>
        <w:rPr>
          <w:spacing w:val="-6"/>
        </w:rPr>
        <w:t> </w:t>
      </w:r>
      <w:r>
        <w:rPr/>
        <w:t>il</w:t>
      </w:r>
      <w:r>
        <w:rPr>
          <w:spacing w:val="-7"/>
        </w:rPr>
        <w:t> </w:t>
      </w:r>
      <w:r>
        <w:rPr/>
        <w:t>est</w:t>
      </w:r>
      <w:r>
        <w:rPr>
          <w:spacing w:val="-9"/>
        </w:rPr>
        <w:t> </w:t>
      </w:r>
      <w:r>
        <w:rPr/>
        <w:t>usufruitier,</w:t>
      </w:r>
      <w:r>
        <w:rPr>
          <w:spacing w:val="-9"/>
        </w:rPr>
        <w:t> </w:t>
      </w:r>
      <w:r>
        <w:rPr/>
        <w:t>principalement</w:t>
      </w:r>
      <w:r>
        <w:rPr>
          <w:spacing w:val="-9"/>
        </w:rPr>
        <w:t> </w:t>
      </w:r>
      <w:r>
        <w:rPr/>
        <w:t>la</w:t>
      </w:r>
      <w:r>
        <w:rPr>
          <w:spacing w:val="-9"/>
        </w:rPr>
        <w:t> </w:t>
      </w:r>
      <w:r>
        <w:rPr/>
        <w:t>fortune</w:t>
      </w:r>
      <w:r>
        <w:rPr>
          <w:spacing w:val="-9"/>
        </w:rPr>
        <w:t> </w:t>
      </w:r>
      <w:r>
        <w:rPr/>
        <w:t>mobilière</w:t>
      </w:r>
      <w:r>
        <w:rPr>
          <w:spacing w:val="-7"/>
        </w:rPr>
        <w:t> </w:t>
      </w:r>
      <w:r>
        <w:rPr/>
        <w:t>et</w:t>
      </w:r>
      <w:r>
        <w:rPr>
          <w:spacing w:val="-9"/>
        </w:rPr>
        <w:t> </w:t>
      </w:r>
      <w:r>
        <w:rPr/>
        <w:t>immobilière, les assurances-vie et</w:t>
      </w:r>
      <w:r>
        <w:rPr>
          <w:spacing w:val="-1"/>
        </w:rPr>
        <w:t> </w:t>
      </w:r>
      <w:r>
        <w:rPr/>
        <w:t>de</w:t>
      </w:r>
      <w:r>
        <w:rPr>
          <w:spacing w:val="-2"/>
        </w:rPr>
        <w:t> </w:t>
      </w:r>
      <w:r>
        <w:rPr/>
        <w:t>rentes susceptibles de</w:t>
      </w:r>
      <w:r>
        <w:rPr>
          <w:spacing w:val="-2"/>
        </w:rPr>
        <w:t> </w:t>
      </w:r>
      <w:r>
        <w:rPr/>
        <w:t>rachats ainsi que la fortune investie</w:t>
      </w:r>
      <w:r>
        <w:rPr>
          <w:spacing w:val="-2"/>
        </w:rPr>
        <w:t> </w:t>
      </w:r>
      <w:r>
        <w:rPr/>
        <w:t>dans l’exploitation </w:t>
      </w:r>
      <w:bookmarkStart w:name="_bookmark11" w:id="29"/>
      <w:bookmarkEnd w:id="29"/>
      <w:r>
        <w:rPr/>
        <w:t>d</w:t>
      </w:r>
      <w:r>
        <w:rPr/>
        <w:t>’une entreprise commerciale ou agricole.</w:t>
      </w:r>
    </w:p>
    <w:p>
      <w:pPr>
        <w:pStyle w:val="BodyText"/>
        <w:spacing w:before="133"/>
        <w:rPr>
          <w:sz w:val="20"/>
        </w:rPr>
      </w:pPr>
    </w:p>
    <w:p>
      <w:pPr>
        <w:pStyle w:val="Heading3"/>
        <w:jc w:val="both"/>
      </w:pPr>
      <w:bookmarkStart w:name="Estimation de la fortune" w:id="30"/>
      <w:bookmarkEnd w:id="30"/>
      <w:r>
        <w:rPr>
          <w:b w:val="0"/>
        </w:rPr>
      </w:r>
      <w:r>
        <w:rPr>
          <w:color w:val="2D73B4"/>
        </w:rPr>
        <w:t>Estimation</w:t>
      </w:r>
      <w:r>
        <w:rPr>
          <w:color w:val="2D73B4"/>
          <w:spacing w:val="-8"/>
        </w:rPr>
        <w:t> </w:t>
      </w:r>
      <w:r>
        <w:rPr>
          <w:color w:val="2D73B4"/>
        </w:rPr>
        <w:t>de</w:t>
      </w:r>
      <w:r>
        <w:rPr>
          <w:color w:val="2D73B4"/>
          <w:spacing w:val="-4"/>
        </w:rPr>
        <w:t> </w:t>
      </w:r>
      <w:r>
        <w:rPr>
          <w:color w:val="2D73B4"/>
        </w:rPr>
        <w:t>la</w:t>
      </w:r>
      <w:r>
        <w:rPr>
          <w:color w:val="2D73B4"/>
          <w:spacing w:val="-7"/>
        </w:rPr>
        <w:t> </w:t>
      </w:r>
      <w:r>
        <w:rPr>
          <w:color w:val="2D73B4"/>
          <w:spacing w:val="-2"/>
        </w:rPr>
        <w:t>fortune</w:t>
      </w:r>
    </w:p>
    <w:p>
      <w:pPr>
        <w:pStyle w:val="BodyText"/>
        <w:spacing w:before="57"/>
        <w:ind w:left="851"/>
        <w:jc w:val="both"/>
      </w:pPr>
      <w:r>
        <w:rPr/>
        <w:t>(Art.</w:t>
      </w:r>
      <w:r>
        <w:rPr>
          <w:spacing w:val="-1"/>
        </w:rPr>
        <w:t> </w:t>
      </w:r>
      <w:r>
        <w:rPr/>
        <w:t>48</w:t>
      </w:r>
      <w:r>
        <w:rPr>
          <w:spacing w:val="-2"/>
        </w:rPr>
        <w:t> </w:t>
      </w:r>
      <w:r>
        <w:rPr/>
        <w:t>à</w:t>
      </w:r>
      <w:r>
        <w:rPr>
          <w:spacing w:val="1"/>
        </w:rPr>
        <w:t> </w:t>
      </w:r>
      <w:r>
        <w:rPr/>
        <w:t>50</w:t>
      </w:r>
      <w:r>
        <w:rPr>
          <w:spacing w:val="-3"/>
        </w:rPr>
        <w:t> </w:t>
      </w:r>
      <w:r>
        <w:rPr/>
        <w:t>et 113</w:t>
      </w:r>
      <w:r>
        <w:rPr>
          <w:spacing w:val="1"/>
        </w:rPr>
        <w:t> </w:t>
      </w:r>
      <w:r>
        <w:rPr>
          <w:spacing w:val="-2"/>
        </w:rPr>
        <w:t>LCdir)</w:t>
      </w:r>
    </w:p>
    <w:p>
      <w:pPr>
        <w:pStyle w:val="Heading7"/>
        <w:spacing w:before="120"/>
        <w:ind w:left="851" w:right="136"/>
        <w:jc w:val="both"/>
      </w:pPr>
      <w:r>
        <w:rPr/>
        <w:t>Selon la LIHD et selon le droit fiscal cantonal les actifs doivent en principe être estimés à leur valeur vénale. D’autres estimations peuvent être appliquées notamment pour les assurances, les papiers-va-leurs</w:t>
      </w:r>
      <w:r>
        <w:rPr>
          <w:spacing w:val="-1"/>
        </w:rPr>
        <w:t> </w:t>
      </w:r>
      <w:r>
        <w:rPr/>
        <w:t>ainsi</w:t>
      </w:r>
      <w:r>
        <w:rPr>
          <w:spacing w:val="-6"/>
        </w:rPr>
        <w:t> </w:t>
      </w:r>
      <w:r>
        <w:rPr/>
        <w:t>que</w:t>
      </w:r>
      <w:r>
        <w:rPr>
          <w:spacing w:val="-3"/>
        </w:rPr>
        <w:t> </w:t>
      </w:r>
      <w:r>
        <w:rPr/>
        <w:t>les</w:t>
      </w:r>
      <w:r>
        <w:rPr>
          <w:spacing w:val="-4"/>
        </w:rPr>
        <w:t> </w:t>
      </w:r>
      <w:r>
        <w:rPr/>
        <w:t>immeubles.</w:t>
      </w:r>
      <w:r>
        <w:rPr>
          <w:spacing w:val="-5"/>
        </w:rPr>
        <w:t> </w:t>
      </w:r>
      <w:r>
        <w:rPr/>
        <w:t>La</w:t>
      </w:r>
      <w:r>
        <w:rPr>
          <w:spacing w:val="-3"/>
        </w:rPr>
        <w:t> </w:t>
      </w:r>
      <w:r>
        <w:rPr/>
        <w:t>fortune</w:t>
      </w:r>
      <w:r>
        <w:rPr>
          <w:spacing w:val="-3"/>
        </w:rPr>
        <w:t> </w:t>
      </w:r>
      <w:r>
        <w:rPr/>
        <w:t>commerciale</w:t>
      </w:r>
      <w:r>
        <w:rPr>
          <w:spacing w:val="-3"/>
        </w:rPr>
        <w:t> </w:t>
      </w:r>
      <w:r>
        <w:rPr/>
        <w:t>du</w:t>
      </w:r>
      <w:r>
        <w:rPr>
          <w:spacing w:val="-3"/>
        </w:rPr>
        <w:t> </w:t>
      </w:r>
      <w:r>
        <w:rPr/>
        <w:t>contribuable</w:t>
      </w:r>
      <w:r>
        <w:rPr>
          <w:spacing w:val="-3"/>
        </w:rPr>
        <w:t> </w:t>
      </w:r>
      <w:r>
        <w:rPr/>
        <w:t>est</w:t>
      </w:r>
      <w:r>
        <w:rPr>
          <w:spacing w:val="-5"/>
        </w:rPr>
        <w:t> </w:t>
      </w:r>
      <w:r>
        <w:rPr/>
        <w:t>estimée</w:t>
      </w:r>
      <w:r>
        <w:rPr>
          <w:spacing w:val="-6"/>
        </w:rPr>
        <w:t> </w:t>
      </w:r>
      <w:r>
        <w:rPr/>
        <w:t>à</w:t>
      </w:r>
      <w:r>
        <w:rPr>
          <w:spacing w:val="-3"/>
        </w:rPr>
        <w:t> </w:t>
      </w:r>
      <w:r>
        <w:rPr/>
        <w:t>la</w:t>
      </w:r>
      <w:r>
        <w:rPr>
          <w:spacing w:val="-6"/>
        </w:rPr>
        <w:t> </w:t>
      </w:r>
      <w:r>
        <w:rPr/>
        <w:t>valeur</w:t>
      </w:r>
      <w:r>
        <w:rPr>
          <w:spacing w:val="-2"/>
        </w:rPr>
        <w:t> </w:t>
      </w:r>
      <w:r>
        <w:rPr/>
        <w:t>détermi-nante pour l’impôt sur le revenu.</w:t>
      </w:r>
    </w:p>
    <w:p>
      <w:pPr>
        <w:pStyle w:val="BodyText"/>
        <w:spacing w:before="141"/>
        <w:rPr>
          <w:sz w:val="20"/>
        </w:rPr>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0"/>
        <w:rPr>
          <w:rFonts w:ascii="Arial"/>
          <w:b/>
          <w:sz w:val="20"/>
        </w:rPr>
      </w:pPr>
    </w:p>
    <w:p>
      <w:pPr>
        <w:pStyle w:val="Heading7"/>
      </w:pPr>
      <w:r>
        <w:rPr>
          <w:color w:val="950000"/>
        </w:rPr>
        <w:t>Cheptel</w:t>
      </w:r>
      <w:r>
        <w:rPr>
          <w:color w:val="950000"/>
          <w:spacing w:val="80"/>
        </w:rPr>
        <w:t> </w:t>
      </w:r>
      <w:r>
        <w:rPr>
          <w:color w:val="950000"/>
          <w:spacing w:val="2"/>
        </w:rPr>
        <w:drawing>
          <wp:inline distT="0" distB="0" distL="0" distR="0">
            <wp:extent cx="201257" cy="114913"/>
            <wp:effectExtent l="0" t="0" r="0" b="0"/>
            <wp:docPr id="56" name="Image 56" descr="">
              <a:hlinkClick r:id="rId69"/>
            </wp:docPr>
            <wp:cNvGraphicFramePr>
              <a:graphicFrameLocks/>
            </wp:cNvGraphicFramePr>
            <a:graphic>
              <a:graphicData uri="http://schemas.openxmlformats.org/drawingml/2006/picture">
                <pic:pic>
                  <pic:nvPicPr>
                    <pic:cNvPr id="56" name="Image 56" descr="">
                      <a:hlinkClick r:id="rId69"/>
                    </pic:cNvPr>
                    <pic:cNvPicPr/>
                  </pic:nvPicPr>
                  <pic:blipFill>
                    <a:blip r:embed="rId11" cstate="print"/>
                    <a:stretch>
                      <a:fillRect/>
                    </a:stretch>
                  </pic:blipFill>
                  <pic:spPr>
                    <a:xfrm>
                      <a:off x="0" y="0"/>
                      <a:ext cx="201257" cy="114913"/>
                    </a:xfrm>
                    <a:prstGeom prst="rect">
                      <a:avLst/>
                    </a:prstGeom>
                  </pic:spPr>
                </pic:pic>
              </a:graphicData>
            </a:graphic>
          </wp:inline>
        </w:drawing>
      </w:r>
      <w:r>
        <w:rPr>
          <w:color w:val="950000"/>
          <w:spacing w:val="2"/>
        </w:rPr>
      </w:r>
    </w:p>
    <w:p>
      <w:pPr>
        <w:pStyle w:val="Heading8"/>
      </w:pPr>
      <w:r>
        <w:rPr/>
        <w:t>Art</w:t>
      </w:r>
      <w:r>
        <w:rPr>
          <w:spacing w:val="-1"/>
        </w:rPr>
        <w:t> </w:t>
      </w:r>
      <w:r>
        <w:rPr/>
        <w:t>49, al.</w:t>
      </w:r>
      <w:r>
        <w:rPr>
          <w:spacing w:val="-3"/>
        </w:rPr>
        <w:t> </w:t>
      </w:r>
      <w:r>
        <w:rPr/>
        <w:t>1</w:t>
      </w:r>
      <w:r>
        <w:rPr>
          <w:spacing w:val="1"/>
        </w:rPr>
        <w:t> </w:t>
      </w:r>
      <w:r>
        <w:rPr>
          <w:spacing w:val="-2"/>
        </w:rPr>
        <w:t>LCdir</w:t>
      </w:r>
    </w:p>
    <w:p>
      <w:pPr>
        <w:pStyle w:val="BodyText"/>
        <w:spacing w:before="55"/>
        <w:ind w:left="1134" w:right="703"/>
        <w:jc w:val="both"/>
      </w:pPr>
      <w:r>
        <w:rPr>
          <w:position w:val="6"/>
          <w:sz w:val="12"/>
        </w:rPr>
        <w:t>1</w:t>
      </w:r>
      <w:r>
        <w:rPr>
          <w:spacing w:val="18"/>
          <w:position w:val="6"/>
          <w:sz w:val="12"/>
        </w:rPr>
        <w:t> </w:t>
      </w:r>
      <w:r>
        <w:rPr/>
        <w:t>Les biens immatériels et la fortune mobilière qui font</w:t>
      </w:r>
      <w:r>
        <w:rPr>
          <w:spacing w:val="-1"/>
        </w:rPr>
        <w:t> </w:t>
      </w:r>
      <w:r>
        <w:rPr/>
        <w:t>partie de la fortune commerciale du contribuable sont</w:t>
      </w:r>
      <w:r>
        <w:rPr>
          <w:spacing w:val="-9"/>
        </w:rPr>
        <w:t> </w:t>
      </w:r>
      <w:r>
        <w:rPr/>
        <w:t>estimés</w:t>
      </w:r>
      <w:r>
        <w:rPr>
          <w:spacing w:val="-8"/>
        </w:rPr>
        <w:t> </w:t>
      </w:r>
      <w:r>
        <w:rPr/>
        <w:t>à</w:t>
      </w:r>
      <w:r>
        <w:rPr>
          <w:spacing w:val="-9"/>
        </w:rPr>
        <w:t> </w:t>
      </w:r>
      <w:r>
        <w:rPr/>
        <w:t>la</w:t>
      </w:r>
      <w:r>
        <w:rPr>
          <w:spacing w:val="-11"/>
        </w:rPr>
        <w:t> </w:t>
      </w:r>
      <w:r>
        <w:rPr/>
        <w:t>valeur</w:t>
      </w:r>
      <w:r>
        <w:rPr>
          <w:spacing w:val="-9"/>
        </w:rPr>
        <w:t> </w:t>
      </w:r>
      <w:r>
        <w:rPr/>
        <w:t>comptable</w:t>
      </w:r>
      <w:r>
        <w:rPr>
          <w:spacing w:val="-9"/>
        </w:rPr>
        <w:t> </w:t>
      </w:r>
      <w:r>
        <w:rPr/>
        <w:t>déterminante</w:t>
      </w:r>
      <w:r>
        <w:rPr>
          <w:spacing w:val="-9"/>
        </w:rPr>
        <w:t> </w:t>
      </w:r>
      <w:r>
        <w:rPr/>
        <w:t>pour</w:t>
      </w:r>
      <w:r>
        <w:rPr>
          <w:spacing w:val="-9"/>
        </w:rPr>
        <w:t> </w:t>
      </w:r>
      <w:r>
        <w:rPr/>
        <w:t>l'impôt</w:t>
      </w:r>
      <w:r>
        <w:rPr>
          <w:spacing w:val="-9"/>
        </w:rPr>
        <w:t> </w:t>
      </w:r>
      <w:r>
        <w:rPr/>
        <w:t>sur</w:t>
      </w:r>
      <w:r>
        <w:rPr>
          <w:spacing w:val="-9"/>
        </w:rPr>
        <w:t> </w:t>
      </w:r>
      <w:r>
        <w:rPr/>
        <w:t>le</w:t>
      </w:r>
      <w:r>
        <w:rPr>
          <w:spacing w:val="-9"/>
        </w:rPr>
        <w:t> </w:t>
      </w:r>
      <w:r>
        <w:rPr/>
        <w:t>revenu.</w:t>
      </w:r>
      <w:r>
        <w:rPr>
          <w:spacing w:val="-9"/>
        </w:rPr>
        <w:t> </w:t>
      </w:r>
      <w:r>
        <w:rPr/>
        <w:t>Toutefois,</w:t>
      </w:r>
      <w:r>
        <w:rPr>
          <w:spacing w:val="-9"/>
        </w:rPr>
        <w:t> </w:t>
      </w:r>
      <w:r>
        <w:rPr/>
        <w:t>pour</w:t>
      </w:r>
      <w:r>
        <w:rPr>
          <w:spacing w:val="-12"/>
        </w:rPr>
        <w:t> </w:t>
      </w:r>
      <w:r>
        <w:rPr/>
        <w:t>le</w:t>
      </w:r>
      <w:r>
        <w:rPr>
          <w:spacing w:val="-9"/>
        </w:rPr>
        <w:t> </w:t>
      </w:r>
      <w:r>
        <w:rPr/>
        <w:t>patrimoine afférent aux droits visés à l’article 21c, une réduction de 75% est accordée.</w:t>
      </w:r>
    </w:p>
    <w:p>
      <w:pPr>
        <w:pStyle w:val="BodyText"/>
        <w:spacing w:before="155"/>
      </w:pPr>
    </w:p>
    <w:p>
      <w:pPr>
        <w:pStyle w:val="Heading7"/>
        <w:jc w:val="both"/>
      </w:pPr>
      <w:r>
        <w:rPr>
          <w:color w:val="950000"/>
        </w:rPr>
        <w:t>Réduction pour le patrimoine afférent aux brevets et droits comparables</w:t>
      </w:r>
      <w:r>
        <w:rPr>
          <w:color w:val="950000"/>
          <w:spacing w:val="80"/>
          <w:w w:val="150"/>
        </w:rPr>
        <w:t> </w:t>
      </w:r>
      <w:r>
        <w:rPr>
          <w:color w:val="950000"/>
          <w:spacing w:val="2"/>
        </w:rPr>
        <w:drawing>
          <wp:inline distT="0" distB="0" distL="0" distR="0">
            <wp:extent cx="201272" cy="114874"/>
            <wp:effectExtent l="0" t="0" r="0" b="0"/>
            <wp:docPr id="57" name="Image 57" descr="">
              <a:hlinkClick r:id="rId70"/>
            </wp:docPr>
            <wp:cNvGraphicFramePr>
              <a:graphicFrameLocks/>
            </wp:cNvGraphicFramePr>
            <a:graphic>
              <a:graphicData uri="http://schemas.openxmlformats.org/drawingml/2006/picture">
                <pic:pic>
                  <pic:nvPicPr>
                    <pic:cNvPr id="57" name="Image 57" descr="">
                      <a:hlinkClick r:id="rId70"/>
                    </pic:cNvPr>
                    <pic:cNvPicPr/>
                  </pic:nvPicPr>
                  <pic:blipFill>
                    <a:blip r:embed="rId11" cstate="print"/>
                    <a:stretch>
                      <a:fillRect/>
                    </a:stretch>
                  </pic:blipFill>
                  <pic:spPr>
                    <a:xfrm>
                      <a:off x="0" y="0"/>
                      <a:ext cx="201272" cy="114874"/>
                    </a:xfrm>
                    <a:prstGeom prst="rect">
                      <a:avLst/>
                    </a:prstGeom>
                  </pic:spPr>
                </pic:pic>
              </a:graphicData>
            </a:graphic>
          </wp:inline>
        </w:drawing>
      </w:r>
      <w:r>
        <w:rPr>
          <w:color w:val="950000"/>
          <w:spacing w:val="2"/>
        </w:rPr>
      </w:r>
    </w:p>
    <w:p>
      <w:pPr>
        <w:pStyle w:val="Heading8"/>
        <w:spacing w:before="93"/>
      </w:pPr>
      <w:r>
        <w:rPr/>
        <w:t>Art</w:t>
      </w:r>
      <w:r>
        <w:rPr>
          <w:spacing w:val="-1"/>
        </w:rPr>
        <w:t> </w:t>
      </w:r>
      <w:r>
        <w:rPr/>
        <w:t>49, al.</w:t>
      </w:r>
      <w:r>
        <w:rPr>
          <w:spacing w:val="-3"/>
        </w:rPr>
        <w:t> </w:t>
      </w:r>
      <w:r>
        <w:rPr/>
        <w:t>1</w:t>
      </w:r>
      <w:r>
        <w:rPr>
          <w:spacing w:val="1"/>
        </w:rPr>
        <w:t> </w:t>
      </w:r>
      <w:r>
        <w:rPr>
          <w:spacing w:val="-2"/>
        </w:rPr>
        <w:t>LCdir</w:t>
      </w:r>
    </w:p>
    <w:p>
      <w:pPr>
        <w:pStyle w:val="BodyText"/>
        <w:spacing w:before="56"/>
        <w:ind w:left="1134" w:right="703"/>
        <w:jc w:val="both"/>
      </w:pPr>
      <w:r>
        <w:rPr>
          <w:position w:val="6"/>
          <w:sz w:val="12"/>
        </w:rPr>
        <w:t>1</w:t>
      </w:r>
      <w:r>
        <w:rPr>
          <w:spacing w:val="18"/>
          <w:position w:val="6"/>
          <w:sz w:val="12"/>
        </w:rPr>
        <w:t> </w:t>
      </w:r>
      <w:r>
        <w:rPr/>
        <w:t>Les biens immatériels et la fortune mobilière qui font</w:t>
      </w:r>
      <w:r>
        <w:rPr>
          <w:spacing w:val="-1"/>
        </w:rPr>
        <w:t> </w:t>
      </w:r>
      <w:r>
        <w:rPr/>
        <w:t>partie de la fortune commerciale du contribuable sont</w:t>
      </w:r>
      <w:r>
        <w:rPr>
          <w:spacing w:val="-9"/>
        </w:rPr>
        <w:t> </w:t>
      </w:r>
      <w:r>
        <w:rPr/>
        <w:t>estimés</w:t>
      </w:r>
      <w:r>
        <w:rPr>
          <w:spacing w:val="-8"/>
        </w:rPr>
        <w:t> </w:t>
      </w:r>
      <w:r>
        <w:rPr/>
        <w:t>à</w:t>
      </w:r>
      <w:r>
        <w:rPr>
          <w:spacing w:val="-9"/>
        </w:rPr>
        <w:t> </w:t>
      </w:r>
      <w:r>
        <w:rPr/>
        <w:t>la</w:t>
      </w:r>
      <w:r>
        <w:rPr>
          <w:spacing w:val="-11"/>
        </w:rPr>
        <w:t> </w:t>
      </w:r>
      <w:r>
        <w:rPr/>
        <w:t>valeur</w:t>
      </w:r>
      <w:r>
        <w:rPr>
          <w:spacing w:val="-9"/>
        </w:rPr>
        <w:t> </w:t>
      </w:r>
      <w:r>
        <w:rPr/>
        <w:t>comptable</w:t>
      </w:r>
      <w:r>
        <w:rPr>
          <w:spacing w:val="-9"/>
        </w:rPr>
        <w:t> </w:t>
      </w:r>
      <w:r>
        <w:rPr/>
        <w:t>déterminante</w:t>
      </w:r>
      <w:r>
        <w:rPr>
          <w:spacing w:val="-9"/>
        </w:rPr>
        <w:t> </w:t>
      </w:r>
      <w:r>
        <w:rPr/>
        <w:t>pour</w:t>
      </w:r>
      <w:r>
        <w:rPr>
          <w:spacing w:val="-9"/>
        </w:rPr>
        <w:t> </w:t>
      </w:r>
      <w:r>
        <w:rPr/>
        <w:t>l'impôt</w:t>
      </w:r>
      <w:r>
        <w:rPr>
          <w:spacing w:val="-9"/>
        </w:rPr>
        <w:t> </w:t>
      </w:r>
      <w:r>
        <w:rPr/>
        <w:t>sur</w:t>
      </w:r>
      <w:r>
        <w:rPr>
          <w:spacing w:val="-9"/>
        </w:rPr>
        <w:t> </w:t>
      </w:r>
      <w:r>
        <w:rPr/>
        <w:t>le</w:t>
      </w:r>
      <w:r>
        <w:rPr>
          <w:spacing w:val="-9"/>
        </w:rPr>
        <w:t> </w:t>
      </w:r>
      <w:r>
        <w:rPr/>
        <w:t>revenu.</w:t>
      </w:r>
      <w:r>
        <w:rPr>
          <w:spacing w:val="-9"/>
        </w:rPr>
        <w:t> </w:t>
      </w:r>
      <w:r>
        <w:rPr/>
        <w:t>Toutefois,</w:t>
      </w:r>
      <w:r>
        <w:rPr>
          <w:spacing w:val="-9"/>
        </w:rPr>
        <w:t> </w:t>
      </w:r>
      <w:r>
        <w:rPr/>
        <w:t>pour</w:t>
      </w:r>
      <w:r>
        <w:rPr>
          <w:spacing w:val="-12"/>
        </w:rPr>
        <w:t> </w:t>
      </w:r>
      <w:r>
        <w:rPr/>
        <w:t>le</w:t>
      </w:r>
      <w:r>
        <w:rPr>
          <w:spacing w:val="-9"/>
        </w:rPr>
        <w:t> </w:t>
      </w:r>
      <w:r>
        <w:rPr/>
        <w:t>patrimoine afférent aux droits visés à l’article 21c, une réduction de 75% est accordée.</w:t>
      </w:r>
    </w:p>
    <w:p>
      <w:pPr>
        <w:pStyle w:val="BodyText"/>
        <w:spacing w:before="153"/>
      </w:pPr>
    </w:p>
    <w:p>
      <w:pPr>
        <w:pStyle w:val="Heading7"/>
        <w:spacing w:before="1"/>
        <w:jc w:val="both"/>
      </w:pPr>
      <w:r>
        <w:rPr>
          <w:color w:val="950000"/>
        </w:rPr>
        <w:t>Fortune mobilière</w:t>
      </w:r>
      <w:r>
        <w:rPr>
          <w:color w:val="950000"/>
          <w:spacing w:val="80"/>
        </w:rPr>
        <w:t> </w:t>
      </w:r>
      <w:r>
        <w:rPr>
          <w:color w:val="950000"/>
          <w:spacing w:val="3"/>
        </w:rPr>
        <w:drawing>
          <wp:inline distT="0" distB="0" distL="0" distR="0">
            <wp:extent cx="201267" cy="114919"/>
            <wp:effectExtent l="0" t="0" r="0" b="0"/>
            <wp:docPr id="58" name="Image 58" descr="">
              <a:hlinkClick r:id="rId31"/>
            </wp:docPr>
            <wp:cNvGraphicFramePr>
              <a:graphicFrameLocks/>
            </wp:cNvGraphicFramePr>
            <a:graphic>
              <a:graphicData uri="http://schemas.openxmlformats.org/drawingml/2006/picture">
                <pic:pic>
                  <pic:nvPicPr>
                    <pic:cNvPr id="58" name="Image 58" descr="">
                      <a:hlinkClick r:id="rId31"/>
                    </pic:cNvPr>
                    <pic:cNvPicPr/>
                  </pic:nvPicPr>
                  <pic:blipFill>
                    <a:blip r:embed="rId11" cstate="print"/>
                    <a:stretch>
                      <a:fillRect/>
                    </a:stretch>
                  </pic:blipFill>
                  <pic:spPr>
                    <a:xfrm>
                      <a:off x="0" y="0"/>
                      <a:ext cx="201267" cy="114919"/>
                    </a:xfrm>
                    <a:prstGeom prst="rect">
                      <a:avLst/>
                    </a:prstGeom>
                  </pic:spPr>
                </pic:pic>
              </a:graphicData>
            </a:graphic>
          </wp:inline>
        </w:drawing>
      </w:r>
      <w:r>
        <w:rPr>
          <w:color w:val="950000"/>
          <w:spacing w:val="3"/>
        </w:rPr>
      </w:r>
    </w:p>
    <w:p>
      <w:pPr>
        <w:pStyle w:val="Heading8"/>
        <w:spacing w:before="94"/>
      </w:pPr>
      <w:r>
        <w:rPr/>
        <w:t>Art</w:t>
      </w:r>
      <w:r>
        <w:rPr>
          <w:spacing w:val="-1"/>
        </w:rPr>
        <w:t> </w:t>
      </w:r>
      <w:r>
        <w:rPr/>
        <w:t>49, al.</w:t>
      </w:r>
      <w:r>
        <w:rPr>
          <w:spacing w:val="-3"/>
        </w:rPr>
        <w:t> </w:t>
      </w:r>
      <w:r>
        <w:rPr/>
        <w:t>4</w:t>
      </w:r>
      <w:r>
        <w:rPr>
          <w:spacing w:val="1"/>
        </w:rPr>
        <w:t> </w:t>
      </w:r>
      <w:r>
        <w:rPr>
          <w:spacing w:val="-2"/>
        </w:rPr>
        <w:t>LCdir</w:t>
      </w:r>
    </w:p>
    <w:p>
      <w:pPr>
        <w:pStyle w:val="BodyText"/>
        <w:spacing w:before="55"/>
        <w:ind w:left="1134" w:right="703"/>
        <w:jc w:val="both"/>
      </w:pPr>
      <w:r>
        <w:rPr>
          <w:position w:val="6"/>
          <w:sz w:val="12"/>
        </w:rPr>
        <w:t>4</w:t>
      </w:r>
      <w:r>
        <w:rPr>
          <w:spacing w:val="34"/>
          <w:position w:val="6"/>
          <w:sz w:val="12"/>
        </w:rPr>
        <w:t> </w:t>
      </w:r>
      <w:r>
        <w:rPr/>
        <w:t>Les actions, parts sociales des sociétés coopératives et autres droits de participation non cotés en bourse sont évalués en fonction de la valeur de rendement de l'entreprise et de sa valeur intrinsèque; lorsque ces participations concernent des sociétés suisses, un abattement de 60% est accordé sur la valeur fiscale. En tous les cas, la valeur fiscale arrêtée avant l'octroi de l'abattement est déterminante pour le calcul du taux de l'impôt.</w:t>
      </w:r>
    </w:p>
    <w:p>
      <w:pPr>
        <w:pStyle w:val="BodyText"/>
        <w:spacing w:before="151"/>
      </w:pPr>
    </w:p>
    <w:p>
      <w:pPr>
        <w:pStyle w:val="Heading7"/>
        <w:jc w:val="both"/>
      </w:pPr>
      <w:r>
        <w:rPr>
          <w:color w:val="950000"/>
        </w:rPr>
        <w:t>Titres</w:t>
      </w:r>
      <w:r>
        <w:rPr>
          <w:color w:val="950000"/>
          <w:spacing w:val="-5"/>
        </w:rPr>
        <w:t> </w:t>
      </w:r>
      <w:r>
        <w:rPr>
          <w:color w:val="950000"/>
        </w:rPr>
        <w:t>non</w:t>
      </w:r>
      <w:r>
        <w:rPr>
          <w:color w:val="950000"/>
          <w:spacing w:val="-6"/>
        </w:rPr>
        <w:t> </w:t>
      </w:r>
      <w:r>
        <w:rPr>
          <w:color w:val="950000"/>
          <w:spacing w:val="-2"/>
        </w:rPr>
        <w:t>côtés</w:t>
      </w:r>
    </w:p>
    <w:p>
      <w:pPr>
        <w:pStyle w:val="Heading8"/>
        <w:spacing w:before="96"/>
      </w:pPr>
      <w:r>
        <w:rPr/>
        <w:t>Art.</w:t>
      </w:r>
      <w:r>
        <w:rPr>
          <w:spacing w:val="-1"/>
        </w:rPr>
        <w:t> </w:t>
      </w:r>
      <w:r>
        <w:rPr/>
        <w:t>49, al.</w:t>
      </w:r>
      <w:r>
        <w:rPr>
          <w:spacing w:val="-3"/>
        </w:rPr>
        <w:t> </w:t>
      </w:r>
      <w:r>
        <w:rPr/>
        <w:t>5</w:t>
      </w:r>
      <w:r>
        <w:rPr>
          <w:spacing w:val="1"/>
        </w:rPr>
        <w:t> </w:t>
      </w:r>
      <w:r>
        <w:rPr>
          <w:spacing w:val="-2"/>
        </w:rPr>
        <w:t>LCdir</w:t>
      </w:r>
    </w:p>
    <w:p>
      <w:pPr>
        <w:pStyle w:val="BodyText"/>
        <w:spacing w:before="55"/>
        <w:ind w:left="1134" w:right="700"/>
        <w:jc w:val="both"/>
      </w:pPr>
      <w:r>
        <w:rPr>
          <w:position w:val="6"/>
          <w:sz w:val="12"/>
        </w:rPr>
        <w:t>5</w:t>
      </w:r>
      <w:r>
        <w:rPr>
          <w:spacing w:val="32"/>
          <w:position w:val="6"/>
          <w:sz w:val="12"/>
        </w:rPr>
        <w:t> </w:t>
      </w:r>
      <w:r>
        <w:rPr/>
        <w:t>Les créances non cotées en bourse, y compris celles qui sont incorporées dans des titres tels que cédules, obligations,</w:t>
      </w:r>
      <w:r>
        <w:rPr>
          <w:spacing w:val="-2"/>
        </w:rPr>
        <w:t> </w:t>
      </w:r>
      <w:r>
        <w:rPr/>
        <w:t>bons de</w:t>
      </w:r>
      <w:r>
        <w:rPr>
          <w:spacing w:val="-1"/>
        </w:rPr>
        <w:t> </w:t>
      </w:r>
      <w:r>
        <w:rPr/>
        <w:t>caisse, sont estimées à</w:t>
      </w:r>
      <w:r>
        <w:rPr>
          <w:spacing w:val="-1"/>
        </w:rPr>
        <w:t> </w:t>
      </w:r>
      <w:r>
        <w:rPr/>
        <w:t>leur valeur</w:t>
      </w:r>
      <w:r>
        <w:rPr>
          <w:spacing w:val="-2"/>
        </w:rPr>
        <w:t> </w:t>
      </w:r>
      <w:r>
        <w:rPr/>
        <w:t>nominale.</w:t>
      </w:r>
      <w:r>
        <w:rPr>
          <w:spacing w:val="-2"/>
        </w:rPr>
        <w:t> </w:t>
      </w:r>
      <w:r>
        <w:rPr/>
        <w:t>Toutefois, dans l'estimation de</w:t>
      </w:r>
      <w:r>
        <w:rPr>
          <w:spacing w:val="-8"/>
        </w:rPr>
        <w:t> </w:t>
      </w:r>
      <w:r>
        <w:rPr/>
        <w:t>ces</w:t>
      </w:r>
      <w:r>
        <w:rPr>
          <w:spacing w:val="-10"/>
        </w:rPr>
        <w:t> </w:t>
      </w:r>
      <w:r>
        <w:rPr/>
        <w:t>créances,</w:t>
      </w:r>
      <w:r>
        <w:rPr>
          <w:spacing w:val="-8"/>
        </w:rPr>
        <w:t> </w:t>
      </w:r>
      <w:r>
        <w:rPr/>
        <w:t>si</w:t>
      </w:r>
      <w:r>
        <w:rPr>
          <w:spacing w:val="-8"/>
        </w:rPr>
        <w:t> </w:t>
      </w:r>
      <w:r>
        <w:rPr/>
        <w:t>elles</w:t>
      </w:r>
      <w:r>
        <w:rPr>
          <w:spacing w:val="-7"/>
        </w:rPr>
        <w:t> </w:t>
      </w:r>
      <w:r>
        <w:rPr/>
        <w:t>sont</w:t>
      </w:r>
      <w:r>
        <w:rPr>
          <w:spacing w:val="-8"/>
        </w:rPr>
        <w:t> </w:t>
      </w:r>
      <w:r>
        <w:rPr/>
        <w:t>litigieuses</w:t>
      </w:r>
      <w:r>
        <w:rPr>
          <w:spacing w:val="-7"/>
        </w:rPr>
        <w:t> </w:t>
      </w:r>
      <w:r>
        <w:rPr/>
        <w:t>ou</w:t>
      </w:r>
      <w:r>
        <w:rPr>
          <w:spacing w:val="-8"/>
        </w:rPr>
        <w:t> </w:t>
      </w:r>
      <w:r>
        <w:rPr/>
        <w:t>douteuses,</w:t>
      </w:r>
      <w:r>
        <w:rPr>
          <w:spacing w:val="-8"/>
        </w:rPr>
        <w:t> </w:t>
      </w:r>
      <w:r>
        <w:rPr/>
        <w:t>il</w:t>
      </w:r>
      <w:r>
        <w:rPr>
          <w:spacing w:val="-8"/>
        </w:rPr>
        <w:t> </w:t>
      </w:r>
      <w:r>
        <w:rPr/>
        <w:t>est</w:t>
      </w:r>
      <w:r>
        <w:rPr>
          <w:spacing w:val="-6"/>
        </w:rPr>
        <w:t> </w:t>
      </w:r>
      <w:r>
        <w:rPr/>
        <w:t>tenu</w:t>
      </w:r>
      <w:r>
        <w:rPr>
          <w:spacing w:val="-8"/>
        </w:rPr>
        <w:t> </w:t>
      </w:r>
      <w:r>
        <w:rPr/>
        <w:t>compte</w:t>
      </w:r>
      <w:r>
        <w:rPr>
          <w:spacing w:val="-8"/>
        </w:rPr>
        <w:t> </w:t>
      </w:r>
      <w:r>
        <w:rPr/>
        <w:t>du</w:t>
      </w:r>
      <w:r>
        <w:rPr>
          <w:spacing w:val="-8"/>
        </w:rPr>
        <w:t> </w:t>
      </w:r>
      <w:r>
        <w:rPr/>
        <w:t>degré</w:t>
      </w:r>
      <w:r>
        <w:rPr>
          <w:spacing w:val="-8"/>
        </w:rPr>
        <w:t> </w:t>
      </w:r>
      <w:r>
        <w:rPr/>
        <w:t>de</w:t>
      </w:r>
      <w:r>
        <w:rPr>
          <w:spacing w:val="-5"/>
        </w:rPr>
        <w:t> </w:t>
      </w:r>
      <w:r>
        <w:rPr/>
        <w:t>probabilité</w:t>
      </w:r>
      <w:r>
        <w:rPr>
          <w:spacing w:val="-8"/>
        </w:rPr>
        <w:t> </w:t>
      </w:r>
      <w:r>
        <w:rPr/>
        <w:t>de</w:t>
      </w:r>
      <w:r>
        <w:rPr>
          <w:spacing w:val="-8"/>
        </w:rPr>
        <w:t> </w:t>
      </w:r>
      <w:r>
        <w:rPr/>
        <w:t>leur </w:t>
      </w:r>
      <w:r>
        <w:rPr>
          <w:spacing w:val="-2"/>
        </w:rPr>
        <w:t>recouvrement.</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Immeubles</w:t>
      </w:r>
      <w:r>
        <w:rPr>
          <w:color w:val="950000"/>
          <w:spacing w:val="-7"/>
        </w:rPr>
        <w:t> </w:t>
      </w:r>
      <w:r>
        <w:rPr>
          <w:color w:val="950000"/>
        </w:rPr>
        <w:t>non</w:t>
      </w:r>
      <w:r>
        <w:rPr>
          <w:color w:val="950000"/>
          <w:spacing w:val="-8"/>
        </w:rPr>
        <w:t> </w:t>
      </w:r>
      <w:r>
        <w:rPr>
          <w:color w:val="950000"/>
          <w:spacing w:val="-2"/>
        </w:rPr>
        <w:t>agricoles</w:t>
      </w:r>
    </w:p>
    <w:p>
      <w:pPr>
        <w:pStyle w:val="Heading8"/>
        <w:spacing w:before="94"/>
      </w:pPr>
      <w:r>
        <w:rPr/>
        <w:t>Art.</w:t>
      </w:r>
      <w:r>
        <w:rPr>
          <w:spacing w:val="-1"/>
        </w:rPr>
        <w:t> </w:t>
      </w:r>
      <w:r>
        <w:rPr/>
        <w:t>50, al.</w:t>
      </w:r>
      <w:r>
        <w:rPr>
          <w:spacing w:val="-3"/>
        </w:rPr>
        <w:t> </w:t>
      </w:r>
      <w:r>
        <w:rPr/>
        <w:t>1</w:t>
      </w:r>
      <w:r>
        <w:rPr>
          <w:spacing w:val="1"/>
        </w:rPr>
        <w:t> </w:t>
      </w:r>
      <w:r>
        <w:rPr>
          <w:spacing w:val="-2"/>
        </w:rPr>
        <w:t>LCdir</w:t>
      </w:r>
    </w:p>
    <w:p>
      <w:pPr>
        <w:pStyle w:val="BodyText"/>
        <w:spacing w:before="55"/>
        <w:ind w:left="1134"/>
      </w:pPr>
      <w:r>
        <w:rPr>
          <w:position w:val="6"/>
          <w:sz w:val="12"/>
        </w:rPr>
        <w:t>1</w:t>
      </w:r>
      <w:r>
        <w:rPr>
          <w:spacing w:val="14"/>
          <w:position w:val="6"/>
          <w:sz w:val="12"/>
        </w:rPr>
        <w:t> </w:t>
      </w:r>
      <w:r>
        <w:rPr/>
        <w:t>La</w:t>
      </w:r>
      <w:r>
        <w:rPr>
          <w:spacing w:val="-4"/>
        </w:rPr>
        <w:t> </w:t>
      </w:r>
      <w:r>
        <w:rPr/>
        <w:t>valeur</w:t>
      </w:r>
      <w:r>
        <w:rPr>
          <w:spacing w:val="-3"/>
        </w:rPr>
        <w:t> </w:t>
      </w:r>
      <w:r>
        <w:rPr/>
        <w:t>des</w:t>
      </w:r>
      <w:r>
        <w:rPr>
          <w:spacing w:val="-3"/>
        </w:rPr>
        <w:t> </w:t>
      </w:r>
      <w:r>
        <w:rPr/>
        <w:t>immeubles</w:t>
      </w:r>
      <w:r>
        <w:rPr>
          <w:spacing w:val="-1"/>
        </w:rPr>
        <w:t> </w:t>
      </w:r>
      <w:r>
        <w:rPr/>
        <w:t>correspond</w:t>
      </w:r>
      <w:r>
        <w:rPr>
          <w:spacing w:val="-2"/>
        </w:rPr>
        <w:t> </w:t>
      </w:r>
      <w:r>
        <w:rPr/>
        <w:t>à</w:t>
      </w:r>
      <w:r>
        <w:rPr>
          <w:spacing w:val="-4"/>
        </w:rPr>
        <w:t> </w:t>
      </w:r>
      <w:r>
        <w:rPr/>
        <w:t>l'estimation</w:t>
      </w:r>
      <w:r>
        <w:rPr>
          <w:spacing w:val="-1"/>
        </w:rPr>
        <w:t> </w:t>
      </w:r>
      <w:r>
        <w:rPr>
          <w:spacing w:val="-2"/>
        </w:rPr>
        <w:t>cadastrale.</w:t>
      </w:r>
    </w:p>
    <w:p>
      <w:pPr>
        <w:pStyle w:val="Heading8"/>
        <w:spacing w:before="93"/>
      </w:pPr>
      <w:r>
        <w:rPr/>
        <w:t>Art.</w:t>
      </w:r>
      <w:r>
        <w:rPr>
          <w:spacing w:val="-3"/>
        </w:rPr>
        <w:t> </w:t>
      </w:r>
      <w:r>
        <w:rPr/>
        <w:t>113,</w:t>
      </w:r>
      <w:r>
        <w:rPr>
          <w:spacing w:val="-1"/>
        </w:rPr>
        <w:t> </w:t>
      </w:r>
      <w:r>
        <w:rPr/>
        <w:t>al. 2,</w:t>
      </w:r>
      <w:r>
        <w:rPr>
          <w:spacing w:val="-3"/>
        </w:rPr>
        <w:t> </w:t>
      </w:r>
      <w:r>
        <w:rPr/>
        <w:t>let.</w:t>
      </w:r>
      <w:r>
        <w:rPr>
          <w:spacing w:val="-2"/>
        </w:rPr>
        <w:t> </w:t>
      </w:r>
      <w:r>
        <w:rPr/>
        <w:t>b et</w:t>
      </w:r>
      <w:r>
        <w:rPr>
          <w:spacing w:val="-1"/>
        </w:rPr>
        <w:t> </w:t>
      </w:r>
      <w:r>
        <w:rPr/>
        <w:t>c</w:t>
      </w:r>
      <w:r>
        <w:rPr>
          <w:spacing w:val="-2"/>
        </w:rPr>
        <w:t> </w:t>
      </w:r>
      <w:r>
        <w:rPr>
          <w:spacing w:val="-4"/>
        </w:rPr>
        <w:t>LCdir</w:t>
      </w:r>
    </w:p>
    <w:p>
      <w:pPr>
        <w:pStyle w:val="BodyText"/>
        <w:spacing w:before="56"/>
        <w:ind w:left="1134"/>
      </w:pPr>
      <w:r>
        <w:rPr>
          <w:position w:val="6"/>
          <w:sz w:val="12"/>
        </w:rPr>
        <w:t>2</w:t>
      </w:r>
      <w:r>
        <w:rPr>
          <w:spacing w:val="13"/>
          <w:position w:val="6"/>
          <w:sz w:val="12"/>
        </w:rPr>
        <w:t> </w:t>
      </w:r>
      <w:r>
        <w:rPr/>
        <w:t>L'estimation</w:t>
      </w:r>
      <w:r>
        <w:rPr>
          <w:spacing w:val="-5"/>
        </w:rPr>
        <w:t> </w:t>
      </w:r>
      <w:r>
        <w:rPr/>
        <w:t>cadastrale</w:t>
      </w:r>
      <w:r>
        <w:rPr>
          <w:spacing w:val="-2"/>
        </w:rPr>
        <w:t> </w:t>
      </w:r>
      <w:r>
        <w:rPr/>
        <w:t>correspond</w:t>
      </w:r>
      <w:r>
        <w:rPr>
          <w:spacing w:val="-2"/>
        </w:rPr>
        <w:t> </w:t>
      </w:r>
      <w:r>
        <w:rPr/>
        <w:t>en</w:t>
      </w:r>
      <w:r>
        <w:rPr>
          <w:spacing w:val="-5"/>
        </w:rPr>
        <w:t> </w:t>
      </w:r>
      <w:r>
        <w:rPr/>
        <w:t>règle</w:t>
      </w:r>
      <w:r>
        <w:rPr>
          <w:spacing w:val="-2"/>
        </w:rPr>
        <w:t> générale:</w:t>
      </w:r>
    </w:p>
    <w:p>
      <w:pPr>
        <w:pStyle w:val="ListParagraph"/>
        <w:numPr>
          <w:ilvl w:val="0"/>
          <w:numId w:val="11"/>
        </w:numPr>
        <w:tabs>
          <w:tab w:pos="1559" w:val="left" w:leader="none"/>
        </w:tabs>
        <w:spacing w:line="240" w:lineRule="auto" w:before="40" w:after="0"/>
        <w:ind w:left="1559" w:right="0" w:hanging="425"/>
        <w:jc w:val="left"/>
        <w:rPr>
          <w:sz w:val="18"/>
        </w:rPr>
      </w:pPr>
      <w:r>
        <w:rPr>
          <w:sz w:val="18"/>
        </w:rPr>
        <w:t>à</w:t>
      </w:r>
      <w:r>
        <w:rPr>
          <w:spacing w:val="-1"/>
          <w:sz w:val="18"/>
        </w:rPr>
        <w:t> </w:t>
      </w:r>
      <w:r>
        <w:rPr>
          <w:sz w:val="18"/>
        </w:rPr>
        <w:t>la</w:t>
      </w:r>
      <w:r>
        <w:rPr>
          <w:spacing w:val="-3"/>
          <w:sz w:val="18"/>
        </w:rPr>
        <w:t> </w:t>
      </w:r>
      <w:r>
        <w:rPr>
          <w:sz w:val="18"/>
        </w:rPr>
        <w:t>valeur</w:t>
      </w:r>
      <w:r>
        <w:rPr>
          <w:spacing w:val="-2"/>
          <w:sz w:val="18"/>
        </w:rPr>
        <w:t> </w:t>
      </w:r>
      <w:r>
        <w:rPr>
          <w:sz w:val="18"/>
        </w:rPr>
        <w:t>intrinsèque,</w:t>
      </w:r>
      <w:r>
        <w:rPr>
          <w:spacing w:val="-3"/>
          <w:sz w:val="18"/>
        </w:rPr>
        <w:t> </w:t>
      </w:r>
      <w:r>
        <w:rPr>
          <w:sz w:val="18"/>
        </w:rPr>
        <w:t>s'il</w:t>
      </w:r>
      <w:r>
        <w:rPr>
          <w:spacing w:val="-4"/>
          <w:sz w:val="18"/>
        </w:rPr>
        <w:t> </w:t>
      </w:r>
      <w:r>
        <w:rPr>
          <w:sz w:val="18"/>
        </w:rPr>
        <w:t>s'agit</w:t>
      </w:r>
      <w:r>
        <w:rPr>
          <w:spacing w:val="-1"/>
          <w:sz w:val="18"/>
        </w:rPr>
        <w:t> </w:t>
      </w:r>
      <w:r>
        <w:rPr>
          <w:sz w:val="18"/>
        </w:rPr>
        <w:t>de</w:t>
      </w:r>
      <w:r>
        <w:rPr>
          <w:spacing w:val="-4"/>
          <w:sz w:val="18"/>
        </w:rPr>
        <w:t> </w:t>
      </w:r>
      <w:r>
        <w:rPr>
          <w:sz w:val="18"/>
        </w:rPr>
        <w:t>terrains</w:t>
      </w:r>
      <w:r>
        <w:rPr>
          <w:spacing w:val="-2"/>
          <w:sz w:val="18"/>
        </w:rPr>
        <w:t> </w:t>
      </w:r>
      <w:r>
        <w:rPr>
          <w:sz w:val="18"/>
        </w:rPr>
        <w:t>à </w:t>
      </w:r>
      <w:r>
        <w:rPr>
          <w:spacing w:val="-2"/>
          <w:sz w:val="18"/>
        </w:rPr>
        <w:t>bâtir;</w:t>
      </w:r>
    </w:p>
    <w:p>
      <w:pPr>
        <w:pStyle w:val="ListParagraph"/>
        <w:numPr>
          <w:ilvl w:val="0"/>
          <w:numId w:val="11"/>
        </w:numPr>
        <w:tabs>
          <w:tab w:pos="1559" w:val="left" w:leader="none"/>
        </w:tabs>
        <w:spacing w:line="240" w:lineRule="auto" w:before="40" w:after="0"/>
        <w:ind w:left="1559" w:right="706" w:hanging="425"/>
        <w:jc w:val="left"/>
        <w:rPr>
          <w:sz w:val="18"/>
        </w:rPr>
      </w:pPr>
      <w:r>
        <w:rPr>
          <w:sz w:val="18"/>
        </w:rPr>
        <w:t>à</w:t>
      </w:r>
      <w:r>
        <w:rPr>
          <w:spacing w:val="-9"/>
          <w:sz w:val="18"/>
        </w:rPr>
        <w:t> </w:t>
      </w:r>
      <w:r>
        <w:rPr>
          <w:sz w:val="18"/>
        </w:rPr>
        <w:t>un</w:t>
      </w:r>
      <w:r>
        <w:rPr>
          <w:spacing w:val="-11"/>
          <w:sz w:val="18"/>
        </w:rPr>
        <w:t> </w:t>
      </w:r>
      <w:r>
        <w:rPr>
          <w:sz w:val="18"/>
        </w:rPr>
        <w:t>montant</w:t>
      </w:r>
      <w:r>
        <w:rPr>
          <w:spacing w:val="-11"/>
          <w:sz w:val="18"/>
        </w:rPr>
        <w:t> </w:t>
      </w:r>
      <w:r>
        <w:rPr>
          <w:sz w:val="18"/>
        </w:rPr>
        <w:t>se</w:t>
      </w:r>
      <w:r>
        <w:rPr>
          <w:spacing w:val="-9"/>
          <w:sz w:val="18"/>
        </w:rPr>
        <w:t> </w:t>
      </w:r>
      <w:r>
        <w:rPr>
          <w:sz w:val="18"/>
        </w:rPr>
        <w:t>situant</w:t>
      </w:r>
      <w:r>
        <w:rPr>
          <w:spacing w:val="-9"/>
          <w:sz w:val="18"/>
        </w:rPr>
        <w:t> </w:t>
      </w:r>
      <w:r>
        <w:rPr>
          <w:sz w:val="18"/>
        </w:rPr>
        <w:t>entre</w:t>
      </w:r>
      <w:r>
        <w:rPr>
          <w:spacing w:val="-11"/>
          <w:sz w:val="18"/>
        </w:rPr>
        <w:t> </w:t>
      </w:r>
      <w:r>
        <w:rPr>
          <w:sz w:val="18"/>
        </w:rPr>
        <w:t>la</w:t>
      </w:r>
      <w:r>
        <w:rPr>
          <w:spacing w:val="-9"/>
          <w:sz w:val="18"/>
        </w:rPr>
        <w:t> </w:t>
      </w:r>
      <w:r>
        <w:rPr>
          <w:sz w:val="18"/>
        </w:rPr>
        <w:t>valeur</w:t>
      </w:r>
      <w:r>
        <w:rPr>
          <w:spacing w:val="-9"/>
          <w:sz w:val="18"/>
        </w:rPr>
        <w:t> </w:t>
      </w:r>
      <w:r>
        <w:rPr>
          <w:sz w:val="18"/>
        </w:rPr>
        <w:t>de</w:t>
      </w:r>
      <w:r>
        <w:rPr>
          <w:spacing w:val="-9"/>
          <w:sz w:val="18"/>
        </w:rPr>
        <w:t> </w:t>
      </w:r>
      <w:r>
        <w:rPr>
          <w:sz w:val="18"/>
        </w:rPr>
        <w:t>rendement</w:t>
      </w:r>
      <w:r>
        <w:rPr>
          <w:spacing w:val="-11"/>
          <w:sz w:val="18"/>
        </w:rPr>
        <w:t> </w:t>
      </w:r>
      <w:r>
        <w:rPr>
          <w:sz w:val="18"/>
        </w:rPr>
        <w:t>et</w:t>
      </w:r>
      <w:r>
        <w:rPr>
          <w:spacing w:val="-9"/>
          <w:sz w:val="18"/>
        </w:rPr>
        <w:t> </w:t>
      </w:r>
      <w:r>
        <w:rPr>
          <w:sz w:val="18"/>
        </w:rPr>
        <w:t>la</w:t>
      </w:r>
      <w:r>
        <w:rPr>
          <w:spacing w:val="-11"/>
          <w:sz w:val="18"/>
        </w:rPr>
        <w:t> </w:t>
      </w:r>
      <w:r>
        <w:rPr>
          <w:sz w:val="18"/>
        </w:rPr>
        <w:t>valeur</w:t>
      </w:r>
      <w:r>
        <w:rPr>
          <w:spacing w:val="-9"/>
          <w:sz w:val="18"/>
        </w:rPr>
        <w:t> </w:t>
      </w:r>
      <w:r>
        <w:rPr>
          <w:sz w:val="18"/>
        </w:rPr>
        <w:t>intrinsèque,</w:t>
      </w:r>
      <w:r>
        <w:rPr>
          <w:spacing w:val="-9"/>
          <w:sz w:val="18"/>
        </w:rPr>
        <w:t> </w:t>
      </w:r>
      <w:r>
        <w:rPr>
          <w:sz w:val="18"/>
        </w:rPr>
        <w:t>s'il</w:t>
      </w:r>
      <w:r>
        <w:rPr>
          <w:spacing w:val="-8"/>
          <w:sz w:val="18"/>
        </w:rPr>
        <w:t> </w:t>
      </w:r>
      <w:r>
        <w:rPr>
          <w:sz w:val="18"/>
        </w:rPr>
        <w:t>s'agit</w:t>
      </w:r>
      <w:r>
        <w:rPr>
          <w:spacing w:val="-11"/>
          <w:sz w:val="18"/>
        </w:rPr>
        <w:t> </w:t>
      </w:r>
      <w:r>
        <w:rPr>
          <w:sz w:val="18"/>
        </w:rPr>
        <w:t>d'immeubles d'une autre nature.</w:t>
      </w:r>
    </w:p>
    <w:p>
      <w:pPr>
        <w:pStyle w:val="BodyText"/>
        <w:spacing w:before="154"/>
      </w:pPr>
    </w:p>
    <w:p>
      <w:pPr>
        <w:pStyle w:val="Heading3"/>
      </w:pPr>
      <w:bookmarkStart w:name="Détermination de la fortune imposable" w:id="31"/>
      <w:bookmarkEnd w:id="31"/>
      <w:r>
        <w:rPr>
          <w:b w:val="0"/>
        </w:rPr>
      </w:r>
      <w:bookmarkStart w:name="_bookmark12" w:id="32"/>
      <w:bookmarkEnd w:id="32"/>
      <w:r>
        <w:rPr>
          <w:b w:val="0"/>
        </w:rPr>
      </w:r>
      <w:r>
        <w:rPr>
          <w:color w:val="2D73B4"/>
        </w:rPr>
        <w:t>Détermination</w:t>
      </w:r>
      <w:r>
        <w:rPr>
          <w:color w:val="2D73B4"/>
          <w:spacing w:val="-8"/>
        </w:rPr>
        <w:t> </w:t>
      </w:r>
      <w:r>
        <w:rPr>
          <w:color w:val="2D73B4"/>
        </w:rPr>
        <w:t>de</w:t>
      </w:r>
      <w:r>
        <w:rPr>
          <w:color w:val="2D73B4"/>
          <w:spacing w:val="-10"/>
        </w:rPr>
        <w:t> </w:t>
      </w:r>
      <w:r>
        <w:rPr>
          <w:color w:val="2D73B4"/>
        </w:rPr>
        <w:t>la</w:t>
      </w:r>
      <w:r>
        <w:rPr>
          <w:color w:val="2D73B4"/>
          <w:spacing w:val="-8"/>
        </w:rPr>
        <w:t> </w:t>
      </w:r>
      <w:r>
        <w:rPr>
          <w:color w:val="2D73B4"/>
        </w:rPr>
        <w:t>fortune</w:t>
      </w:r>
      <w:r>
        <w:rPr>
          <w:color w:val="2D73B4"/>
          <w:spacing w:val="-10"/>
        </w:rPr>
        <w:t> </w:t>
      </w:r>
      <w:r>
        <w:rPr>
          <w:color w:val="2D73B4"/>
          <w:spacing w:val="-2"/>
        </w:rPr>
        <w:t>imposable</w:t>
      </w:r>
    </w:p>
    <w:p>
      <w:pPr>
        <w:pStyle w:val="BodyText"/>
        <w:spacing w:before="59"/>
        <w:ind w:left="851"/>
      </w:pPr>
      <w:r>
        <w:rPr/>
        <w:t>(Art. 52</w:t>
      </w:r>
      <w:r>
        <w:rPr>
          <w:spacing w:val="-2"/>
        </w:rPr>
        <w:t> </w:t>
      </w:r>
      <w:r>
        <w:rPr/>
        <w:t>et 53</w:t>
      </w:r>
      <w:r>
        <w:rPr>
          <w:spacing w:val="-2"/>
        </w:rPr>
        <w:t> LCdir)</w:t>
      </w:r>
    </w:p>
    <w:p>
      <w:pPr>
        <w:pStyle w:val="Heading7"/>
        <w:spacing w:before="120"/>
        <w:ind w:left="851"/>
      </w:pPr>
      <w:r>
        <w:rPr/>
        <w:t>La</w:t>
      </w:r>
      <w:r>
        <w:rPr>
          <w:spacing w:val="-13"/>
        </w:rPr>
        <w:t> </w:t>
      </w:r>
      <w:r>
        <w:rPr/>
        <w:t>fortune</w:t>
      </w:r>
      <w:r>
        <w:rPr>
          <w:spacing w:val="-10"/>
        </w:rPr>
        <w:t> </w:t>
      </w:r>
      <w:r>
        <w:rPr/>
        <w:t>nette</w:t>
      </w:r>
      <w:r>
        <w:rPr>
          <w:spacing w:val="-13"/>
        </w:rPr>
        <w:t> </w:t>
      </w:r>
      <w:r>
        <w:rPr/>
        <w:t>résulte</w:t>
      </w:r>
      <w:r>
        <w:rPr>
          <w:spacing w:val="-13"/>
        </w:rPr>
        <w:t> </w:t>
      </w:r>
      <w:r>
        <w:rPr/>
        <w:t>de</w:t>
      </w:r>
      <w:r>
        <w:rPr>
          <w:spacing w:val="-13"/>
        </w:rPr>
        <w:t> </w:t>
      </w:r>
      <w:r>
        <w:rPr/>
        <w:t>la</w:t>
      </w:r>
      <w:r>
        <w:rPr>
          <w:spacing w:val="-13"/>
        </w:rPr>
        <w:t> </w:t>
      </w:r>
      <w:r>
        <w:rPr/>
        <w:t>fortune</w:t>
      </w:r>
      <w:r>
        <w:rPr>
          <w:spacing w:val="-10"/>
        </w:rPr>
        <w:t> </w:t>
      </w:r>
      <w:r>
        <w:rPr/>
        <w:t>brute</w:t>
      </w:r>
      <w:r>
        <w:rPr>
          <w:spacing w:val="-10"/>
        </w:rPr>
        <w:t> </w:t>
      </w:r>
      <w:r>
        <w:rPr/>
        <w:t>dont</w:t>
      </w:r>
      <w:r>
        <w:rPr>
          <w:spacing w:val="-10"/>
        </w:rPr>
        <w:t> </w:t>
      </w:r>
      <w:r>
        <w:rPr/>
        <w:t>les</w:t>
      </w:r>
      <w:r>
        <w:rPr>
          <w:spacing w:val="-11"/>
        </w:rPr>
        <w:t> </w:t>
      </w:r>
      <w:r>
        <w:rPr/>
        <w:t>dettes</w:t>
      </w:r>
      <w:r>
        <w:rPr>
          <w:spacing w:val="-11"/>
        </w:rPr>
        <w:t> </w:t>
      </w:r>
      <w:r>
        <w:rPr/>
        <w:t>ont</w:t>
      </w:r>
      <w:r>
        <w:rPr>
          <w:spacing w:val="-10"/>
        </w:rPr>
        <w:t> </w:t>
      </w:r>
      <w:r>
        <w:rPr/>
        <w:t>été</w:t>
      </w:r>
      <w:r>
        <w:rPr>
          <w:spacing w:val="-10"/>
        </w:rPr>
        <w:t> </w:t>
      </w:r>
      <w:r>
        <w:rPr/>
        <w:t>défalquées.</w:t>
      </w:r>
      <w:r>
        <w:rPr>
          <w:spacing w:val="-12"/>
        </w:rPr>
        <w:t> </w:t>
      </w:r>
      <w:r>
        <w:rPr/>
        <w:t>Pour</w:t>
      </w:r>
      <w:r>
        <w:rPr>
          <w:spacing w:val="-9"/>
        </w:rPr>
        <w:t> </w:t>
      </w:r>
      <w:r>
        <w:rPr/>
        <w:t>déterminer</w:t>
      </w:r>
      <w:r>
        <w:rPr>
          <w:spacing w:val="-12"/>
        </w:rPr>
        <w:t> </w:t>
      </w:r>
      <w:r>
        <w:rPr/>
        <w:t>la</w:t>
      </w:r>
      <w:r>
        <w:rPr>
          <w:spacing w:val="-13"/>
        </w:rPr>
        <w:t> </w:t>
      </w:r>
      <w:r>
        <w:rPr/>
        <w:t>fortune </w:t>
      </w:r>
      <w:bookmarkStart w:name="_bookmark13" w:id="33"/>
      <w:bookmarkEnd w:id="33"/>
      <w:r>
        <w:rPr/>
        <w:t>i</w:t>
      </w:r>
      <w:r>
        <w:rPr/>
        <w:t>mposable il faut encore en déduire les déductions sociales. A cela s’ajoute un minimum imposable.</w:t>
      </w:r>
    </w:p>
    <w:p>
      <w:pPr>
        <w:pStyle w:val="BodyText"/>
        <w:spacing w:before="10"/>
        <w:rPr>
          <w:sz w:val="20"/>
        </w:rPr>
      </w:pPr>
    </w:p>
    <w:p>
      <w:pPr>
        <w:pStyle w:val="Heading3"/>
        <w:tabs>
          <w:tab w:pos="851" w:val="left" w:leader="none"/>
        </w:tabs>
        <w:spacing w:line="486" w:lineRule="exact" w:before="1"/>
        <w:ind w:left="214"/>
      </w:pPr>
      <w:r>
        <w:rPr>
          <w:b w:val="0"/>
          <w:position w:val="-12"/>
        </w:rPr>
        <w:drawing>
          <wp:inline distT="0" distB="0" distL="0" distR="0">
            <wp:extent cx="259079" cy="313647"/>
            <wp:effectExtent l="0" t="0" r="0" b="0"/>
            <wp:docPr id="59" name="Image 59" descr="Simulateur fiscal cantonal">
              <a:hlinkClick r:id="rId61"/>
            </wp:docPr>
            <wp:cNvGraphicFramePr>
              <a:graphicFrameLocks/>
            </wp:cNvGraphicFramePr>
            <a:graphic>
              <a:graphicData uri="http://schemas.openxmlformats.org/drawingml/2006/picture">
                <pic:pic>
                  <pic:nvPicPr>
                    <pic:cNvPr id="59" name="Image 59" descr="Simulateur fiscal cantonal">
                      <a:hlinkClick r:id="rId61"/>
                    </pic:cNvPr>
                    <pic:cNvPicPr/>
                  </pic:nvPicPr>
                  <pic:blipFill>
                    <a:blip r:embed="rId12" cstate="print"/>
                    <a:stretch>
                      <a:fillRect/>
                    </a:stretch>
                  </pic:blipFill>
                  <pic:spPr>
                    <a:xfrm>
                      <a:off x="0" y="0"/>
                      <a:ext cx="259079" cy="313647"/>
                    </a:xfrm>
                    <a:prstGeom prst="rect">
                      <a:avLst/>
                    </a:prstGeom>
                  </pic:spPr>
                </pic:pic>
              </a:graphicData>
            </a:graphic>
          </wp:inline>
        </w:drawing>
      </w:r>
      <w:r>
        <w:rPr>
          <w:b w:val="0"/>
          <w:position w:val="-12"/>
        </w:rPr>
      </w:r>
      <w:r>
        <w:rPr>
          <w:rFonts w:ascii="Times New Roman" w:hAnsi="Times New Roman"/>
          <w:b w:val="0"/>
          <w:sz w:val="20"/>
        </w:rPr>
        <w:tab/>
      </w:r>
      <w:bookmarkStart w:name="Calcul de l’impôt" w:id="34"/>
      <w:bookmarkEnd w:id="34"/>
      <w:r>
        <w:rPr>
          <w:rFonts w:ascii="Times New Roman" w:hAnsi="Times New Roman"/>
          <w:b w:val="0"/>
          <w:sz w:val="2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line="199" w:lineRule="exact"/>
        <w:ind w:left="851"/>
      </w:pPr>
      <w:r>
        <w:rPr/>
        <w:t>(Art. 53</w:t>
      </w:r>
      <w:r>
        <w:rPr>
          <w:spacing w:val="-2"/>
        </w:rPr>
        <w:t> </w:t>
      </w:r>
      <w:r>
        <w:rPr/>
        <w:t>à</w:t>
      </w:r>
      <w:r>
        <w:rPr>
          <w:spacing w:val="1"/>
        </w:rPr>
        <w:t> </w:t>
      </w:r>
      <w:r>
        <w:rPr/>
        <w:t>55</w:t>
      </w:r>
      <w:r>
        <w:rPr>
          <w:spacing w:val="-2"/>
        </w:rPr>
        <w:t> LCdir)</w:t>
      </w:r>
    </w:p>
    <w:p>
      <w:pPr>
        <w:pStyle w:val="BodyText"/>
        <w:spacing w:before="152"/>
      </w:pPr>
    </w:p>
    <w:p>
      <w:pPr>
        <w:pStyle w:val="Heading7"/>
      </w:pPr>
      <w:r>
        <w:rPr>
          <w:color w:val="950000"/>
        </w:rPr>
        <w:t>Catégories</w:t>
      </w:r>
      <w:r>
        <w:rPr>
          <w:color w:val="950000"/>
          <w:spacing w:val="-7"/>
        </w:rPr>
        <w:t> </w:t>
      </w:r>
      <w:r>
        <w:rPr>
          <w:color w:val="950000"/>
        </w:rPr>
        <w:t>et</w:t>
      </w:r>
      <w:r>
        <w:rPr>
          <w:color w:val="950000"/>
          <w:spacing w:val="-10"/>
        </w:rPr>
        <w:t> </w:t>
      </w:r>
      <w:r>
        <w:rPr>
          <w:color w:val="950000"/>
          <w:spacing w:val="-4"/>
        </w:rPr>
        <w:t>taux</w:t>
      </w:r>
    </w:p>
    <w:p>
      <w:pPr>
        <w:pStyle w:val="Heading8"/>
        <w:spacing w:before="94"/>
      </w:pPr>
      <w:r>
        <w:rPr/>
        <w:t>Art.</w:t>
      </w:r>
      <w:r>
        <w:rPr>
          <w:spacing w:val="-1"/>
        </w:rPr>
        <w:t> </w:t>
      </w:r>
      <w:r>
        <w:rPr/>
        <w:t>53 </w:t>
      </w:r>
      <w:r>
        <w:rPr>
          <w:spacing w:val="-2"/>
        </w:rPr>
        <w:t>LCdir</w:t>
      </w:r>
    </w:p>
    <w:p>
      <w:pPr>
        <w:pStyle w:val="BodyText"/>
        <w:spacing w:before="56" w:after="47"/>
        <w:ind w:left="1134" w:right="700"/>
      </w:pPr>
      <w:r>
        <w:rPr>
          <w:position w:val="6"/>
          <w:sz w:val="12"/>
        </w:rPr>
        <w:t>1</w:t>
      </w:r>
      <w:r>
        <w:rPr>
          <w:spacing w:val="34"/>
          <w:position w:val="6"/>
          <w:sz w:val="12"/>
        </w:rPr>
        <w:t> </w:t>
      </w:r>
      <w:r>
        <w:rPr/>
        <w:t>L'impôt de base sur la fortune est déterminé d'après le système progressif par catégories, selon le</w:t>
      </w:r>
      <w:r>
        <w:rPr>
          <w:spacing w:val="40"/>
        </w:rPr>
        <w:t> </w:t>
      </w:r>
      <w:hyperlink r:id="rId62">
        <w:r>
          <w:rPr>
            <w:color w:val="0462C0"/>
            <w:u w:val="single" w:color="0462C0"/>
          </w:rPr>
          <w:t>barème</w:t>
        </w:r>
      </w:hyperlink>
      <w:r>
        <w:rPr>
          <w:color w:val="0462C0"/>
        </w:rPr>
        <w:t> </w:t>
      </w:r>
      <w:r>
        <w:rPr/>
        <w:t>suivant :</w:t>
      </w:r>
    </w:p>
    <w:tbl>
      <w:tblPr>
        <w:tblW w:w="0" w:type="auto"/>
        <w:jc w:val="left"/>
        <w:tblInd w:w="1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
        <w:gridCol w:w="993"/>
        <w:gridCol w:w="1559"/>
        <w:gridCol w:w="1055"/>
        <w:gridCol w:w="1269"/>
        <w:gridCol w:w="1311"/>
      </w:tblGrid>
      <w:tr>
        <w:trPr>
          <w:trHeight w:val="1207" w:hRule="atLeast"/>
        </w:trPr>
        <w:tc>
          <w:tcPr>
            <w:tcW w:w="2084" w:type="dxa"/>
            <w:gridSpan w:val="2"/>
          </w:tcPr>
          <w:p>
            <w:pPr>
              <w:pStyle w:val="TableParagraph"/>
              <w:spacing w:line="240" w:lineRule="auto" w:before="223"/>
              <w:jc w:val="left"/>
              <w:rPr>
                <w:sz w:val="20"/>
              </w:rPr>
            </w:pPr>
          </w:p>
          <w:p>
            <w:pPr>
              <w:pStyle w:val="TableParagraph"/>
              <w:spacing w:line="240" w:lineRule="auto"/>
              <w:ind w:left="870"/>
              <w:jc w:val="left"/>
              <w:rPr>
                <w:rFonts w:ascii="Arial" w:hAnsi="Arial"/>
                <w:i/>
                <w:sz w:val="20"/>
              </w:rPr>
            </w:pPr>
            <w:r>
              <w:rPr>
                <w:rFonts w:ascii="Arial" w:hAnsi="Arial"/>
                <w:i/>
                <w:spacing w:val="-2"/>
                <w:sz w:val="20"/>
              </w:rPr>
              <w:t>Catégories</w:t>
            </w:r>
          </w:p>
        </w:tc>
        <w:tc>
          <w:tcPr>
            <w:tcW w:w="2614" w:type="dxa"/>
            <w:gridSpan w:val="2"/>
          </w:tcPr>
          <w:p>
            <w:pPr>
              <w:pStyle w:val="TableParagraph"/>
              <w:spacing w:line="240" w:lineRule="auto"/>
              <w:ind w:left="1258" w:right="195" w:firstLine="436"/>
              <w:rPr>
                <w:rFonts w:ascii="Arial" w:hAnsi="Arial"/>
                <w:i/>
                <w:sz w:val="20"/>
              </w:rPr>
            </w:pPr>
            <w:r>
              <w:rPr>
                <w:rFonts w:ascii="Arial" w:hAnsi="Arial"/>
                <w:i/>
                <w:sz w:val="20"/>
              </w:rPr>
              <w:t>Taux</w:t>
            </w:r>
            <w:r>
              <w:rPr>
                <w:rFonts w:ascii="Arial" w:hAnsi="Arial"/>
                <w:i/>
                <w:spacing w:val="-14"/>
                <w:sz w:val="20"/>
              </w:rPr>
              <w:t> </w:t>
            </w:r>
            <w:r>
              <w:rPr>
                <w:rFonts w:ascii="Arial" w:hAnsi="Arial"/>
                <w:i/>
                <w:sz w:val="20"/>
              </w:rPr>
              <w:t>de chaque</w:t>
            </w:r>
            <w:r>
              <w:rPr>
                <w:rFonts w:ascii="Arial" w:hAnsi="Arial"/>
                <w:i/>
                <w:spacing w:val="-9"/>
                <w:sz w:val="20"/>
              </w:rPr>
              <w:t> </w:t>
            </w:r>
            <w:r>
              <w:rPr>
                <w:rFonts w:ascii="Arial" w:hAnsi="Arial"/>
                <w:i/>
                <w:spacing w:val="-2"/>
                <w:sz w:val="20"/>
              </w:rPr>
              <w:t>caté-</w:t>
            </w:r>
          </w:p>
          <w:p>
            <w:pPr>
              <w:pStyle w:val="TableParagraph"/>
              <w:spacing w:line="240" w:lineRule="auto"/>
              <w:ind w:right="198"/>
              <w:rPr>
                <w:rFonts w:ascii="Arial"/>
                <w:i/>
                <w:sz w:val="20"/>
              </w:rPr>
            </w:pPr>
            <w:r>
              <w:rPr>
                <w:rFonts w:ascii="Arial"/>
                <w:i/>
                <w:spacing w:val="-2"/>
                <w:sz w:val="20"/>
              </w:rPr>
              <w:t>gorie</w:t>
            </w:r>
          </w:p>
        </w:tc>
        <w:tc>
          <w:tcPr>
            <w:tcW w:w="1269" w:type="dxa"/>
          </w:tcPr>
          <w:p>
            <w:pPr>
              <w:pStyle w:val="TableParagraph"/>
              <w:spacing w:line="240" w:lineRule="auto"/>
              <w:ind w:left="197" w:right="101" w:firstLine="192"/>
              <w:rPr>
                <w:rFonts w:ascii="Arial" w:hAnsi="Arial"/>
                <w:i/>
                <w:sz w:val="20"/>
              </w:rPr>
            </w:pPr>
            <w:r>
              <w:rPr>
                <w:rFonts w:ascii="Arial" w:hAnsi="Arial"/>
                <w:i/>
                <w:sz w:val="20"/>
              </w:rPr>
              <w:t>Impôt</w:t>
            </w:r>
            <w:r>
              <w:rPr>
                <w:rFonts w:ascii="Arial" w:hAnsi="Arial"/>
                <w:i/>
                <w:spacing w:val="-14"/>
                <w:sz w:val="20"/>
              </w:rPr>
              <w:t> </w:t>
            </w:r>
            <w:r>
              <w:rPr>
                <w:rFonts w:ascii="Arial" w:hAnsi="Arial"/>
                <w:i/>
                <w:sz w:val="20"/>
              </w:rPr>
              <w:t>dû pour</w:t>
            </w:r>
            <w:r>
              <w:rPr>
                <w:rFonts w:ascii="Arial" w:hAnsi="Arial"/>
                <w:i/>
                <w:spacing w:val="-14"/>
                <w:sz w:val="20"/>
              </w:rPr>
              <w:t> </w:t>
            </w:r>
            <w:r>
              <w:rPr>
                <w:rFonts w:ascii="Arial" w:hAnsi="Arial"/>
                <w:i/>
                <w:sz w:val="20"/>
              </w:rPr>
              <w:t>la</w:t>
            </w:r>
            <w:r>
              <w:rPr>
                <w:rFonts w:ascii="Arial" w:hAnsi="Arial"/>
                <w:i/>
                <w:spacing w:val="-14"/>
                <w:sz w:val="20"/>
              </w:rPr>
              <w:t> </w:t>
            </w:r>
            <w:r>
              <w:rPr>
                <w:rFonts w:ascii="Arial" w:hAnsi="Arial"/>
                <w:i/>
                <w:sz w:val="20"/>
              </w:rPr>
              <w:t>for-tune</w:t>
            </w:r>
            <w:r>
              <w:rPr>
                <w:rFonts w:ascii="Arial" w:hAnsi="Arial"/>
                <w:i/>
                <w:spacing w:val="-3"/>
                <w:sz w:val="20"/>
              </w:rPr>
              <w:t> </w:t>
            </w:r>
            <w:r>
              <w:rPr>
                <w:rFonts w:ascii="Arial" w:hAnsi="Arial"/>
                <w:i/>
                <w:sz w:val="20"/>
              </w:rPr>
              <w:t>maxi-male de la </w:t>
            </w:r>
            <w:r>
              <w:rPr>
                <w:rFonts w:ascii="Arial" w:hAnsi="Arial"/>
                <w:i/>
                <w:spacing w:val="-2"/>
                <w:sz w:val="20"/>
              </w:rPr>
              <w:t>catégorie</w:t>
            </w:r>
          </w:p>
        </w:tc>
        <w:tc>
          <w:tcPr>
            <w:tcW w:w="1311" w:type="dxa"/>
          </w:tcPr>
          <w:p>
            <w:pPr>
              <w:pStyle w:val="TableParagraph"/>
              <w:spacing w:line="240" w:lineRule="auto"/>
              <w:ind w:left="102" w:right="49" w:firstLine="48"/>
              <w:jc w:val="both"/>
              <w:rPr>
                <w:rFonts w:ascii="Arial" w:hAnsi="Arial"/>
                <w:i/>
                <w:sz w:val="20"/>
              </w:rPr>
            </w:pPr>
            <w:r>
              <w:rPr>
                <w:rFonts w:ascii="Arial" w:hAnsi="Arial"/>
                <w:i/>
                <w:sz w:val="20"/>
              </w:rPr>
              <w:t>Taux</w:t>
            </w:r>
            <w:r>
              <w:rPr>
                <w:rFonts w:ascii="Arial" w:hAnsi="Arial"/>
                <w:i/>
                <w:spacing w:val="-14"/>
                <w:sz w:val="20"/>
              </w:rPr>
              <w:t> </w:t>
            </w:r>
            <w:r>
              <w:rPr>
                <w:rFonts w:ascii="Arial" w:hAnsi="Arial"/>
                <w:i/>
                <w:sz w:val="20"/>
              </w:rPr>
              <w:t>réel</w:t>
            </w:r>
            <w:r>
              <w:rPr>
                <w:rFonts w:ascii="Arial" w:hAnsi="Arial"/>
                <w:i/>
                <w:spacing w:val="-14"/>
                <w:sz w:val="20"/>
              </w:rPr>
              <w:t> </w:t>
            </w:r>
            <w:r>
              <w:rPr>
                <w:rFonts w:ascii="Arial" w:hAnsi="Arial"/>
                <w:i/>
                <w:sz w:val="20"/>
              </w:rPr>
              <w:t>du maximum</w:t>
            </w:r>
            <w:r>
              <w:rPr>
                <w:rFonts w:ascii="Arial" w:hAnsi="Arial"/>
                <w:i/>
                <w:spacing w:val="-14"/>
                <w:sz w:val="20"/>
              </w:rPr>
              <w:t> </w:t>
            </w:r>
            <w:r>
              <w:rPr>
                <w:rFonts w:ascii="Arial" w:hAnsi="Arial"/>
                <w:i/>
                <w:sz w:val="20"/>
              </w:rPr>
              <w:t>de chaque</w:t>
            </w:r>
            <w:r>
              <w:rPr>
                <w:rFonts w:ascii="Arial" w:hAnsi="Arial"/>
                <w:i/>
                <w:spacing w:val="-9"/>
                <w:sz w:val="20"/>
              </w:rPr>
              <w:t> </w:t>
            </w:r>
            <w:r>
              <w:rPr>
                <w:rFonts w:ascii="Arial" w:hAnsi="Arial"/>
                <w:i/>
                <w:spacing w:val="-2"/>
                <w:sz w:val="20"/>
              </w:rPr>
              <w:t>caté-</w:t>
            </w:r>
          </w:p>
          <w:p>
            <w:pPr>
              <w:pStyle w:val="TableParagraph"/>
              <w:spacing w:line="240" w:lineRule="auto"/>
              <w:ind w:left="815"/>
              <w:jc w:val="left"/>
              <w:rPr>
                <w:rFonts w:ascii="Arial"/>
                <w:i/>
                <w:sz w:val="20"/>
              </w:rPr>
            </w:pPr>
            <w:r>
              <w:rPr>
                <w:rFonts w:ascii="Arial"/>
                <w:i/>
                <w:spacing w:val="-2"/>
                <w:sz w:val="20"/>
              </w:rPr>
              <w:t>gorie</w:t>
            </w:r>
          </w:p>
        </w:tc>
      </w:tr>
      <w:tr>
        <w:trPr>
          <w:trHeight w:val="326" w:hRule="atLeast"/>
        </w:trPr>
        <w:tc>
          <w:tcPr>
            <w:tcW w:w="1091" w:type="dxa"/>
          </w:tcPr>
          <w:p>
            <w:pPr>
              <w:pStyle w:val="TableParagraph"/>
              <w:spacing w:line="240" w:lineRule="auto" w:before="57"/>
              <w:ind w:right="237"/>
              <w:rPr>
                <w:rFonts w:ascii="Arial"/>
                <w:i/>
                <w:sz w:val="18"/>
              </w:rPr>
            </w:pPr>
            <w:r>
              <w:rPr>
                <w:rFonts w:ascii="Arial"/>
                <w:i/>
                <w:spacing w:val="-5"/>
                <w:sz w:val="18"/>
              </w:rPr>
              <w:t>Fr.</w:t>
            </w:r>
          </w:p>
        </w:tc>
        <w:tc>
          <w:tcPr>
            <w:tcW w:w="993" w:type="dxa"/>
          </w:tcPr>
          <w:p>
            <w:pPr>
              <w:pStyle w:val="TableParagraph"/>
              <w:spacing w:line="240" w:lineRule="auto"/>
              <w:jc w:val="left"/>
              <w:rPr>
                <w:rFonts w:ascii="Times New Roman"/>
                <w:sz w:val="18"/>
              </w:rPr>
            </w:pPr>
          </w:p>
        </w:tc>
        <w:tc>
          <w:tcPr>
            <w:tcW w:w="1559" w:type="dxa"/>
          </w:tcPr>
          <w:p>
            <w:pPr>
              <w:pStyle w:val="TableParagraph"/>
              <w:spacing w:line="240" w:lineRule="auto" w:before="57"/>
              <w:ind w:right="504"/>
              <w:rPr>
                <w:rFonts w:ascii="Arial"/>
                <w:i/>
                <w:sz w:val="18"/>
              </w:rPr>
            </w:pPr>
            <w:r>
              <w:rPr>
                <w:rFonts w:ascii="Arial"/>
                <w:i/>
                <w:spacing w:val="-5"/>
                <w:sz w:val="18"/>
              </w:rPr>
              <w:t>Fr.</w:t>
            </w:r>
          </w:p>
        </w:tc>
        <w:tc>
          <w:tcPr>
            <w:tcW w:w="1055" w:type="dxa"/>
          </w:tcPr>
          <w:p>
            <w:pPr>
              <w:pStyle w:val="TableParagraph"/>
              <w:spacing w:line="240" w:lineRule="auto" w:before="57"/>
              <w:ind w:right="196"/>
              <w:rPr>
                <w:rFonts w:ascii="Arial" w:hAnsi="Arial"/>
                <w:i/>
                <w:sz w:val="18"/>
              </w:rPr>
            </w:pPr>
            <w:r>
              <w:rPr>
                <w:rFonts w:ascii="Arial" w:hAnsi="Arial"/>
                <w:i/>
                <w:spacing w:val="-10"/>
                <w:sz w:val="18"/>
              </w:rPr>
              <w:t>‰</w:t>
            </w:r>
          </w:p>
        </w:tc>
        <w:tc>
          <w:tcPr>
            <w:tcW w:w="1269" w:type="dxa"/>
          </w:tcPr>
          <w:p>
            <w:pPr>
              <w:pStyle w:val="TableParagraph"/>
              <w:spacing w:line="240" w:lineRule="auto" w:before="57"/>
              <w:ind w:right="102"/>
              <w:rPr>
                <w:rFonts w:ascii="Arial"/>
                <w:i/>
                <w:sz w:val="18"/>
              </w:rPr>
            </w:pPr>
            <w:r>
              <w:rPr>
                <w:rFonts w:ascii="Arial"/>
                <w:i/>
                <w:spacing w:val="-5"/>
                <w:sz w:val="18"/>
              </w:rPr>
              <w:t>Fr.</w:t>
            </w:r>
          </w:p>
        </w:tc>
        <w:tc>
          <w:tcPr>
            <w:tcW w:w="1311" w:type="dxa"/>
          </w:tcPr>
          <w:p>
            <w:pPr>
              <w:pStyle w:val="TableParagraph"/>
              <w:spacing w:line="240" w:lineRule="auto" w:before="57"/>
              <w:ind w:right="49"/>
              <w:rPr>
                <w:rFonts w:ascii="Arial" w:hAnsi="Arial"/>
                <w:i/>
                <w:sz w:val="18"/>
              </w:rPr>
            </w:pPr>
            <w:r>
              <w:rPr>
                <w:rFonts w:ascii="Arial" w:hAnsi="Arial"/>
                <w:i/>
                <w:spacing w:val="-10"/>
                <w:sz w:val="18"/>
              </w:rPr>
              <w:t>‰</w:t>
            </w:r>
          </w:p>
        </w:tc>
      </w:tr>
      <w:tr>
        <w:trPr>
          <w:trHeight w:val="266" w:hRule="atLeast"/>
        </w:trPr>
        <w:tc>
          <w:tcPr>
            <w:tcW w:w="1091" w:type="dxa"/>
          </w:tcPr>
          <w:p>
            <w:pPr>
              <w:pStyle w:val="TableParagraph"/>
              <w:spacing w:line="190" w:lineRule="exact" w:before="56"/>
              <w:ind w:right="235"/>
              <w:rPr>
                <w:sz w:val="18"/>
              </w:rPr>
            </w:pPr>
            <w:r>
              <w:rPr>
                <w:sz w:val="18"/>
              </w:rPr>
              <w:t>0.–</w:t>
            </w:r>
          </w:p>
        </w:tc>
        <w:tc>
          <w:tcPr>
            <w:tcW w:w="993" w:type="dxa"/>
          </w:tcPr>
          <w:p>
            <w:pPr>
              <w:pStyle w:val="TableParagraph"/>
              <w:spacing w:line="190" w:lineRule="exact" w:before="56"/>
              <w:ind w:left="238"/>
              <w:jc w:val="left"/>
              <w:rPr>
                <w:sz w:val="18"/>
              </w:rPr>
            </w:pPr>
            <w:r>
              <w:rPr>
                <w:spacing w:val="-10"/>
                <w:sz w:val="18"/>
              </w:rPr>
              <w:t>à</w:t>
            </w:r>
          </w:p>
        </w:tc>
        <w:tc>
          <w:tcPr>
            <w:tcW w:w="1559" w:type="dxa"/>
          </w:tcPr>
          <w:p>
            <w:pPr>
              <w:pStyle w:val="TableParagraph"/>
              <w:spacing w:line="190" w:lineRule="exact" w:before="56"/>
              <w:ind w:right="502"/>
              <w:rPr>
                <w:sz w:val="18"/>
              </w:rPr>
            </w:pPr>
            <w:r>
              <w:rPr>
                <w:sz w:val="18"/>
              </w:rPr>
              <w:t>50.000.–</w:t>
            </w:r>
          </w:p>
        </w:tc>
        <w:tc>
          <w:tcPr>
            <w:tcW w:w="1055" w:type="dxa"/>
          </w:tcPr>
          <w:p>
            <w:pPr>
              <w:pStyle w:val="TableParagraph"/>
              <w:spacing w:line="190" w:lineRule="exact" w:before="56"/>
              <w:ind w:right="194"/>
              <w:rPr>
                <w:sz w:val="18"/>
              </w:rPr>
            </w:pPr>
            <w:r>
              <w:rPr>
                <w:spacing w:val="-4"/>
                <w:sz w:val="18"/>
              </w:rPr>
              <w:t>0,00</w:t>
            </w:r>
          </w:p>
        </w:tc>
        <w:tc>
          <w:tcPr>
            <w:tcW w:w="1269" w:type="dxa"/>
          </w:tcPr>
          <w:p>
            <w:pPr>
              <w:pStyle w:val="TableParagraph"/>
              <w:spacing w:line="190" w:lineRule="exact" w:before="56"/>
              <w:ind w:right="100"/>
              <w:rPr>
                <w:sz w:val="18"/>
              </w:rPr>
            </w:pPr>
            <w:r>
              <w:rPr>
                <w:sz w:val="18"/>
              </w:rPr>
              <w:t>0.–</w:t>
            </w:r>
          </w:p>
        </w:tc>
        <w:tc>
          <w:tcPr>
            <w:tcW w:w="1311" w:type="dxa"/>
          </w:tcPr>
          <w:p>
            <w:pPr>
              <w:pStyle w:val="TableParagraph"/>
              <w:spacing w:line="190" w:lineRule="exact" w:before="56"/>
              <w:ind w:right="48"/>
              <w:rPr>
                <w:sz w:val="18"/>
              </w:rPr>
            </w:pPr>
            <w:r>
              <w:rPr>
                <w:spacing w:val="-2"/>
                <w:sz w:val="18"/>
              </w:rPr>
              <w:t>0,000</w:t>
            </w:r>
          </w:p>
        </w:tc>
      </w:tr>
      <w:tr>
        <w:trPr>
          <w:trHeight w:val="206" w:hRule="atLeast"/>
        </w:trPr>
        <w:tc>
          <w:tcPr>
            <w:tcW w:w="1091" w:type="dxa"/>
          </w:tcPr>
          <w:p>
            <w:pPr>
              <w:pStyle w:val="TableParagraph"/>
              <w:ind w:right="235"/>
              <w:rPr>
                <w:sz w:val="18"/>
              </w:rPr>
            </w:pPr>
            <w:r>
              <w:rPr>
                <w:sz w:val="18"/>
              </w:rPr>
              <w:t>50.001.–</w:t>
            </w:r>
          </w:p>
        </w:tc>
        <w:tc>
          <w:tcPr>
            <w:tcW w:w="993" w:type="dxa"/>
          </w:tcPr>
          <w:p>
            <w:pPr>
              <w:pStyle w:val="TableParagraph"/>
              <w:ind w:left="238"/>
              <w:jc w:val="left"/>
              <w:rPr>
                <w:sz w:val="18"/>
              </w:rPr>
            </w:pPr>
            <w:r>
              <w:rPr>
                <w:spacing w:val="-10"/>
                <w:sz w:val="18"/>
              </w:rPr>
              <w:t>à</w:t>
            </w:r>
          </w:p>
        </w:tc>
        <w:tc>
          <w:tcPr>
            <w:tcW w:w="1559" w:type="dxa"/>
          </w:tcPr>
          <w:p>
            <w:pPr>
              <w:pStyle w:val="TableParagraph"/>
              <w:ind w:right="502"/>
              <w:rPr>
                <w:sz w:val="18"/>
              </w:rPr>
            </w:pPr>
            <w:r>
              <w:rPr>
                <w:sz w:val="18"/>
              </w:rPr>
              <w:t>200.000.–</w:t>
            </w:r>
          </w:p>
        </w:tc>
        <w:tc>
          <w:tcPr>
            <w:tcW w:w="1055" w:type="dxa"/>
          </w:tcPr>
          <w:p>
            <w:pPr>
              <w:pStyle w:val="TableParagraph"/>
              <w:ind w:right="194"/>
              <w:rPr>
                <w:sz w:val="18"/>
              </w:rPr>
            </w:pPr>
            <w:r>
              <w:rPr>
                <w:spacing w:val="-4"/>
                <w:sz w:val="18"/>
              </w:rPr>
              <w:t>3,00</w:t>
            </w:r>
          </w:p>
        </w:tc>
        <w:tc>
          <w:tcPr>
            <w:tcW w:w="1269" w:type="dxa"/>
          </w:tcPr>
          <w:p>
            <w:pPr>
              <w:pStyle w:val="TableParagraph"/>
              <w:ind w:right="100"/>
              <w:rPr>
                <w:sz w:val="18"/>
              </w:rPr>
            </w:pPr>
            <w:r>
              <w:rPr>
                <w:sz w:val="18"/>
              </w:rPr>
              <w:t>450.–</w:t>
            </w:r>
          </w:p>
        </w:tc>
        <w:tc>
          <w:tcPr>
            <w:tcW w:w="1311" w:type="dxa"/>
          </w:tcPr>
          <w:p>
            <w:pPr>
              <w:pStyle w:val="TableParagraph"/>
              <w:ind w:right="48"/>
              <w:rPr>
                <w:sz w:val="18"/>
              </w:rPr>
            </w:pPr>
            <w:r>
              <w:rPr>
                <w:spacing w:val="-2"/>
                <w:sz w:val="18"/>
              </w:rPr>
              <w:t>2,250</w:t>
            </w:r>
          </w:p>
        </w:tc>
      </w:tr>
      <w:tr>
        <w:trPr>
          <w:trHeight w:val="207" w:hRule="atLeast"/>
        </w:trPr>
        <w:tc>
          <w:tcPr>
            <w:tcW w:w="1091" w:type="dxa"/>
          </w:tcPr>
          <w:p>
            <w:pPr>
              <w:pStyle w:val="TableParagraph"/>
              <w:spacing w:line="188" w:lineRule="exact"/>
              <w:ind w:right="235"/>
              <w:rPr>
                <w:sz w:val="18"/>
              </w:rPr>
            </w:pPr>
            <w:r>
              <w:rPr>
                <w:sz w:val="18"/>
              </w:rPr>
              <w:t>200.001.–</w:t>
            </w:r>
          </w:p>
        </w:tc>
        <w:tc>
          <w:tcPr>
            <w:tcW w:w="993" w:type="dxa"/>
          </w:tcPr>
          <w:p>
            <w:pPr>
              <w:pStyle w:val="TableParagraph"/>
              <w:spacing w:line="188" w:lineRule="exact"/>
              <w:ind w:left="238"/>
              <w:jc w:val="left"/>
              <w:rPr>
                <w:sz w:val="18"/>
              </w:rPr>
            </w:pPr>
            <w:r>
              <w:rPr>
                <w:spacing w:val="-10"/>
                <w:sz w:val="18"/>
              </w:rPr>
              <w:t>à</w:t>
            </w:r>
          </w:p>
        </w:tc>
        <w:tc>
          <w:tcPr>
            <w:tcW w:w="1559" w:type="dxa"/>
          </w:tcPr>
          <w:p>
            <w:pPr>
              <w:pStyle w:val="TableParagraph"/>
              <w:spacing w:line="188" w:lineRule="exact"/>
              <w:ind w:right="502"/>
              <w:rPr>
                <w:sz w:val="18"/>
              </w:rPr>
            </w:pPr>
            <w:r>
              <w:rPr>
                <w:sz w:val="18"/>
              </w:rPr>
              <w:t>350.000.–</w:t>
            </w:r>
          </w:p>
        </w:tc>
        <w:tc>
          <w:tcPr>
            <w:tcW w:w="1055" w:type="dxa"/>
          </w:tcPr>
          <w:p>
            <w:pPr>
              <w:pStyle w:val="TableParagraph"/>
              <w:spacing w:line="188" w:lineRule="exact"/>
              <w:ind w:right="194"/>
              <w:rPr>
                <w:sz w:val="18"/>
              </w:rPr>
            </w:pPr>
            <w:r>
              <w:rPr>
                <w:spacing w:val="-4"/>
                <w:sz w:val="18"/>
              </w:rPr>
              <w:t>4,00</w:t>
            </w:r>
          </w:p>
        </w:tc>
        <w:tc>
          <w:tcPr>
            <w:tcW w:w="1269" w:type="dxa"/>
          </w:tcPr>
          <w:p>
            <w:pPr>
              <w:pStyle w:val="TableParagraph"/>
              <w:spacing w:line="188" w:lineRule="exact"/>
              <w:ind w:right="100"/>
              <w:rPr>
                <w:sz w:val="18"/>
              </w:rPr>
            </w:pPr>
            <w:r>
              <w:rPr>
                <w:sz w:val="18"/>
              </w:rPr>
              <w:t>1.050.–</w:t>
            </w:r>
          </w:p>
        </w:tc>
        <w:tc>
          <w:tcPr>
            <w:tcW w:w="1311" w:type="dxa"/>
          </w:tcPr>
          <w:p>
            <w:pPr>
              <w:pStyle w:val="TableParagraph"/>
              <w:spacing w:line="188" w:lineRule="exact"/>
              <w:ind w:right="48"/>
              <w:rPr>
                <w:sz w:val="18"/>
              </w:rPr>
            </w:pPr>
            <w:r>
              <w:rPr>
                <w:spacing w:val="-2"/>
                <w:sz w:val="18"/>
              </w:rPr>
              <w:t>3,000</w:t>
            </w:r>
          </w:p>
        </w:tc>
      </w:tr>
      <w:tr>
        <w:trPr>
          <w:trHeight w:val="204" w:hRule="atLeast"/>
        </w:trPr>
        <w:tc>
          <w:tcPr>
            <w:tcW w:w="1091" w:type="dxa"/>
          </w:tcPr>
          <w:p>
            <w:pPr>
              <w:pStyle w:val="TableParagraph"/>
              <w:spacing w:line="185" w:lineRule="exact"/>
              <w:ind w:right="235"/>
              <w:rPr>
                <w:sz w:val="18"/>
              </w:rPr>
            </w:pPr>
            <w:r>
              <w:rPr>
                <w:sz w:val="18"/>
              </w:rPr>
              <w:t>350.001.–</w:t>
            </w:r>
          </w:p>
        </w:tc>
        <w:tc>
          <w:tcPr>
            <w:tcW w:w="993" w:type="dxa"/>
          </w:tcPr>
          <w:p>
            <w:pPr>
              <w:pStyle w:val="TableParagraph"/>
              <w:spacing w:line="185" w:lineRule="exact"/>
              <w:ind w:left="238"/>
              <w:jc w:val="left"/>
              <w:rPr>
                <w:sz w:val="18"/>
              </w:rPr>
            </w:pPr>
            <w:r>
              <w:rPr>
                <w:spacing w:val="-10"/>
                <w:sz w:val="18"/>
              </w:rPr>
              <w:t>à</w:t>
            </w:r>
          </w:p>
        </w:tc>
        <w:tc>
          <w:tcPr>
            <w:tcW w:w="1559" w:type="dxa"/>
          </w:tcPr>
          <w:p>
            <w:pPr>
              <w:pStyle w:val="TableParagraph"/>
              <w:spacing w:line="185" w:lineRule="exact"/>
              <w:ind w:right="502"/>
              <w:rPr>
                <w:sz w:val="18"/>
              </w:rPr>
            </w:pPr>
            <w:r>
              <w:rPr>
                <w:sz w:val="18"/>
              </w:rPr>
              <w:t>500.000.–</w:t>
            </w:r>
          </w:p>
        </w:tc>
        <w:tc>
          <w:tcPr>
            <w:tcW w:w="1055" w:type="dxa"/>
          </w:tcPr>
          <w:p>
            <w:pPr>
              <w:pStyle w:val="TableParagraph"/>
              <w:spacing w:line="185" w:lineRule="exact"/>
              <w:ind w:right="194"/>
              <w:rPr>
                <w:sz w:val="18"/>
              </w:rPr>
            </w:pPr>
            <w:r>
              <w:rPr>
                <w:spacing w:val="-4"/>
                <w:sz w:val="18"/>
              </w:rPr>
              <w:t>5,00</w:t>
            </w:r>
          </w:p>
        </w:tc>
        <w:tc>
          <w:tcPr>
            <w:tcW w:w="1269" w:type="dxa"/>
          </w:tcPr>
          <w:p>
            <w:pPr>
              <w:pStyle w:val="TableParagraph"/>
              <w:spacing w:line="185" w:lineRule="exact"/>
              <w:ind w:right="100"/>
              <w:rPr>
                <w:sz w:val="18"/>
              </w:rPr>
            </w:pPr>
            <w:r>
              <w:rPr>
                <w:sz w:val="18"/>
              </w:rPr>
              <w:t>1.800.–</w:t>
            </w:r>
          </w:p>
        </w:tc>
        <w:tc>
          <w:tcPr>
            <w:tcW w:w="1311" w:type="dxa"/>
          </w:tcPr>
          <w:p>
            <w:pPr>
              <w:pStyle w:val="TableParagraph"/>
              <w:spacing w:line="185" w:lineRule="exact"/>
              <w:ind w:right="48"/>
              <w:rPr>
                <w:sz w:val="18"/>
              </w:rPr>
            </w:pPr>
            <w:r>
              <w:rPr>
                <w:spacing w:val="-2"/>
                <w:sz w:val="18"/>
              </w:rPr>
              <w:t>3,600</w:t>
            </w:r>
          </w:p>
        </w:tc>
      </w:tr>
    </w:tbl>
    <w:p>
      <w:pPr>
        <w:pStyle w:val="BodyText"/>
        <w:spacing w:before="159"/>
        <w:ind w:left="1134"/>
      </w:pPr>
      <w:r>
        <w:rPr>
          <w:position w:val="6"/>
          <w:sz w:val="12"/>
        </w:rPr>
        <w:t>2</w:t>
      </w:r>
      <w:r>
        <w:rPr>
          <w:spacing w:val="-2"/>
          <w:position w:val="6"/>
          <w:sz w:val="12"/>
        </w:rPr>
        <w:t> </w:t>
      </w:r>
      <w:r>
        <w:rPr/>
        <w:t>La</w:t>
      </w:r>
      <w:r>
        <w:rPr>
          <w:spacing w:val="-2"/>
        </w:rPr>
        <w:t> </w:t>
      </w:r>
      <w:r>
        <w:rPr/>
        <w:t>fortune</w:t>
      </w:r>
      <w:r>
        <w:rPr>
          <w:spacing w:val="-1"/>
        </w:rPr>
        <w:t> </w:t>
      </w:r>
      <w:r>
        <w:rPr/>
        <w:t>supérieure</w:t>
      </w:r>
      <w:r>
        <w:rPr>
          <w:spacing w:val="-5"/>
        </w:rPr>
        <w:t> </w:t>
      </w:r>
      <w:r>
        <w:rPr/>
        <w:t>à</w:t>
      </w:r>
      <w:r>
        <w:rPr>
          <w:spacing w:val="-1"/>
        </w:rPr>
        <w:t> </w:t>
      </w:r>
      <w:r>
        <w:rPr/>
        <w:t>500.000</w:t>
      </w:r>
      <w:r>
        <w:rPr>
          <w:spacing w:val="-2"/>
        </w:rPr>
        <w:t> </w:t>
      </w:r>
      <w:r>
        <w:rPr/>
        <w:t>francs</w:t>
      </w:r>
      <w:r>
        <w:rPr>
          <w:spacing w:val="-1"/>
        </w:rPr>
        <w:t> </w:t>
      </w:r>
      <w:r>
        <w:rPr/>
        <w:t>est</w:t>
      </w:r>
      <w:r>
        <w:rPr>
          <w:spacing w:val="-2"/>
        </w:rPr>
        <w:t> </w:t>
      </w:r>
      <w:r>
        <w:rPr/>
        <w:t>imposée</w:t>
      </w:r>
      <w:r>
        <w:rPr>
          <w:spacing w:val="-2"/>
        </w:rPr>
        <w:t> </w:t>
      </w:r>
      <w:r>
        <w:rPr/>
        <w:t>à</w:t>
      </w:r>
      <w:r>
        <w:rPr>
          <w:spacing w:val="-1"/>
        </w:rPr>
        <w:t> </w:t>
      </w:r>
      <w:r>
        <w:rPr>
          <w:spacing w:val="-2"/>
        </w:rPr>
        <w:t>3,6‰.</w:t>
      </w:r>
    </w:p>
    <w:p>
      <w:pPr>
        <w:pStyle w:val="BodyText"/>
        <w:spacing w:before="153"/>
      </w:pPr>
    </w:p>
    <w:p>
      <w:pPr>
        <w:pStyle w:val="Heading7"/>
      </w:pPr>
      <w:r>
        <w:rPr>
          <w:color w:val="950000"/>
        </w:rPr>
        <w:t>Minimums imposables</w:t>
      </w:r>
      <w:r>
        <w:rPr>
          <w:color w:val="950000"/>
          <w:spacing w:val="80"/>
        </w:rPr>
        <w:t> </w:t>
      </w:r>
      <w:r>
        <w:rPr>
          <w:color w:val="950000"/>
          <w:spacing w:val="1"/>
        </w:rPr>
        <w:drawing>
          <wp:inline distT="0" distB="0" distL="0" distR="0">
            <wp:extent cx="200643" cy="115512"/>
            <wp:effectExtent l="0" t="0" r="0" b="0"/>
            <wp:docPr id="60" name="Image 60" descr="">
              <a:hlinkClick r:id="rId71"/>
            </wp:docPr>
            <wp:cNvGraphicFramePr>
              <a:graphicFrameLocks/>
            </wp:cNvGraphicFramePr>
            <a:graphic>
              <a:graphicData uri="http://schemas.openxmlformats.org/drawingml/2006/picture">
                <pic:pic>
                  <pic:nvPicPr>
                    <pic:cNvPr id="60" name="Image 60" descr="">
                      <a:hlinkClick r:id="rId71"/>
                    </pic:cNvPr>
                    <pic:cNvPicPr/>
                  </pic:nvPicPr>
                  <pic:blipFill>
                    <a:blip r:embed="rId58" cstate="print"/>
                    <a:stretch>
                      <a:fillRect/>
                    </a:stretch>
                  </pic:blipFill>
                  <pic:spPr>
                    <a:xfrm>
                      <a:off x="0" y="0"/>
                      <a:ext cx="200643" cy="115512"/>
                    </a:xfrm>
                    <a:prstGeom prst="rect">
                      <a:avLst/>
                    </a:prstGeom>
                  </pic:spPr>
                </pic:pic>
              </a:graphicData>
            </a:graphic>
          </wp:inline>
        </w:drawing>
      </w:r>
      <w:r>
        <w:rPr>
          <w:color w:val="950000"/>
          <w:spacing w:val="1"/>
        </w:rPr>
      </w:r>
    </w:p>
    <w:p>
      <w:pPr>
        <w:pStyle w:val="Heading8"/>
        <w:spacing w:before="94"/>
      </w:pPr>
      <w:r>
        <w:rPr/>
        <w:t>Art.</w:t>
      </w:r>
      <w:r>
        <w:rPr>
          <w:spacing w:val="-1"/>
        </w:rPr>
        <w:t> </w:t>
      </w:r>
      <w:r>
        <w:rPr/>
        <w:t>53 </w:t>
      </w:r>
      <w:r>
        <w:rPr>
          <w:spacing w:val="-2"/>
        </w:rPr>
        <w:t>LCdir</w:t>
      </w:r>
    </w:p>
    <w:p>
      <w:pPr>
        <w:pStyle w:val="BodyText"/>
        <w:spacing w:before="59"/>
        <w:ind w:left="1134"/>
      </w:pPr>
      <w:r>
        <w:rPr/>
        <w:t>Voir</w:t>
      </w:r>
      <w:r>
        <w:rPr>
          <w:spacing w:val="-5"/>
        </w:rPr>
        <w:t> </w:t>
      </w:r>
      <w:r>
        <w:rPr/>
        <w:t>ci-</w:t>
      </w:r>
      <w:r>
        <w:rPr>
          <w:spacing w:val="-2"/>
        </w:rPr>
        <w:t>dessus.</w:t>
      </w:r>
    </w:p>
    <w:p>
      <w:pPr>
        <w:pStyle w:val="BodyText"/>
        <w:spacing w:before="153"/>
      </w:pPr>
    </w:p>
    <w:p>
      <w:pPr>
        <w:pStyle w:val="Heading7"/>
      </w:pPr>
      <w:r>
        <w:rPr>
          <w:color w:val="950000"/>
        </w:rPr>
        <w:t>Splitting</w:t>
      </w:r>
      <w:r>
        <w:rPr>
          <w:color w:val="950000"/>
          <w:spacing w:val="80"/>
        </w:rPr>
        <w:t> </w:t>
      </w:r>
      <w:r>
        <w:rPr>
          <w:color w:val="950000"/>
          <w:spacing w:val="3"/>
        </w:rPr>
        <w:drawing>
          <wp:inline distT="0" distB="0" distL="0" distR="0">
            <wp:extent cx="201278" cy="114893"/>
            <wp:effectExtent l="0" t="0" r="0" b="0"/>
            <wp:docPr id="61" name="Image 61" descr="">
              <a:hlinkClick r:id="rId72"/>
            </wp:docPr>
            <wp:cNvGraphicFramePr>
              <a:graphicFrameLocks/>
            </wp:cNvGraphicFramePr>
            <a:graphic>
              <a:graphicData uri="http://schemas.openxmlformats.org/drawingml/2006/picture">
                <pic:pic>
                  <pic:nvPicPr>
                    <pic:cNvPr id="61" name="Image 61" descr="">
                      <a:hlinkClick r:id="rId72"/>
                    </pic:cNvPr>
                    <pic:cNvPicPr/>
                  </pic:nvPicPr>
                  <pic:blipFill>
                    <a:blip r:embed="rId11" cstate="print"/>
                    <a:stretch>
                      <a:fillRect/>
                    </a:stretch>
                  </pic:blipFill>
                  <pic:spPr>
                    <a:xfrm>
                      <a:off x="0" y="0"/>
                      <a:ext cx="201278" cy="114893"/>
                    </a:xfrm>
                    <a:prstGeom prst="rect">
                      <a:avLst/>
                    </a:prstGeom>
                  </pic:spPr>
                </pic:pic>
              </a:graphicData>
            </a:graphic>
          </wp:inline>
        </w:drawing>
      </w:r>
      <w:r>
        <w:rPr>
          <w:color w:val="950000"/>
          <w:spacing w:val="3"/>
        </w:rPr>
      </w:r>
    </w:p>
    <w:p>
      <w:pPr>
        <w:pStyle w:val="Heading8"/>
        <w:spacing w:before="94"/>
      </w:pPr>
      <w:r>
        <w:rPr/>
        <w:t>Art.</w:t>
      </w:r>
      <w:r>
        <w:rPr>
          <w:spacing w:val="-1"/>
        </w:rPr>
        <w:t> </w:t>
      </w:r>
      <w:r>
        <w:rPr/>
        <w:t>53, al.</w:t>
      </w:r>
      <w:r>
        <w:rPr>
          <w:spacing w:val="-3"/>
        </w:rPr>
        <w:t> </w:t>
      </w:r>
      <w:r>
        <w:rPr/>
        <w:t>3</w:t>
      </w:r>
      <w:r>
        <w:rPr>
          <w:spacing w:val="1"/>
        </w:rPr>
        <w:t> </w:t>
      </w:r>
      <w:r>
        <w:rPr>
          <w:spacing w:val="-2"/>
        </w:rPr>
        <w:t>LCdir</w:t>
      </w:r>
    </w:p>
    <w:p>
      <w:pPr>
        <w:pStyle w:val="BodyText"/>
        <w:spacing w:before="56"/>
        <w:ind w:left="1134" w:right="700"/>
        <w:jc w:val="both"/>
      </w:pPr>
      <w:r>
        <w:rPr>
          <w:position w:val="6"/>
          <w:sz w:val="12"/>
        </w:rPr>
        <w:t>3</w:t>
      </w:r>
      <w:r>
        <w:rPr>
          <w:spacing w:val="39"/>
          <w:position w:val="6"/>
          <w:sz w:val="12"/>
        </w:rPr>
        <w:t> </w:t>
      </w:r>
      <w:r>
        <w:rPr/>
        <w:t>La fortune des époux qui vivent en ménage commun, ainsi que des contribuables veufs, séparés, divorcés ou célibataires qui vivent en ménage commun avec des enfants ou des personnes nécessi-teuses,</w:t>
      </w:r>
      <w:r>
        <w:rPr>
          <w:spacing w:val="-4"/>
        </w:rPr>
        <w:t> </w:t>
      </w:r>
      <w:r>
        <w:rPr/>
        <w:t>dont</w:t>
      </w:r>
      <w:r>
        <w:rPr>
          <w:spacing w:val="-4"/>
        </w:rPr>
        <w:t> </w:t>
      </w:r>
      <w:r>
        <w:rPr/>
        <w:t>ils</w:t>
      </w:r>
      <w:r>
        <w:rPr>
          <w:spacing w:val="-3"/>
        </w:rPr>
        <w:t> </w:t>
      </w:r>
      <w:r>
        <w:rPr/>
        <w:t>assument</w:t>
      </w:r>
      <w:r>
        <w:rPr>
          <w:spacing w:val="-4"/>
        </w:rPr>
        <w:t> </w:t>
      </w:r>
      <w:r>
        <w:rPr/>
        <w:t>pour</w:t>
      </w:r>
      <w:r>
        <w:rPr>
          <w:spacing w:val="-6"/>
        </w:rPr>
        <w:t> </w:t>
      </w:r>
      <w:r>
        <w:rPr/>
        <w:t>l'essentiel</w:t>
      </w:r>
      <w:r>
        <w:rPr>
          <w:spacing w:val="-4"/>
        </w:rPr>
        <w:t> </w:t>
      </w:r>
      <w:r>
        <w:rPr/>
        <w:t>l'entretien,</w:t>
      </w:r>
      <w:r>
        <w:rPr>
          <w:spacing w:val="-4"/>
        </w:rPr>
        <w:t> </w:t>
      </w:r>
      <w:r>
        <w:rPr/>
        <w:t>est</w:t>
      </w:r>
      <w:r>
        <w:rPr>
          <w:spacing w:val="-4"/>
        </w:rPr>
        <w:t> </w:t>
      </w:r>
      <w:r>
        <w:rPr/>
        <w:t>frappée</w:t>
      </w:r>
      <w:r>
        <w:rPr>
          <w:spacing w:val="-4"/>
        </w:rPr>
        <w:t> </w:t>
      </w:r>
      <w:r>
        <w:rPr/>
        <w:t>du</w:t>
      </w:r>
      <w:r>
        <w:rPr>
          <w:spacing w:val="-4"/>
        </w:rPr>
        <w:t> </w:t>
      </w:r>
      <w:r>
        <w:rPr/>
        <w:t>taux</w:t>
      </w:r>
      <w:r>
        <w:rPr>
          <w:spacing w:val="-3"/>
        </w:rPr>
        <w:t> </w:t>
      </w:r>
      <w:r>
        <w:rPr/>
        <w:t>correspondant</w:t>
      </w:r>
      <w:r>
        <w:rPr>
          <w:spacing w:val="-4"/>
        </w:rPr>
        <w:t> </w:t>
      </w:r>
      <w:r>
        <w:rPr/>
        <w:t>au</w:t>
      </w:r>
      <w:r>
        <w:rPr>
          <w:spacing w:val="-4"/>
        </w:rPr>
        <w:t> </w:t>
      </w:r>
      <w:r>
        <w:rPr/>
        <w:t>52</w:t>
      </w:r>
      <w:r>
        <w:rPr>
          <w:spacing w:val="-4"/>
        </w:rPr>
        <w:t> </w:t>
      </w:r>
      <w:r>
        <w:rPr/>
        <w:t>%</w:t>
      </w:r>
      <w:r>
        <w:rPr>
          <w:spacing w:val="-4"/>
        </w:rPr>
        <w:t> </w:t>
      </w:r>
      <w:r>
        <w:rPr/>
        <w:t>de</w:t>
      </w:r>
      <w:r>
        <w:rPr>
          <w:spacing w:val="-4"/>
        </w:rPr>
        <w:t> </w:t>
      </w:r>
      <w:r>
        <w:rPr/>
        <w:t>son </w:t>
      </w:r>
      <w:r>
        <w:rPr>
          <w:spacing w:val="-2"/>
        </w:rPr>
        <w:t>montant.</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Imposition d'après la dépense" w:id="35"/>
      <w:bookmarkEnd w:id="35"/>
      <w:r>
        <w:rPr>
          <w:b w:val="0"/>
        </w:rPr>
      </w:r>
      <w:bookmarkStart w:name="_bookmark14" w:id="36"/>
      <w:bookmarkEnd w:id="36"/>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w:t>
      </w:r>
      <w:r>
        <w:rPr>
          <w:spacing w:val="-1"/>
        </w:rPr>
        <w:t> </w:t>
      </w:r>
      <w:r>
        <w:rPr/>
        <w:t>16</w:t>
      </w:r>
      <w:r>
        <w:rPr>
          <w:spacing w:val="-2"/>
        </w:rPr>
        <w:t> </w:t>
      </w:r>
      <w:r>
        <w:rPr/>
        <w:t>– 18</w:t>
      </w:r>
      <w:r>
        <w:rPr>
          <w:spacing w:val="-2"/>
        </w:rPr>
        <w:t> </w:t>
      </w:r>
      <w:r>
        <w:rPr/>
        <w:t>LCdir;</w:t>
      </w:r>
      <w:r>
        <w:rPr>
          <w:spacing w:val="-1"/>
        </w:rPr>
        <w:t> </w:t>
      </w:r>
      <w:r>
        <w:rPr/>
        <w:t>Art. 5</w:t>
      </w:r>
      <w:r>
        <w:rPr>
          <w:spacing w:val="-3"/>
        </w:rPr>
        <w:t> </w:t>
      </w:r>
      <w:r>
        <w:rPr/>
        <w:t>–</w:t>
      </w:r>
      <w:r>
        <w:rPr>
          <w:spacing w:val="1"/>
        </w:rPr>
        <w:t> </w:t>
      </w:r>
      <w:r>
        <w:rPr/>
        <w:t>8</w:t>
      </w:r>
      <w:r>
        <w:rPr>
          <w:spacing w:val="-2"/>
        </w:rPr>
        <w:t> RELCdir)</w:t>
      </w:r>
    </w:p>
    <w:p>
      <w:pPr>
        <w:pStyle w:val="BodyText"/>
        <w:spacing w:before="162"/>
      </w:pPr>
    </w:p>
    <w:p>
      <w:pPr>
        <w:pStyle w:val="Heading6"/>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rPr>
          <w:rFonts w:ascii="Arial"/>
          <w:b/>
          <w:sz w:val="20"/>
        </w:rPr>
      </w:pPr>
    </w:p>
    <w:p>
      <w:pPr>
        <w:pStyle w:val="Heading7"/>
        <w:jc w:val="both"/>
      </w:pPr>
      <w:r>
        <w:rPr>
          <w:color w:val="950000"/>
        </w:rPr>
        <w:t>Imposition d'après la dépense</w:t>
      </w:r>
      <w:r>
        <w:rPr>
          <w:color w:val="950000"/>
          <w:spacing w:val="80"/>
        </w:rPr>
        <w:t> </w:t>
      </w:r>
      <w:r>
        <w:rPr>
          <w:color w:val="950000"/>
          <w:spacing w:val="-2"/>
        </w:rPr>
        <w:drawing>
          <wp:inline distT="0" distB="0" distL="0" distR="0">
            <wp:extent cx="201242" cy="114932"/>
            <wp:effectExtent l="0" t="0" r="0" b="0"/>
            <wp:docPr id="62" name="Image 62" descr="">
              <a:hlinkClick r:id="rId73"/>
            </wp:docPr>
            <wp:cNvGraphicFramePr>
              <a:graphicFrameLocks/>
            </wp:cNvGraphicFramePr>
            <a:graphic>
              <a:graphicData uri="http://schemas.openxmlformats.org/drawingml/2006/picture">
                <pic:pic>
                  <pic:nvPicPr>
                    <pic:cNvPr id="62" name="Image 62" descr="">
                      <a:hlinkClick r:id="rId73"/>
                    </pic:cNvPr>
                    <pic:cNvPicPr/>
                  </pic:nvPicPr>
                  <pic:blipFill>
                    <a:blip r:embed="rId11" cstate="print"/>
                    <a:stretch>
                      <a:fillRect/>
                    </a:stretch>
                  </pic:blipFill>
                  <pic:spPr>
                    <a:xfrm>
                      <a:off x="0" y="0"/>
                      <a:ext cx="201242" cy="114932"/>
                    </a:xfrm>
                    <a:prstGeom prst="rect">
                      <a:avLst/>
                    </a:prstGeom>
                  </pic:spPr>
                </pic:pic>
              </a:graphicData>
            </a:graphic>
          </wp:inline>
        </w:drawing>
      </w:r>
      <w:r>
        <w:rPr>
          <w:color w:val="950000"/>
          <w:spacing w:val="-2"/>
        </w:rPr>
      </w:r>
    </w:p>
    <w:p>
      <w:pPr>
        <w:pStyle w:val="Heading8"/>
      </w:pPr>
      <w:r>
        <w:rPr/>
        <w:t>Art.</w:t>
      </w:r>
      <w:r>
        <w:rPr>
          <w:spacing w:val="-1"/>
        </w:rPr>
        <w:t> </w:t>
      </w:r>
      <w:r>
        <w:rPr/>
        <w:t>17, al.</w:t>
      </w:r>
      <w:r>
        <w:rPr>
          <w:spacing w:val="-2"/>
        </w:rPr>
        <w:t> </w:t>
      </w:r>
      <w:r>
        <w:rPr/>
        <w:t>1 à</w:t>
      </w:r>
      <w:r>
        <w:rPr>
          <w:spacing w:val="-2"/>
        </w:rPr>
        <w:t> </w:t>
      </w:r>
      <w:r>
        <w:rPr/>
        <w:t>6</w:t>
      </w:r>
      <w:r>
        <w:rPr>
          <w:spacing w:val="1"/>
        </w:rPr>
        <w:t> </w:t>
      </w:r>
      <w:r>
        <w:rPr>
          <w:spacing w:val="-2"/>
        </w:rPr>
        <w:t>LCdir:</w:t>
      </w:r>
    </w:p>
    <w:p>
      <w:pPr>
        <w:pStyle w:val="BodyText"/>
        <w:spacing w:before="56"/>
        <w:ind w:left="1134" w:right="704"/>
        <w:jc w:val="both"/>
      </w:pPr>
      <w:r>
        <w:rPr>
          <w:position w:val="6"/>
          <w:sz w:val="12"/>
        </w:rPr>
        <w:t>1</w:t>
      </w:r>
      <w:r>
        <w:rPr>
          <w:spacing w:val="9"/>
          <w:position w:val="6"/>
          <w:sz w:val="12"/>
        </w:rPr>
        <w:t> </w:t>
      </w:r>
      <w:r>
        <w:rPr/>
        <w:t>L'impôt</w:t>
      </w:r>
      <w:r>
        <w:rPr>
          <w:spacing w:val="-10"/>
        </w:rPr>
        <w:t> </w:t>
      </w:r>
      <w:r>
        <w:rPr/>
        <w:t>sur</w:t>
      </w:r>
      <w:r>
        <w:rPr>
          <w:spacing w:val="-8"/>
        </w:rPr>
        <w:t> </w:t>
      </w:r>
      <w:r>
        <w:rPr/>
        <w:t>le</w:t>
      </w:r>
      <w:r>
        <w:rPr>
          <w:spacing w:val="-8"/>
        </w:rPr>
        <w:t> </w:t>
      </w:r>
      <w:r>
        <w:rPr/>
        <w:t>revenu</w:t>
      </w:r>
      <w:r>
        <w:rPr>
          <w:spacing w:val="-8"/>
        </w:rPr>
        <w:t> </w:t>
      </w:r>
      <w:r>
        <w:rPr/>
        <w:t>est</w:t>
      </w:r>
      <w:r>
        <w:rPr>
          <w:spacing w:val="-8"/>
        </w:rPr>
        <w:t> </w:t>
      </w:r>
      <w:r>
        <w:rPr/>
        <w:t>calculé</w:t>
      </w:r>
      <w:r>
        <w:rPr>
          <w:spacing w:val="-8"/>
        </w:rPr>
        <w:t> </w:t>
      </w:r>
      <w:r>
        <w:rPr/>
        <w:t>sur</w:t>
      </w:r>
      <w:r>
        <w:rPr>
          <w:spacing w:val="-8"/>
        </w:rPr>
        <w:t> </w:t>
      </w:r>
      <w:r>
        <w:rPr/>
        <w:t>la</w:t>
      </w:r>
      <w:r>
        <w:rPr>
          <w:spacing w:val="-8"/>
        </w:rPr>
        <w:t> </w:t>
      </w:r>
      <w:r>
        <w:rPr/>
        <w:t>base</w:t>
      </w:r>
      <w:r>
        <w:rPr>
          <w:spacing w:val="-8"/>
        </w:rPr>
        <w:t> </w:t>
      </w:r>
      <w:r>
        <w:rPr/>
        <w:t>des</w:t>
      </w:r>
      <w:r>
        <w:rPr>
          <w:spacing w:val="-2"/>
        </w:rPr>
        <w:t> </w:t>
      </w:r>
      <w:r>
        <w:rPr/>
        <w:t>dépenses</w:t>
      </w:r>
      <w:r>
        <w:rPr>
          <w:spacing w:val="-9"/>
        </w:rPr>
        <w:t> </w:t>
      </w:r>
      <w:r>
        <w:rPr/>
        <w:t>annuelles</w:t>
      </w:r>
      <w:r>
        <w:rPr>
          <w:spacing w:val="-7"/>
        </w:rPr>
        <w:t> </w:t>
      </w:r>
      <w:r>
        <w:rPr/>
        <w:t>du</w:t>
      </w:r>
      <w:r>
        <w:rPr>
          <w:spacing w:val="-8"/>
        </w:rPr>
        <w:t> </w:t>
      </w:r>
      <w:r>
        <w:rPr/>
        <w:t>contribuable</w:t>
      </w:r>
      <w:r>
        <w:rPr>
          <w:spacing w:val="-8"/>
        </w:rPr>
        <w:t> </w:t>
      </w:r>
      <w:r>
        <w:rPr/>
        <w:t>et</w:t>
      </w:r>
      <w:r>
        <w:rPr>
          <w:spacing w:val="-8"/>
        </w:rPr>
        <w:t> </w:t>
      </w:r>
      <w:r>
        <w:rPr/>
        <w:t>des</w:t>
      </w:r>
      <w:r>
        <w:rPr>
          <w:spacing w:val="-7"/>
        </w:rPr>
        <w:t> </w:t>
      </w:r>
      <w:r>
        <w:rPr/>
        <w:t>personnes dont</w:t>
      </w:r>
      <w:r>
        <w:rPr>
          <w:spacing w:val="-3"/>
        </w:rPr>
        <w:t> </w:t>
      </w:r>
      <w:r>
        <w:rPr/>
        <w:t>il</w:t>
      </w:r>
      <w:r>
        <w:rPr>
          <w:spacing w:val="-3"/>
        </w:rPr>
        <w:t> </w:t>
      </w:r>
      <w:r>
        <w:rPr/>
        <w:t>a</w:t>
      </w:r>
      <w:r>
        <w:rPr>
          <w:spacing w:val="-3"/>
        </w:rPr>
        <w:t> </w:t>
      </w:r>
      <w:r>
        <w:rPr/>
        <w:t>la</w:t>
      </w:r>
      <w:r>
        <w:rPr>
          <w:spacing w:val="-3"/>
        </w:rPr>
        <w:t> </w:t>
      </w:r>
      <w:r>
        <w:rPr/>
        <w:t>charge</w:t>
      </w:r>
      <w:r>
        <w:rPr>
          <w:spacing w:val="-5"/>
        </w:rPr>
        <w:t> </w:t>
      </w:r>
      <w:r>
        <w:rPr/>
        <w:t>effectuées</w:t>
      </w:r>
      <w:r>
        <w:rPr>
          <w:spacing w:val="-5"/>
        </w:rPr>
        <w:t> </w:t>
      </w:r>
      <w:r>
        <w:rPr/>
        <w:t>durant</w:t>
      </w:r>
      <w:r>
        <w:rPr>
          <w:spacing w:val="-3"/>
        </w:rPr>
        <w:t> </w:t>
      </w:r>
      <w:r>
        <w:rPr/>
        <w:t>la</w:t>
      </w:r>
      <w:r>
        <w:rPr>
          <w:spacing w:val="-3"/>
        </w:rPr>
        <w:t> </w:t>
      </w:r>
      <w:r>
        <w:rPr/>
        <w:t>période</w:t>
      </w:r>
      <w:r>
        <w:rPr>
          <w:spacing w:val="-5"/>
        </w:rPr>
        <w:t> </w:t>
      </w:r>
      <w:r>
        <w:rPr/>
        <w:t>de</w:t>
      </w:r>
      <w:r>
        <w:rPr>
          <w:spacing w:val="-5"/>
        </w:rPr>
        <w:t> </w:t>
      </w:r>
      <w:r>
        <w:rPr/>
        <w:t>calcul</w:t>
      </w:r>
      <w:r>
        <w:rPr>
          <w:spacing w:val="-5"/>
        </w:rPr>
        <w:t> </w:t>
      </w:r>
      <w:r>
        <w:rPr/>
        <w:t>en</w:t>
      </w:r>
      <w:r>
        <w:rPr>
          <w:spacing w:val="-3"/>
        </w:rPr>
        <w:t> </w:t>
      </w:r>
      <w:r>
        <w:rPr/>
        <w:t>Suisse</w:t>
      </w:r>
      <w:r>
        <w:rPr>
          <w:spacing w:val="-3"/>
        </w:rPr>
        <w:t> </w:t>
      </w:r>
      <w:r>
        <w:rPr/>
        <w:t>et</w:t>
      </w:r>
      <w:r>
        <w:rPr>
          <w:spacing w:val="-6"/>
        </w:rPr>
        <w:t> </w:t>
      </w:r>
      <w:r>
        <w:rPr/>
        <w:t>à</w:t>
      </w:r>
      <w:r>
        <w:rPr>
          <w:spacing w:val="-3"/>
        </w:rPr>
        <w:t> </w:t>
      </w:r>
      <w:r>
        <w:rPr/>
        <w:t>l'étranger</w:t>
      </w:r>
      <w:r>
        <w:rPr>
          <w:spacing w:val="-6"/>
        </w:rPr>
        <w:t> </w:t>
      </w:r>
      <w:r>
        <w:rPr/>
        <w:t>pour</w:t>
      </w:r>
      <w:r>
        <w:rPr>
          <w:spacing w:val="-6"/>
        </w:rPr>
        <w:t> </w:t>
      </w:r>
      <w:r>
        <w:rPr/>
        <w:t>assurer</w:t>
      </w:r>
      <w:r>
        <w:rPr>
          <w:spacing w:val="-3"/>
        </w:rPr>
        <w:t> </w:t>
      </w:r>
      <w:r>
        <w:rPr/>
        <w:t>leur</w:t>
      </w:r>
      <w:r>
        <w:rPr>
          <w:spacing w:val="-3"/>
        </w:rPr>
        <w:t> </w:t>
      </w:r>
      <w:r>
        <w:rPr/>
        <w:t>train de vie, mais au minimum d'après le plus élevé des montants suivants:</w:t>
      </w:r>
    </w:p>
    <w:p>
      <w:pPr>
        <w:pStyle w:val="ListParagraph"/>
        <w:numPr>
          <w:ilvl w:val="0"/>
          <w:numId w:val="12"/>
        </w:numPr>
        <w:tabs>
          <w:tab w:pos="1558" w:val="left" w:leader="none"/>
        </w:tabs>
        <w:spacing w:line="240" w:lineRule="auto" w:before="41" w:after="0"/>
        <w:ind w:left="1558" w:right="0" w:hanging="424"/>
        <w:jc w:val="both"/>
        <w:rPr>
          <w:sz w:val="18"/>
        </w:rPr>
      </w:pPr>
      <w:r>
        <w:rPr>
          <w:sz w:val="18"/>
        </w:rPr>
        <w:t>400.000</w:t>
      </w:r>
      <w:r>
        <w:rPr>
          <w:spacing w:val="-3"/>
          <w:sz w:val="18"/>
        </w:rPr>
        <w:t> </w:t>
      </w:r>
      <w:r>
        <w:rPr>
          <w:spacing w:val="-2"/>
          <w:sz w:val="18"/>
        </w:rPr>
        <w:t>francs;</w:t>
      </w:r>
    </w:p>
    <w:p>
      <w:pPr>
        <w:pStyle w:val="ListParagraph"/>
        <w:numPr>
          <w:ilvl w:val="0"/>
          <w:numId w:val="12"/>
        </w:numPr>
        <w:tabs>
          <w:tab w:pos="1559" w:val="left" w:leader="none"/>
        </w:tabs>
        <w:spacing w:line="240" w:lineRule="auto" w:before="41" w:after="0"/>
        <w:ind w:left="1559" w:right="703" w:hanging="425"/>
        <w:jc w:val="both"/>
        <w:rPr>
          <w:sz w:val="18"/>
        </w:rPr>
      </w:pPr>
      <w:r>
        <w:rPr>
          <w:sz w:val="18"/>
        </w:rPr>
        <w:t>pour les</w:t>
      </w:r>
      <w:r>
        <w:rPr>
          <w:spacing w:val="-1"/>
          <w:sz w:val="18"/>
        </w:rPr>
        <w:t> </w:t>
      </w:r>
      <w:r>
        <w:rPr>
          <w:sz w:val="18"/>
        </w:rPr>
        <w:t>contribuables</w:t>
      </w:r>
      <w:r>
        <w:rPr>
          <w:spacing w:val="-1"/>
          <w:sz w:val="18"/>
        </w:rPr>
        <w:t> </w:t>
      </w:r>
      <w:r>
        <w:rPr>
          <w:sz w:val="18"/>
        </w:rPr>
        <w:t>chefs</w:t>
      </w:r>
      <w:r>
        <w:rPr>
          <w:spacing w:val="-1"/>
          <w:sz w:val="18"/>
        </w:rPr>
        <w:t> </w:t>
      </w:r>
      <w:r>
        <w:rPr>
          <w:sz w:val="18"/>
        </w:rPr>
        <w:t>de ménage: sept fois</w:t>
      </w:r>
      <w:r>
        <w:rPr>
          <w:spacing w:val="-1"/>
          <w:sz w:val="18"/>
        </w:rPr>
        <w:t> </w:t>
      </w:r>
      <w:r>
        <w:rPr>
          <w:sz w:val="18"/>
        </w:rPr>
        <w:t>le</w:t>
      </w:r>
      <w:r>
        <w:rPr>
          <w:spacing w:val="-1"/>
          <w:sz w:val="18"/>
        </w:rPr>
        <w:t> </w:t>
      </w:r>
      <w:r>
        <w:rPr>
          <w:sz w:val="18"/>
        </w:rPr>
        <w:t>loyer annuel</w:t>
      </w:r>
      <w:r>
        <w:rPr>
          <w:spacing w:val="-1"/>
          <w:sz w:val="18"/>
        </w:rPr>
        <w:t> </w:t>
      </w:r>
      <w:r>
        <w:rPr>
          <w:sz w:val="18"/>
        </w:rPr>
        <w:t>ou</w:t>
      </w:r>
      <w:r>
        <w:rPr>
          <w:spacing w:val="-1"/>
          <w:sz w:val="18"/>
        </w:rPr>
        <w:t> </w:t>
      </w:r>
      <w:r>
        <w:rPr>
          <w:sz w:val="18"/>
        </w:rPr>
        <w:t>la</w:t>
      </w:r>
      <w:r>
        <w:rPr>
          <w:spacing w:val="-1"/>
          <w:sz w:val="18"/>
        </w:rPr>
        <w:t> </w:t>
      </w:r>
      <w:r>
        <w:rPr>
          <w:sz w:val="18"/>
        </w:rPr>
        <w:t>valeur locative au</w:t>
      </w:r>
      <w:r>
        <w:rPr>
          <w:spacing w:val="-1"/>
          <w:sz w:val="18"/>
        </w:rPr>
        <w:t> </w:t>
      </w:r>
      <w:r>
        <w:rPr>
          <w:sz w:val="18"/>
        </w:rPr>
        <w:t>sens de l'article 24, alinéa 1, lettre b;</w:t>
      </w:r>
    </w:p>
    <w:p>
      <w:pPr>
        <w:pStyle w:val="ListParagraph"/>
        <w:numPr>
          <w:ilvl w:val="0"/>
          <w:numId w:val="12"/>
        </w:numPr>
        <w:tabs>
          <w:tab w:pos="1559" w:val="left" w:leader="none"/>
        </w:tabs>
        <w:spacing w:line="240" w:lineRule="auto" w:before="39" w:after="0"/>
        <w:ind w:left="1559" w:right="703" w:hanging="425"/>
        <w:jc w:val="both"/>
        <w:rPr>
          <w:sz w:val="18"/>
        </w:rPr>
      </w:pPr>
      <w:r>
        <w:rPr>
          <w:sz w:val="18"/>
        </w:rPr>
        <w:t>pour</w:t>
      </w:r>
      <w:r>
        <w:rPr>
          <w:spacing w:val="-4"/>
          <w:sz w:val="18"/>
        </w:rPr>
        <w:t> </w:t>
      </w:r>
      <w:r>
        <w:rPr>
          <w:sz w:val="18"/>
        </w:rPr>
        <w:t>les</w:t>
      </w:r>
      <w:r>
        <w:rPr>
          <w:spacing w:val="-3"/>
          <w:sz w:val="18"/>
        </w:rPr>
        <w:t> </w:t>
      </w:r>
      <w:r>
        <w:rPr>
          <w:sz w:val="18"/>
        </w:rPr>
        <w:t>autres</w:t>
      </w:r>
      <w:r>
        <w:rPr>
          <w:spacing w:val="-3"/>
          <w:sz w:val="18"/>
        </w:rPr>
        <w:t> </w:t>
      </w:r>
      <w:r>
        <w:rPr>
          <w:sz w:val="18"/>
        </w:rPr>
        <w:t>contribuables:</w:t>
      </w:r>
      <w:r>
        <w:rPr>
          <w:spacing w:val="-5"/>
          <w:sz w:val="18"/>
        </w:rPr>
        <w:t> </w:t>
      </w:r>
      <w:r>
        <w:rPr>
          <w:sz w:val="18"/>
        </w:rPr>
        <w:t>trois</w:t>
      </w:r>
      <w:r>
        <w:rPr>
          <w:spacing w:val="-3"/>
          <w:sz w:val="18"/>
        </w:rPr>
        <w:t> </w:t>
      </w:r>
      <w:r>
        <w:rPr>
          <w:sz w:val="18"/>
        </w:rPr>
        <w:t>fois</w:t>
      </w:r>
      <w:r>
        <w:rPr>
          <w:spacing w:val="-3"/>
          <w:sz w:val="18"/>
        </w:rPr>
        <w:t> </w:t>
      </w:r>
      <w:r>
        <w:rPr>
          <w:sz w:val="18"/>
        </w:rPr>
        <w:t>le</w:t>
      </w:r>
      <w:r>
        <w:rPr>
          <w:spacing w:val="-4"/>
          <w:sz w:val="18"/>
        </w:rPr>
        <w:t> </w:t>
      </w:r>
      <w:r>
        <w:rPr>
          <w:sz w:val="18"/>
        </w:rPr>
        <w:t>prix</w:t>
      </w:r>
      <w:r>
        <w:rPr>
          <w:spacing w:val="-3"/>
          <w:sz w:val="18"/>
        </w:rPr>
        <w:t> </w:t>
      </w:r>
      <w:r>
        <w:rPr>
          <w:sz w:val="18"/>
        </w:rPr>
        <w:t>de</w:t>
      </w:r>
      <w:r>
        <w:rPr>
          <w:spacing w:val="-4"/>
          <w:sz w:val="18"/>
        </w:rPr>
        <w:t> </w:t>
      </w:r>
      <w:r>
        <w:rPr>
          <w:sz w:val="18"/>
        </w:rPr>
        <w:t>la</w:t>
      </w:r>
      <w:r>
        <w:rPr>
          <w:spacing w:val="-4"/>
          <w:sz w:val="18"/>
        </w:rPr>
        <w:t> </w:t>
      </w:r>
      <w:r>
        <w:rPr>
          <w:sz w:val="18"/>
        </w:rPr>
        <w:t>pension</w:t>
      </w:r>
      <w:r>
        <w:rPr>
          <w:spacing w:val="-4"/>
          <w:sz w:val="18"/>
        </w:rPr>
        <w:t> </w:t>
      </w:r>
      <w:r>
        <w:rPr>
          <w:sz w:val="18"/>
        </w:rPr>
        <w:t>annuelle</w:t>
      </w:r>
      <w:r>
        <w:rPr>
          <w:spacing w:val="-4"/>
          <w:sz w:val="18"/>
        </w:rPr>
        <w:t> </w:t>
      </w:r>
      <w:r>
        <w:rPr>
          <w:sz w:val="18"/>
        </w:rPr>
        <w:t>pour</w:t>
      </w:r>
      <w:r>
        <w:rPr>
          <w:spacing w:val="-4"/>
          <w:sz w:val="18"/>
        </w:rPr>
        <w:t> </w:t>
      </w:r>
      <w:r>
        <w:rPr>
          <w:sz w:val="18"/>
        </w:rPr>
        <w:t>le</w:t>
      </w:r>
      <w:r>
        <w:rPr>
          <w:spacing w:val="-4"/>
          <w:sz w:val="18"/>
        </w:rPr>
        <w:t> </w:t>
      </w:r>
      <w:r>
        <w:rPr>
          <w:sz w:val="18"/>
        </w:rPr>
        <w:t>logement</w:t>
      </w:r>
      <w:r>
        <w:rPr>
          <w:spacing w:val="-4"/>
          <w:sz w:val="18"/>
        </w:rPr>
        <w:t> </w:t>
      </w:r>
      <w:r>
        <w:rPr>
          <w:sz w:val="18"/>
        </w:rPr>
        <w:t>et</w:t>
      </w:r>
      <w:r>
        <w:rPr>
          <w:spacing w:val="-4"/>
          <w:sz w:val="18"/>
        </w:rPr>
        <w:t> </w:t>
      </w:r>
      <w:r>
        <w:rPr>
          <w:sz w:val="18"/>
        </w:rPr>
        <w:t>la</w:t>
      </w:r>
      <w:r>
        <w:rPr>
          <w:spacing w:val="-4"/>
          <w:sz w:val="18"/>
        </w:rPr>
        <w:t> </w:t>
      </w:r>
      <w:r>
        <w:rPr>
          <w:sz w:val="18"/>
        </w:rPr>
        <w:t>nourri-ture au lieu du domicile au sens de l'article 4.</w:t>
      </w:r>
    </w:p>
    <w:p>
      <w:pPr>
        <w:pStyle w:val="BodyText"/>
        <w:spacing w:before="36"/>
        <w:ind w:left="1134" w:right="700"/>
      </w:pPr>
      <w:r>
        <w:rPr>
          <w:position w:val="6"/>
          <w:sz w:val="12"/>
        </w:rPr>
        <w:t>2</w:t>
      </w:r>
      <w:r>
        <w:rPr>
          <w:spacing w:val="-6"/>
          <w:position w:val="6"/>
          <w:sz w:val="12"/>
        </w:rPr>
        <w:t> </w:t>
      </w:r>
      <w:r>
        <w:rPr/>
        <w:t>L'impôt</w:t>
      </w:r>
      <w:r>
        <w:rPr>
          <w:spacing w:val="-11"/>
        </w:rPr>
        <w:t> </w:t>
      </w:r>
      <w:r>
        <w:rPr/>
        <w:t>sur</w:t>
      </w:r>
      <w:r>
        <w:rPr>
          <w:spacing w:val="-11"/>
        </w:rPr>
        <w:t> </w:t>
      </w:r>
      <w:r>
        <w:rPr/>
        <w:t>le</w:t>
      </w:r>
      <w:r>
        <w:rPr>
          <w:spacing w:val="-11"/>
        </w:rPr>
        <w:t> </w:t>
      </w:r>
      <w:r>
        <w:rPr/>
        <w:t>revenu</w:t>
      </w:r>
      <w:r>
        <w:rPr>
          <w:spacing w:val="-9"/>
        </w:rPr>
        <w:t> </w:t>
      </w:r>
      <w:r>
        <w:rPr/>
        <w:t>est</w:t>
      </w:r>
      <w:r>
        <w:rPr>
          <w:spacing w:val="-11"/>
        </w:rPr>
        <w:t> </w:t>
      </w:r>
      <w:r>
        <w:rPr/>
        <w:t>perçu</w:t>
      </w:r>
      <w:r>
        <w:rPr>
          <w:spacing w:val="-9"/>
        </w:rPr>
        <w:t> </w:t>
      </w:r>
      <w:r>
        <w:rPr/>
        <w:t>d'après</w:t>
      </w:r>
      <w:r>
        <w:rPr>
          <w:spacing w:val="-11"/>
        </w:rPr>
        <w:t> </w:t>
      </w:r>
      <w:r>
        <w:rPr/>
        <w:t>le</w:t>
      </w:r>
      <w:r>
        <w:rPr>
          <w:spacing w:val="-11"/>
        </w:rPr>
        <w:t> </w:t>
      </w:r>
      <w:r>
        <w:rPr/>
        <w:t>barème</w:t>
      </w:r>
      <w:r>
        <w:rPr>
          <w:spacing w:val="-11"/>
        </w:rPr>
        <w:t> </w:t>
      </w:r>
      <w:r>
        <w:rPr/>
        <w:t>ordinaire</w:t>
      </w:r>
      <w:r>
        <w:rPr>
          <w:spacing w:val="-11"/>
        </w:rPr>
        <w:t> </w:t>
      </w:r>
      <w:r>
        <w:rPr/>
        <w:t>[Art.</w:t>
      </w:r>
      <w:r>
        <w:rPr>
          <w:spacing w:val="-9"/>
        </w:rPr>
        <w:t> </w:t>
      </w:r>
      <w:r>
        <w:rPr/>
        <w:t>40b</w:t>
      </w:r>
      <w:r>
        <w:rPr>
          <w:position w:val="6"/>
          <w:sz w:val="12"/>
        </w:rPr>
        <w:t>quater</w:t>
      </w:r>
      <w:r>
        <w:rPr>
          <w:spacing w:val="6"/>
          <w:position w:val="6"/>
          <w:sz w:val="12"/>
        </w:rPr>
        <w:t> </w:t>
      </w:r>
      <w:r>
        <w:rPr/>
        <w:t>LCdir*].</w:t>
      </w:r>
      <w:r>
        <w:rPr>
          <w:spacing w:val="-11"/>
        </w:rPr>
        <w:t> </w:t>
      </w:r>
      <w:r>
        <w:rPr/>
        <w:t>Le</w:t>
      </w:r>
      <w:r>
        <w:rPr>
          <w:spacing w:val="-11"/>
        </w:rPr>
        <w:t> </w:t>
      </w:r>
      <w:r>
        <w:rPr/>
        <w:t>rabais</w:t>
      </w:r>
      <w:r>
        <w:rPr>
          <w:spacing w:val="-12"/>
        </w:rPr>
        <w:t> </w:t>
      </w:r>
      <w:r>
        <w:rPr/>
        <w:t>d'impôt</w:t>
      </w:r>
      <w:r>
        <w:rPr>
          <w:spacing w:val="-9"/>
        </w:rPr>
        <w:t> </w:t>
      </w:r>
      <w:r>
        <w:rPr/>
        <w:t>n'est pas applicable.</w:t>
      </w:r>
    </w:p>
    <w:p>
      <w:pPr>
        <w:pStyle w:val="BodyText"/>
        <w:spacing w:before="36"/>
        <w:ind w:left="1134" w:right="148"/>
      </w:pPr>
      <w:r>
        <w:rPr>
          <w:position w:val="6"/>
          <w:sz w:val="12"/>
        </w:rPr>
        <w:t>3</w:t>
      </w:r>
      <w:r>
        <w:rPr>
          <w:spacing w:val="-3"/>
          <w:position w:val="6"/>
          <w:sz w:val="12"/>
        </w:rPr>
        <w:t> </w:t>
      </w:r>
      <w:r>
        <w:rPr/>
        <w:t>L'impôt</w:t>
      </w:r>
      <w:r>
        <w:rPr>
          <w:spacing w:val="-6"/>
        </w:rPr>
        <w:t> </w:t>
      </w:r>
      <w:r>
        <w:rPr/>
        <w:t>sur</w:t>
      </w:r>
      <w:r>
        <w:rPr>
          <w:spacing w:val="-6"/>
        </w:rPr>
        <w:t> </w:t>
      </w:r>
      <w:r>
        <w:rPr/>
        <w:t>la</w:t>
      </w:r>
      <w:r>
        <w:rPr>
          <w:spacing w:val="-5"/>
        </w:rPr>
        <w:t> </w:t>
      </w:r>
      <w:r>
        <w:rPr/>
        <w:t>fortune</w:t>
      </w:r>
      <w:r>
        <w:rPr>
          <w:spacing w:val="-5"/>
        </w:rPr>
        <w:t> </w:t>
      </w:r>
      <w:r>
        <w:rPr/>
        <w:t>est</w:t>
      </w:r>
      <w:r>
        <w:rPr>
          <w:spacing w:val="-8"/>
        </w:rPr>
        <w:t> </w:t>
      </w:r>
      <w:r>
        <w:rPr/>
        <w:t>calculé</w:t>
      </w:r>
      <w:r>
        <w:rPr>
          <w:spacing w:val="-5"/>
        </w:rPr>
        <w:t> </w:t>
      </w:r>
      <w:r>
        <w:rPr/>
        <w:t>sur</w:t>
      </w:r>
      <w:r>
        <w:rPr>
          <w:spacing w:val="-6"/>
        </w:rPr>
        <w:t> </w:t>
      </w:r>
      <w:r>
        <w:rPr/>
        <w:t>la</w:t>
      </w:r>
      <w:r>
        <w:rPr>
          <w:spacing w:val="-8"/>
        </w:rPr>
        <w:t> </w:t>
      </w:r>
      <w:r>
        <w:rPr/>
        <w:t>valeur</w:t>
      </w:r>
      <w:r>
        <w:rPr>
          <w:spacing w:val="-6"/>
        </w:rPr>
        <w:t> </w:t>
      </w:r>
      <w:r>
        <w:rPr/>
        <w:t>des</w:t>
      </w:r>
      <w:r>
        <w:rPr>
          <w:spacing w:val="-5"/>
        </w:rPr>
        <w:t> </w:t>
      </w:r>
      <w:r>
        <w:rPr/>
        <w:t>biens</w:t>
      </w:r>
      <w:r>
        <w:rPr>
          <w:spacing w:val="-7"/>
        </w:rPr>
        <w:t> </w:t>
      </w:r>
      <w:r>
        <w:rPr/>
        <w:t>mobiliers</w:t>
      </w:r>
      <w:r>
        <w:rPr>
          <w:spacing w:val="-5"/>
        </w:rPr>
        <w:t> </w:t>
      </w:r>
      <w:r>
        <w:rPr/>
        <w:t>et</w:t>
      </w:r>
      <w:r>
        <w:rPr>
          <w:spacing w:val="-8"/>
        </w:rPr>
        <w:t> </w:t>
      </w:r>
      <w:r>
        <w:rPr/>
        <w:t>immobiliers</w:t>
      </w:r>
      <w:r>
        <w:rPr>
          <w:spacing w:val="-7"/>
        </w:rPr>
        <w:t> </w:t>
      </w:r>
      <w:r>
        <w:rPr/>
        <w:t>sis</w:t>
      </w:r>
      <w:r>
        <w:rPr>
          <w:spacing w:val="-7"/>
        </w:rPr>
        <w:t> </w:t>
      </w:r>
      <w:r>
        <w:rPr/>
        <w:t>en</w:t>
      </w:r>
      <w:r>
        <w:rPr>
          <w:spacing w:val="-5"/>
        </w:rPr>
        <w:t> </w:t>
      </w:r>
      <w:r>
        <w:rPr/>
        <w:t>Suisse,</w:t>
      </w:r>
      <w:r>
        <w:rPr>
          <w:spacing w:val="-8"/>
        </w:rPr>
        <w:t> </w:t>
      </w:r>
      <w:r>
        <w:rPr/>
        <w:t>mais</w:t>
      </w:r>
      <w:r>
        <w:rPr>
          <w:spacing w:val="-5"/>
        </w:rPr>
        <w:t> </w:t>
      </w:r>
      <w:r>
        <w:rPr/>
        <w:t>au minimum sur la base imposable déterminante pour l'impôt sur le revenu multipliée par cinq.</w:t>
      </w:r>
    </w:p>
    <w:p>
      <w:pPr>
        <w:pStyle w:val="BodyText"/>
        <w:spacing w:before="36"/>
        <w:ind w:left="1134"/>
      </w:pPr>
      <w:r>
        <w:rPr>
          <w:position w:val="6"/>
          <w:sz w:val="12"/>
        </w:rPr>
        <w:t>4</w:t>
      </w:r>
      <w:r>
        <w:rPr>
          <w:spacing w:val="-3"/>
          <w:position w:val="6"/>
          <w:sz w:val="12"/>
        </w:rPr>
        <w:t> </w:t>
      </w:r>
      <w:r>
        <w:rPr/>
        <w:t>L'impôt</w:t>
      </w:r>
      <w:r>
        <w:rPr>
          <w:spacing w:val="-4"/>
        </w:rPr>
        <w:t> </w:t>
      </w:r>
      <w:r>
        <w:rPr/>
        <w:t>sur</w:t>
      </w:r>
      <w:r>
        <w:rPr>
          <w:spacing w:val="-1"/>
        </w:rPr>
        <w:t> </w:t>
      </w:r>
      <w:r>
        <w:rPr/>
        <w:t>la</w:t>
      </w:r>
      <w:r>
        <w:rPr>
          <w:spacing w:val="-1"/>
        </w:rPr>
        <w:t> </w:t>
      </w:r>
      <w:r>
        <w:rPr/>
        <w:t>fortune</w:t>
      </w:r>
      <w:r>
        <w:rPr>
          <w:spacing w:val="-3"/>
        </w:rPr>
        <w:t> </w:t>
      </w:r>
      <w:r>
        <w:rPr/>
        <w:t>est</w:t>
      </w:r>
      <w:r>
        <w:rPr>
          <w:spacing w:val="-4"/>
        </w:rPr>
        <w:t> </w:t>
      </w:r>
      <w:r>
        <w:rPr/>
        <w:t>perçu d'après</w:t>
      </w:r>
      <w:r>
        <w:rPr>
          <w:spacing w:val="-2"/>
        </w:rPr>
        <w:t> </w:t>
      </w:r>
      <w:r>
        <w:rPr/>
        <w:t>le</w:t>
      </w:r>
      <w:r>
        <w:rPr>
          <w:spacing w:val="-4"/>
        </w:rPr>
        <w:t> </w:t>
      </w:r>
      <w:r>
        <w:rPr/>
        <w:t>barème ordinaire</w:t>
      </w:r>
      <w:r>
        <w:rPr>
          <w:spacing w:val="-4"/>
        </w:rPr>
        <w:t> </w:t>
      </w:r>
      <w:r>
        <w:rPr/>
        <w:t>[Art.</w:t>
      </w:r>
      <w:r>
        <w:rPr>
          <w:spacing w:val="-1"/>
        </w:rPr>
        <w:t> </w:t>
      </w:r>
      <w:r>
        <w:rPr/>
        <w:t>53</w:t>
      </w:r>
      <w:r>
        <w:rPr>
          <w:spacing w:val="-3"/>
        </w:rPr>
        <w:t> </w:t>
      </w:r>
      <w:r>
        <w:rPr>
          <w:spacing w:val="-2"/>
        </w:rPr>
        <w:t>LCdir].</w:t>
      </w:r>
    </w:p>
    <w:p>
      <w:pPr>
        <w:pStyle w:val="BodyText"/>
        <w:spacing w:before="36"/>
        <w:ind w:left="1134" w:right="700"/>
      </w:pPr>
      <w:r>
        <w:rPr>
          <w:position w:val="6"/>
          <w:sz w:val="12"/>
        </w:rPr>
        <w:t>5</w:t>
      </w:r>
      <w:r>
        <w:rPr>
          <w:spacing w:val="13"/>
          <w:position w:val="6"/>
          <w:sz w:val="12"/>
        </w:rPr>
        <w:t> </w:t>
      </w:r>
      <w:r>
        <w:rPr/>
        <w:t>Le</w:t>
      </w:r>
      <w:r>
        <w:rPr>
          <w:spacing w:val="-4"/>
        </w:rPr>
        <w:t> </w:t>
      </w:r>
      <w:r>
        <w:rPr/>
        <w:t>montant</w:t>
      </w:r>
      <w:r>
        <w:rPr>
          <w:spacing w:val="-4"/>
        </w:rPr>
        <w:t> </w:t>
      </w:r>
      <w:r>
        <w:rPr/>
        <w:t>de</w:t>
      </w:r>
      <w:r>
        <w:rPr>
          <w:spacing w:val="-6"/>
        </w:rPr>
        <w:t> </w:t>
      </w:r>
      <w:r>
        <w:rPr/>
        <w:t>l'impôt</w:t>
      </w:r>
      <w:r>
        <w:rPr>
          <w:spacing w:val="-4"/>
        </w:rPr>
        <w:t> </w:t>
      </w:r>
      <w:r>
        <w:rPr/>
        <w:t>d'après</w:t>
      </w:r>
      <w:r>
        <w:rPr>
          <w:spacing w:val="-3"/>
        </w:rPr>
        <w:t> </w:t>
      </w:r>
      <w:r>
        <w:rPr/>
        <w:t>la</w:t>
      </w:r>
      <w:r>
        <w:rPr>
          <w:spacing w:val="-4"/>
        </w:rPr>
        <w:t> </w:t>
      </w:r>
      <w:r>
        <w:rPr/>
        <w:t>dépense</w:t>
      </w:r>
      <w:r>
        <w:rPr>
          <w:spacing w:val="-6"/>
        </w:rPr>
        <w:t> </w:t>
      </w:r>
      <w:r>
        <w:rPr/>
        <w:t>doit</w:t>
      </w:r>
      <w:r>
        <w:rPr>
          <w:spacing w:val="-7"/>
        </w:rPr>
        <w:t> </w:t>
      </w:r>
      <w:r>
        <w:rPr/>
        <w:t>être</w:t>
      </w:r>
      <w:r>
        <w:rPr>
          <w:spacing w:val="-4"/>
        </w:rPr>
        <w:t> </w:t>
      </w:r>
      <w:r>
        <w:rPr/>
        <w:t>au</w:t>
      </w:r>
      <w:r>
        <w:rPr>
          <w:spacing w:val="-4"/>
        </w:rPr>
        <w:t> </w:t>
      </w:r>
      <w:r>
        <w:rPr/>
        <w:t>moins</w:t>
      </w:r>
      <w:r>
        <w:rPr>
          <w:spacing w:val="-3"/>
        </w:rPr>
        <w:t> </w:t>
      </w:r>
      <w:r>
        <w:rPr/>
        <w:t>égal</w:t>
      </w:r>
      <w:r>
        <w:rPr>
          <w:spacing w:val="-4"/>
        </w:rPr>
        <w:t> </w:t>
      </w:r>
      <w:r>
        <w:rPr/>
        <w:t>à</w:t>
      </w:r>
      <w:r>
        <w:rPr>
          <w:spacing w:val="-4"/>
        </w:rPr>
        <w:t> </w:t>
      </w:r>
      <w:r>
        <w:rPr/>
        <w:t>la</w:t>
      </w:r>
      <w:r>
        <w:rPr>
          <w:spacing w:val="-4"/>
        </w:rPr>
        <w:t> </w:t>
      </w:r>
      <w:r>
        <w:rPr/>
        <w:t>somme</w:t>
      </w:r>
      <w:r>
        <w:rPr>
          <w:spacing w:val="-4"/>
        </w:rPr>
        <w:t> </w:t>
      </w:r>
      <w:r>
        <w:rPr/>
        <w:t>des</w:t>
      </w:r>
      <w:r>
        <w:rPr>
          <w:spacing w:val="-3"/>
        </w:rPr>
        <w:t> </w:t>
      </w:r>
      <w:r>
        <w:rPr/>
        <w:t>impôts</w:t>
      </w:r>
      <w:r>
        <w:rPr>
          <w:spacing w:val="-6"/>
        </w:rPr>
        <w:t> </w:t>
      </w:r>
      <w:r>
        <w:rPr/>
        <w:t>sur</w:t>
      </w:r>
      <w:r>
        <w:rPr>
          <w:spacing w:val="-4"/>
        </w:rPr>
        <w:t> </w:t>
      </w:r>
      <w:r>
        <w:rPr/>
        <w:t>le</w:t>
      </w:r>
      <w:r>
        <w:rPr>
          <w:spacing w:val="-4"/>
        </w:rPr>
        <w:t> </w:t>
      </w:r>
      <w:r>
        <w:rPr/>
        <w:t>revenu et sur la fortune calculés selon le barème ordinaire sur le montant total des éléments bruts suivants:</w:t>
      </w:r>
    </w:p>
    <w:p>
      <w:pPr>
        <w:pStyle w:val="ListParagraph"/>
        <w:numPr>
          <w:ilvl w:val="1"/>
          <w:numId w:val="12"/>
        </w:numPr>
        <w:tabs>
          <w:tab w:pos="1843" w:val="left" w:leader="none"/>
        </w:tabs>
        <w:spacing w:line="240" w:lineRule="auto" w:before="40" w:after="0"/>
        <w:ind w:left="1843" w:right="0" w:hanging="284"/>
        <w:jc w:val="left"/>
        <w:rPr>
          <w:sz w:val="18"/>
        </w:rPr>
      </w:pPr>
      <w:r>
        <w:rPr>
          <w:sz w:val="18"/>
        </w:rPr>
        <w:t>la</w:t>
      </w:r>
      <w:r>
        <w:rPr>
          <w:spacing w:val="-1"/>
          <w:sz w:val="18"/>
        </w:rPr>
        <w:t> </w:t>
      </w:r>
      <w:r>
        <w:rPr>
          <w:sz w:val="18"/>
        </w:rPr>
        <w:t>fortune</w:t>
      </w:r>
      <w:r>
        <w:rPr>
          <w:spacing w:val="-4"/>
          <w:sz w:val="18"/>
        </w:rPr>
        <w:t> </w:t>
      </w:r>
      <w:r>
        <w:rPr>
          <w:sz w:val="18"/>
        </w:rPr>
        <w:t>immobilière</w:t>
      </w:r>
      <w:r>
        <w:rPr>
          <w:spacing w:val="-3"/>
          <w:sz w:val="18"/>
        </w:rPr>
        <w:t> </w:t>
      </w:r>
      <w:r>
        <w:rPr>
          <w:sz w:val="18"/>
        </w:rPr>
        <w:t>sise</w:t>
      </w:r>
      <w:r>
        <w:rPr>
          <w:spacing w:val="-1"/>
          <w:sz w:val="18"/>
        </w:rPr>
        <w:t> </w:t>
      </w:r>
      <w:r>
        <w:rPr>
          <w:sz w:val="18"/>
        </w:rPr>
        <w:t>en</w:t>
      </w:r>
      <w:r>
        <w:rPr>
          <w:spacing w:val="-5"/>
          <w:sz w:val="18"/>
        </w:rPr>
        <w:t> </w:t>
      </w:r>
      <w:r>
        <w:rPr>
          <w:sz w:val="18"/>
        </w:rPr>
        <w:t>Suisse</w:t>
      </w:r>
      <w:r>
        <w:rPr>
          <w:spacing w:val="-1"/>
          <w:sz w:val="18"/>
        </w:rPr>
        <w:t> </w:t>
      </w:r>
      <w:r>
        <w:rPr>
          <w:sz w:val="18"/>
        </w:rPr>
        <w:t>et</w:t>
      </w:r>
      <w:r>
        <w:rPr>
          <w:spacing w:val="-3"/>
          <w:sz w:val="18"/>
        </w:rPr>
        <w:t> </w:t>
      </w:r>
      <w:r>
        <w:rPr>
          <w:sz w:val="18"/>
        </w:rPr>
        <w:t>les</w:t>
      </w:r>
      <w:r>
        <w:rPr>
          <w:spacing w:val="-1"/>
          <w:sz w:val="18"/>
        </w:rPr>
        <w:t> </w:t>
      </w:r>
      <w:r>
        <w:rPr>
          <w:sz w:val="18"/>
        </w:rPr>
        <w:t>revenus</w:t>
      </w:r>
      <w:r>
        <w:rPr>
          <w:spacing w:val="-2"/>
          <w:sz w:val="18"/>
        </w:rPr>
        <w:t> </w:t>
      </w:r>
      <w:r>
        <w:rPr>
          <w:sz w:val="18"/>
        </w:rPr>
        <w:t>qui</w:t>
      </w:r>
      <w:r>
        <w:rPr>
          <w:spacing w:val="-4"/>
          <w:sz w:val="18"/>
        </w:rPr>
        <w:t> </w:t>
      </w:r>
      <w:r>
        <w:rPr>
          <w:sz w:val="18"/>
        </w:rPr>
        <w:t>en </w:t>
      </w:r>
      <w:r>
        <w:rPr>
          <w:spacing w:val="-2"/>
          <w:sz w:val="18"/>
        </w:rPr>
        <w:t>proviennent;</w:t>
      </w:r>
    </w:p>
    <w:p>
      <w:pPr>
        <w:pStyle w:val="ListParagraph"/>
        <w:numPr>
          <w:ilvl w:val="1"/>
          <w:numId w:val="12"/>
        </w:numPr>
        <w:tabs>
          <w:tab w:pos="1843" w:val="left" w:leader="none"/>
        </w:tabs>
        <w:spacing w:line="240" w:lineRule="auto" w:before="40" w:after="0"/>
        <w:ind w:left="1843" w:right="0" w:hanging="284"/>
        <w:jc w:val="left"/>
        <w:rPr>
          <w:sz w:val="18"/>
        </w:rPr>
      </w:pPr>
      <w:r>
        <w:rPr>
          <w:sz w:val="18"/>
        </w:rPr>
        <w:t>les</w:t>
      </w:r>
      <w:r>
        <w:rPr>
          <w:spacing w:val="-3"/>
          <w:sz w:val="18"/>
        </w:rPr>
        <w:t> </w:t>
      </w:r>
      <w:r>
        <w:rPr>
          <w:sz w:val="18"/>
        </w:rPr>
        <w:t>objets</w:t>
      </w:r>
      <w:r>
        <w:rPr>
          <w:spacing w:val="-3"/>
          <w:sz w:val="18"/>
        </w:rPr>
        <w:t> </w:t>
      </w:r>
      <w:r>
        <w:rPr>
          <w:sz w:val="18"/>
        </w:rPr>
        <w:t>mobiliers</w:t>
      </w:r>
      <w:r>
        <w:rPr>
          <w:spacing w:val="-3"/>
          <w:sz w:val="18"/>
        </w:rPr>
        <w:t> </w:t>
      </w:r>
      <w:r>
        <w:rPr>
          <w:sz w:val="18"/>
        </w:rPr>
        <w:t>se</w:t>
      </w:r>
      <w:r>
        <w:rPr>
          <w:spacing w:val="-1"/>
          <w:sz w:val="18"/>
        </w:rPr>
        <w:t> </w:t>
      </w:r>
      <w:r>
        <w:rPr>
          <w:sz w:val="18"/>
        </w:rPr>
        <w:t>trouvant</w:t>
      </w:r>
      <w:r>
        <w:rPr>
          <w:spacing w:val="-2"/>
          <w:sz w:val="18"/>
        </w:rPr>
        <w:t> </w:t>
      </w:r>
      <w:r>
        <w:rPr>
          <w:sz w:val="18"/>
        </w:rPr>
        <w:t>en Suisse</w:t>
      </w:r>
      <w:r>
        <w:rPr>
          <w:spacing w:val="-1"/>
          <w:sz w:val="18"/>
        </w:rPr>
        <w:t> </w:t>
      </w:r>
      <w:r>
        <w:rPr>
          <w:sz w:val="18"/>
        </w:rPr>
        <w:t>et</w:t>
      </w:r>
      <w:r>
        <w:rPr>
          <w:spacing w:val="-2"/>
          <w:sz w:val="18"/>
        </w:rPr>
        <w:t> </w:t>
      </w:r>
      <w:r>
        <w:rPr>
          <w:sz w:val="18"/>
        </w:rPr>
        <w:t>les</w:t>
      </w:r>
      <w:r>
        <w:rPr>
          <w:spacing w:val="-1"/>
          <w:sz w:val="18"/>
        </w:rPr>
        <w:t> </w:t>
      </w:r>
      <w:r>
        <w:rPr>
          <w:sz w:val="18"/>
        </w:rPr>
        <w:t>revenus</w:t>
      </w:r>
      <w:r>
        <w:rPr>
          <w:spacing w:val="-3"/>
          <w:sz w:val="18"/>
        </w:rPr>
        <w:t> </w:t>
      </w:r>
      <w:r>
        <w:rPr>
          <w:sz w:val="18"/>
        </w:rPr>
        <w:t>qui</w:t>
      </w:r>
      <w:r>
        <w:rPr>
          <w:spacing w:val="-4"/>
          <w:sz w:val="18"/>
        </w:rPr>
        <w:t> </w:t>
      </w:r>
      <w:r>
        <w:rPr>
          <w:sz w:val="18"/>
        </w:rPr>
        <w:t>en </w:t>
      </w:r>
      <w:r>
        <w:rPr>
          <w:spacing w:val="-2"/>
          <w:sz w:val="18"/>
        </w:rPr>
        <w:t>proviennent;</w:t>
      </w:r>
    </w:p>
    <w:p>
      <w:pPr>
        <w:pStyle w:val="ListParagraph"/>
        <w:numPr>
          <w:ilvl w:val="1"/>
          <w:numId w:val="12"/>
        </w:numPr>
        <w:tabs>
          <w:tab w:pos="1843" w:val="left" w:leader="none"/>
          <w:tab w:pos="1845" w:val="left" w:leader="none"/>
        </w:tabs>
        <w:spacing w:line="240" w:lineRule="auto" w:before="41" w:after="0"/>
        <w:ind w:left="1845" w:right="703" w:hanging="286"/>
        <w:jc w:val="left"/>
        <w:rPr>
          <w:sz w:val="18"/>
        </w:rPr>
      </w:pPr>
      <w:r>
        <w:rPr>
          <w:sz w:val="18"/>
        </w:rPr>
        <w:t>les</w:t>
      </w:r>
      <w:r>
        <w:rPr>
          <w:spacing w:val="-3"/>
          <w:sz w:val="18"/>
        </w:rPr>
        <w:t> </w:t>
      </w:r>
      <w:r>
        <w:rPr>
          <w:sz w:val="18"/>
        </w:rPr>
        <w:t>capitaux</w:t>
      </w:r>
      <w:r>
        <w:rPr>
          <w:spacing w:val="-4"/>
          <w:sz w:val="18"/>
        </w:rPr>
        <w:t> </w:t>
      </w:r>
      <w:r>
        <w:rPr>
          <w:sz w:val="18"/>
        </w:rPr>
        <w:t>mobiliers</w:t>
      </w:r>
      <w:r>
        <w:rPr>
          <w:spacing w:val="-6"/>
          <w:sz w:val="18"/>
        </w:rPr>
        <w:t> </w:t>
      </w:r>
      <w:r>
        <w:rPr>
          <w:sz w:val="18"/>
        </w:rPr>
        <w:t>placés</w:t>
      </w:r>
      <w:r>
        <w:rPr>
          <w:spacing w:val="-6"/>
          <w:sz w:val="18"/>
        </w:rPr>
        <w:t> </w:t>
      </w:r>
      <w:r>
        <w:rPr>
          <w:sz w:val="18"/>
        </w:rPr>
        <w:t>en</w:t>
      </w:r>
      <w:r>
        <w:rPr>
          <w:spacing w:val="-4"/>
          <w:sz w:val="18"/>
        </w:rPr>
        <w:t> </w:t>
      </w:r>
      <w:r>
        <w:rPr>
          <w:sz w:val="18"/>
        </w:rPr>
        <w:t>Suisse,</w:t>
      </w:r>
      <w:r>
        <w:rPr>
          <w:spacing w:val="-7"/>
          <w:sz w:val="18"/>
        </w:rPr>
        <w:t> </w:t>
      </w:r>
      <w:r>
        <w:rPr>
          <w:sz w:val="18"/>
        </w:rPr>
        <w:t>y</w:t>
      </w:r>
      <w:r>
        <w:rPr>
          <w:spacing w:val="-3"/>
          <w:sz w:val="18"/>
        </w:rPr>
        <w:t> </w:t>
      </w:r>
      <w:r>
        <w:rPr>
          <w:sz w:val="18"/>
        </w:rPr>
        <w:t>compris</w:t>
      </w:r>
      <w:r>
        <w:rPr>
          <w:spacing w:val="-4"/>
          <w:sz w:val="18"/>
        </w:rPr>
        <w:t> </w:t>
      </w:r>
      <w:r>
        <w:rPr>
          <w:sz w:val="18"/>
        </w:rPr>
        <w:t>les</w:t>
      </w:r>
      <w:r>
        <w:rPr>
          <w:spacing w:val="-3"/>
          <w:sz w:val="18"/>
        </w:rPr>
        <w:t> </w:t>
      </w:r>
      <w:r>
        <w:rPr>
          <w:sz w:val="18"/>
        </w:rPr>
        <w:t>créances</w:t>
      </w:r>
      <w:r>
        <w:rPr>
          <w:spacing w:val="-4"/>
          <w:sz w:val="18"/>
        </w:rPr>
        <w:t> </w:t>
      </w:r>
      <w:r>
        <w:rPr>
          <w:sz w:val="18"/>
        </w:rPr>
        <w:t>garanties</w:t>
      </w:r>
      <w:r>
        <w:rPr>
          <w:spacing w:val="-3"/>
          <w:sz w:val="18"/>
        </w:rPr>
        <w:t> </w:t>
      </w:r>
      <w:r>
        <w:rPr>
          <w:sz w:val="18"/>
        </w:rPr>
        <w:t>par</w:t>
      </w:r>
      <w:r>
        <w:rPr>
          <w:spacing w:val="-4"/>
          <w:sz w:val="18"/>
        </w:rPr>
        <w:t> </w:t>
      </w:r>
      <w:r>
        <w:rPr>
          <w:sz w:val="18"/>
        </w:rPr>
        <w:t>gage</w:t>
      </w:r>
      <w:r>
        <w:rPr>
          <w:spacing w:val="-4"/>
          <w:sz w:val="18"/>
        </w:rPr>
        <w:t> </w:t>
      </w:r>
      <w:r>
        <w:rPr>
          <w:sz w:val="18"/>
        </w:rPr>
        <w:t>immobilier, et les revenus qui en proviennent;</w:t>
      </w:r>
    </w:p>
    <w:p>
      <w:pPr>
        <w:pStyle w:val="ListParagraph"/>
        <w:numPr>
          <w:ilvl w:val="1"/>
          <w:numId w:val="12"/>
        </w:numPr>
        <w:tabs>
          <w:tab w:pos="1843" w:val="left" w:leader="none"/>
          <w:tab w:pos="1845" w:val="left" w:leader="none"/>
        </w:tabs>
        <w:spacing w:line="240" w:lineRule="auto" w:before="39" w:after="0"/>
        <w:ind w:left="1845" w:right="703" w:hanging="286"/>
        <w:jc w:val="left"/>
        <w:rPr>
          <w:sz w:val="18"/>
        </w:rPr>
      </w:pPr>
      <w:r>
        <w:rPr>
          <w:sz w:val="18"/>
        </w:rPr>
        <w:t>les droits d'auteur, brevets et droits analogues exploités en Suisse et les revenus qui en pro-</w:t>
      </w:r>
      <w:r>
        <w:rPr>
          <w:spacing w:val="-2"/>
          <w:sz w:val="18"/>
        </w:rPr>
        <w:t>viennent;</w:t>
      </w:r>
    </w:p>
    <w:p>
      <w:pPr>
        <w:pStyle w:val="ListParagraph"/>
        <w:numPr>
          <w:ilvl w:val="1"/>
          <w:numId w:val="12"/>
        </w:numPr>
        <w:tabs>
          <w:tab w:pos="1843" w:val="left" w:leader="none"/>
        </w:tabs>
        <w:spacing w:line="240" w:lineRule="auto" w:before="40" w:after="0"/>
        <w:ind w:left="1843" w:right="0" w:hanging="284"/>
        <w:jc w:val="left"/>
        <w:rPr>
          <w:sz w:val="18"/>
        </w:rPr>
      </w:pPr>
      <w:r>
        <w:rPr>
          <w:sz w:val="18"/>
        </w:rPr>
        <w:t>les</w:t>
      </w:r>
      <w:r>
        <w:rPr>
          <w:spacing w:val="-2"/>
          <w:sz w:val="18"/>
        </w:rPr>
        <w:t> </w:t>
      </w:r>
      <w:r>
        <w:rPr>
          <w:sz w:val="18"/>
        </w:rPr>
        <w:t>retraites,</w:t>
      </w:r>
      <w:r>
        <w:rPr>
          <w:spacing w:val="-4"/>
          <w:sz w:val="18"/>
        </w:rPr>
        <w:t> </w:t>
      </w:r>
      <w:r>
        <w:rPr>
          <w:sz w:val="18"/>
        </w:rPr>
        <w:t>rentes</w:t>
      </w:r>
      <w:r>
        <w:rPr>
          <w:spacing w:val="-4"/>
          <w:sz w:val="18"/>
        </w:rPr>
        <w:t> </w:t>
      </w:r>
      <w:r>
        <w:rPr>
          <w:sz w:val="18"/>
        </w:rPr>
        <w:t>et</w:t>
      </w:r>
      <w:r>
        <w:rPr>
          <w:spacing w:val="-2"/>
          <w:sz w:val="18"/>
        </w:rPr>
        <w:t> </w:t>
      </w:r>
      <w:r>
        <w:rPr>
          <w:sz w:val="18"/>
        </w:rPr>
        <w:t>pensions</w:t>
      </w:r>
      <w:r>
        <w:rPr>
          <w:spacing w:val="-2"/>
          <w:sz w:val="18"/>
        </w:rPr>
        <w:t> </w:t>
      </w:r>
      <w:r>
        <w:rPr>
          <w:sz w:val="18"/>
        </w:rPr>
        <w:t>de</w:t>
      </w:r>
      <w:r>
        <w:rPr>
          <w:spacing w:val="-4"/>
          <w:sz w:val="18"/>
        </w:rPr>
        <w:t> </w:t>
      </w:r>
      <w:r>
        <w:rPr>
          <w:sz w:val="18"/>
        </w:rPr>
        <w:t>sources</w:t>
      </w:r>
      <w:r>
        <w:rPr>
          <w:spacing w:val="-1"/>
          <w:sz w:val="18"/>
        </w:rPr>
        <w:t> </w:t>
      </w:r>
      <w:r>
        <w:rPr>
          <w:spacing w:val="-2"/>
          <w:sz w:val="18"/>
        </w:rPr>
        <w:t>suisses;</w:t>
      </w:r>
    </w:p>
    <w:p>
      <w:pPr>
        <w:pStyle w:val="ListParagraph"/>
        <w:numPr>
          <w:ilvl w:val="1"/>
          <w:numId w:val="12"/>
        </w:numPr>
        <w:tabs>
          <w:tab w:pos="1843" w:val="left" w:leader="none"/>
          <w:tab w:pos="1845" w:val="left" w:leader="none"/>
        </w:tabs>
        <w:spacing w:line="240" w:lineRule="auto" w:before="40" w:after="0"/>
        <w:ind w:left="1845" w:right="704" w:hanging="286"/>
        <w:jc w:val="both"/>
        <w:rPr>
          <w:sz w:val="18"/>
        </w:rPr>
      </w:pPr>
      <w:r>
        <w:rPr>
          <w:sz w:val="18"/>
        </w:rPr>
        <w:t>les revenus pour lesquels le contribuable requiert un dégrèvement partiel ou total d'impôts étrangers en application d'une convention conclue par la Suisse en vue d'éviter les doubles </w:t>
      </w:r>
      <w:r>
        <w:rPr>
          <w:spacing w:val="-2"/>
          <w:sz w:val="18"/>
        </w:rPr>
        <w:t>impositions.</w:t>
      </w:r>
    </w:p>
    <w:p>
      <w:pPr>
        <w:pStyle w:val="BodyText"/>
        <w:spacing w:before="38"/>
        <w:ind w:left="1134" w:right="703"/>
        <w:jc w:val="both"/>
      </w:pPr>
      <w:r>
        <w:rPr>
          <w:position w:val="6"/>
          <w:sz w:val="12"/>
        </w:rPr>
        <w:t>6 </w:t>
      </w:r>
      <w:r>
        <w:rPr/>
        <w:t>Si les revenus provenant d'un Etat étranger y sont exonérés à la condition que la Suisse les impose, seuls ou avec d'autres revenus, au taux du revenu total, l'impôt est calculé non seulement sur la base des revenus mentionnés à l'alinéa 5, mais aussi de tous les éléments du revenu provenant de l'Etat-source</w:t>
      </w:r>
      <w:r>
        <w:rPr>
          <w:spacing w:val="-13"/>
        </w:rPr>
        <w:t> </w:t>
      </w:r>
      <w:r>
        <w:rPr/>
        <w:t>qui</w:t>
      </w:r>
      <w:r>
        <w:rPr>
          <w:spacing w:val="-12"/>
        </w:rPr>
        <w:t> </w:t>
      </w:r>
      <w:r>
        <w:rPr/>
        <w:t>sont</w:t>
      </w:r>
      <w:r>
        <w:rPr>
          <w:spacing w:val="-13"/>
        </w:rPr>
        <w:t> </w:t>
      </w:r>
      <w:r>
        <w:rPr/>
        <w:t>attribués</w:t>
      </w:r>
      <w:r>
        <w:rPr>
          <w:spacing w:val="-12"/>
        </w:rPr>
        <w:t> </w:t>
      </w:r>
      <w:r>
        <w:rPr/>
        <w:t>à</w:t>
      </w:r>
      <w:r>
        <w:rPr>
          <w:spacing w:val="-13"/>
        </w:rPr>
        <w:t> </w:t>
      </w:r>
      <w:r>
        <w:rPr/>
        <w:t>la</w:t>
      </w:r>
      <w:r>
        <w:rPr>
          <w:spacing w:val="-13"/>
        </w:rPr>
        <w:t> </w:t>
      </w:r>
      <w:r>
        <w:rPr/>
        <w:t>Suisse</w:t>
      </w:r>
      <w:r>
        <w:rPr>
          <w:spacing w:val="-12"/>
        </w:rPr>
        <w:t> </w:t>
      </w:r>
      <w:r>
        <w:rPr/>
        <w:t>en</w:t>
      </w:r>
      <w:r>
        <w:rPr>
          <w:spacing w:val="-13"/>
        </w:rPr>
        <w:t> </w:t>
      </w:r>
      <w:r>
        <w:rPr/>
        <w:t>vertu</w:t>
      </w:r>
      <w:r>
        <w:rPr>
          <w:spacing w:val="-12"/>
        </w:rPr>
        <w:t> </w:t>
      </w:r>
      <w:r>
        <w:rPr/>
        <w:t>de</w:t>
      </w:r>
      <w:r>
        <w:rPr>
          <w:spacing w:val="-13"/>
        </w:rPr>
        <w:t> </w:t>
      </w:r>
      <w:r>
        <w:rPr/>
        <w:t>la</w:t>
      </w:r>
      <w:r>
        <w:rPr>
          <w:spacing w:val="-12"/>
        </w:rPr>
        <w:t> </w:t>
      </w:r>
      <w:r>
        <w:rPr/>
        <w:t>convention</w:t>
      </w:r>
      <w:r>
        <w:rPr>
          <w:spacing w:val="-13"/>
        </w:rPr>
        <w:t> </w:t>
      </w:r>
      <w:r>
        <w:rPr/>
        <w:t>correspondante</w:t>
      </w:r>
      <w:r>
        <w:rPr>
          <w:spacing w:val="-12"/>
        </w:rPr>
        <w:t> </w:t>
      </w:r>
      <w:r>
        <w:rPr/>
        <w:t>en</w:t>
      </w:r>
      <w:r>
        <w:rPr>
          <w:spacing w:val="-13"/>
        </w:rPr>
        <w:t> </w:t>
      </w:r>
      <w:r>
        <w:rPr/>
        <w:t>vue</w:t>
      </w:r>
      <w:r>
        <w:rPr>
          <w:spacing w:val="-12"/>
        </w:rPr>
        <w:t> </w:t>
      </w:r>
      <w:r>
        <w:rPr/>
        <w:t>d'éviter</w:t>
      </w:r>
      <w:r>
        <w:rPr>
          <w:spacing w:val="-13"/>
        </w:rPr>
        <w:t> </w:t>
      </w:r>
      <w:r>
        <w:rPr/>
        <w:t>les</w:t>
      </w:r>
      <w:r>
        <w:rPr>
          <w:spacing w:val="-12"/>
        </w:rPr>
        <w:t> </w:t>
      </w:r>
      <w:r>
        <w:rPr/>
        <w:t>doubles </w:t>
      </w:r>
      <w:r>
        <w:rPr>
          <w:spacing w:val="-2"/>
        </w:rPr>
        <w:t>impositions.</w:t>
      </w:r>
    </w:p>
    <w:p>
      <w:pPr>
        <w:pStyle w:val="BodyText"/>
        <w:spacing w:before="40"/>
        <w:ind w:left="1134"/>
        <w:jc w:val="both"/>
      </w:pPr>
      <w:r>
        <w:rPr/>
        <w:t>*Compensation</w:t>
      </w:r>
      <w:r>
        <w:rPr>
          <w:spacing w:val="-6"/>
        </w:rPr>
        <w:t> </w:t>
      </w:r>
      <w:r>
        <w:rPr/>
        <w:t>des</w:t>
      </w:r>
      <w:r>
        <w:rPr>
          <w:spacing w:val="-3"/>
        </w:rPr>
        <w:t> </w:t>
      </w:r>
      <w:r>
        <w:rPr/>
        <w:t>effets</w:t>
      </w:r>
      <w:r>
        <w:rPr>
          <w:spacing w:val="-3"/>
        </w:rPr>
        <w:t> </w:t>
      </w:r>
      <w:r>
        <w:rPr/>
        <w:t>de</w:t>
      </w:r>
      <w:r>
        <w:rPr>
          <w:spacing w:val="-1"/>
        </w:rPr>
        <w:t> </w:t>
      </w:r>
      <w:r>
        <w:rPr/>
        <w:t>la</w:t>
      </w:r>
      <w:r>
        <w:rPr>
          <w:spacing w:val="-1"/>
        </w:rPr>
        <w:t> </w:t>
      </w:r>
      <w:r>
        <w:rPr/>
        <w:t>progression</w:t>
      </w:r>
      <w:r>
        <w:rPr>
          <w:spacing w:val="-1"/>
        </w:rPr>
        <w:t> </w:t>
      </w:r>
      <w:r>
        <w:rPr/>
        <w:t>à</w:t>
      </w:r>
      <w:r>
        <w:rPr>
          <w:spacing w:val="-1"/>
        </w:rPr>
        <w:t> </w:t>
      </w:r>
      <w:r>
        <w:rPr/>
        <w:t>froid</w:t>
      </w:r>
      <w:r>
        <w:rPr>
          <w:spacing w:val="-4"/>
        </w:rPr>
        <w:t> </w:t>
      </w:r>
      <w:r>
        <w:rPr/>
        <w:t>selon</w:t>
      </w:r>
      <w:r>
        <w:rPr>
          <w:spacing w:val="-4"/>
        </w:rPr>
        <w:t> </w:t>
      </w:r>
      <w:r>
        <w:rPr/>
        <w:t>l'article</w:t>
      </w:r>
      <w:r>
        <w:rPr>
          <w:spacing w:val="-4"/>
        </w:rPr>
        <w:t> </w:t>
      </w:r>
      <w:r>
        <w:rPr/>
        <w:t>45,</w:t>
      </w:r>
      <w:r>
        <w:rPr>
          <w:spacing w:val="-4"/>
        </w:rPr>
        <w:t> </w:t>
      </w:r>
      <w:r>
        <w:rPr/>
        <w:t>alinéa</w:t>
      </w:r>
      <w:r>
        <w:rPr>
          <w:spacing w:val="-3"/>
        </w:rPr>
        <w:t> </w:t>
      </w:r>
      <w:r>
        <w:rPr>
          <w:spacing w:val="-5"/>
        </w:rPr>
        <w:t>1.</w:t>
      </w:r>
    </w:p>
    <w:p>
      <w:pPr>
        <w:pStyle w:val="Heading8"/>
        <w:spacing w:before="91"/>
      </w:pPr>
      <w:r>
        <w:rPr/>
        <w:t>Art.</w:t>
      </w:r>
      <w:r>
        <w:rPr>
          <w:spacing w:val="-1"/>
        </w:rPr>
        <w:t> </w:t>
      </w:r>
      <w:r>
        <w:rPr/>
        <w:t>8, al.</w:t>
      </w:r>
      <w:r>
        <w:rPr>
          <w:spacing w:val="-3"/>
        </w:rPr>
        <w:t> </w:t>
      </w:r>
      <w:r>
        <w:rPr/>
        <w:t>1</w:t>
      </w:r>
      <w:r>
        <w:rPr>
          <w:spacing w:val="1"/>
        </w:rPr>
        <w:t> </w:t>
      </w:r>
      <w:r>
        <w:rPr>
          <w:spacing w:val="-2"/>
        </w:rPr>
        <w:t>RELCdir</w:t>
      </w:r>
    </w:p>
    <w:p>
      <w:pPr>
        <w:pStyle w:val="BodyText"/>
        <w:spacing w:before="58"/>
        <w:ind w:left="1134" w:right="700"/>
      </w:pPr>
      <w:r>
        <w:rPr>
          <w:position w:val="6"/>
          <w:sz w:val="12"/>
        </w:rPr>
        <w:t>1</w:t>
      </w:r>
      <w:r>
        <w:rPr>
          <w:spacing w:val="11"/>
          <w:position w:val="6"/>
          <w:sz w:val="12"/>
        </w:rPr>
        <w:t> </w:t>
      </w:r>
      <w:r>
        <w:rPr/>
        <w:t>L'impôt</w:t>
      </w:r>
      <w:r>
        <w:rPr>
          <w:spacing w:val="-8"/>
        </w:rPr>
        <w:t> </w:t>
      </w:r>
      <w:r>
        <w:rPr/>
        <w:t>annuel</w:t>
      </w:r>
      <w:r>
        <w:rPr>
          <w:spacing w:val="-5"/>
        </w:rPr>
        <w:t> </w:t>
      </w:r>
      <w:r>
        <w:rPr/>
        <w:t>sur</w:t>
      </w:r>
      <w:r>
        <w:rPr>
          <w:spacing w:val="-6"/>
        </w:rPr>
        <w:t> </w:t>
      </w:r>
      <w:r>
        <w:rPr/>
        <w:t>la dépense est</w:t>
      </w:r>
      <w:r>
        <w:rPr>
          <w:spacing w:val="-6"/>
        </w:rPr>
        <w:t> </w:t>
      </w:r>
      <w:r>
        <w:rPr/>
        <w:t>l'impôt</w:t>
      </w:r>
      <w:r>
        <w:rPr>
          <w:spacing w:val="-6"/>
        </w:rPr>
        <w:t> </w:t>
      </w:r>
      <w:r>
        <w:rPr/>
        <w:t>de</w:t>
      </w:r>
      <w:r>
        <w:rPr>
          <w:spacing w:val="-5"/>
        </w:rPr>
        <w:t> </w:t>
      </w:r>
      <w:r>
        <w:rPr/>
        <w:t>base</w:t>
      </w:r>
      <w:r>
        <w:rPr>
          <w:spacing w:val="-5"/>
        </w:rPr>
        <w:t> </w:t>
      </w:r>
      <w:r>
        <w:rPr/>
        <w:t>calculé</w:t>
      </w:r>
      <w:r>
        <w:rPr>
          <w:spacing w:val="-8"/>
        </w:rPr>
        <w:t> </w:t>
      </w:r>
      <w:r>
        <w:rPr/>
        <w:t>selon</w:t>
      </w:r>
      <w:r>
        <w:rPr>
          <w:spacing w:val="-5"/>
        </w:rPr>
        <w:t> </w:t>
      </w:r>
      <w:r>
        <w:rPr/>
        <w:t>les</w:t>
      </w:r>
      <w:r>
        <w:rPr>
          <w:spacing w:val="-5"/>
        </w:rPr>
        <w:t> </w:t>
      </w:r>
      <w:r>
        <w:rPr/>
        <w:t>barèmes</w:t>
      </w:r>
      <w:r>
        <w:rPr>
          <w:spacing w:val="-5"/>
        </w:rPr>
        <w:t> </w:t>
      </w:r>
      <w:r>
        <w:rPr/>
        <w:t>d'impôt</w:t>
      </w:r>
      <w:r>
        <w:rPr>
          <w:spacing w:val="-6"/>
        </w:rPr>
        <w:t> </w:t>
      </w:r>
      <w:r>
        <w:rPr/>
        <w:t>sur</w:t>
      </w:r>
      <w:r>
        <w:rPr>
          <w:spacing w:val="-6"/>
        </w:rPr>
        <w:t> </w:t>
      </w:r>
      <w:r>
        <w:rPr/>
        <w:t>le</w:t>
      </w:r>
      <w:r>
        <w:rPr>
          <w:spacing w:val="-5"/>
        </w:rPr>
        <w:t> </w:t>
      </w:r>
      <w:r>
        <w:rPr/>
        <w:t>revenu</w:t>
      </w:r>
      <w:r>
        <w:rPr>
          <w:spacing w:val="-5"/>
        </w:rPr>
        <w:t> </w:t>
      </w:r>
      <w:r>
        <w:rPr/>
        <w:t>et</w:t>
      </w:r>
      <w:r>
        <w:rPr>
          <w:spacing w:val="-6"/>
        </w:rPr>
        <w:t> </w:t>
      </w:r>
      <w:r>
        <w:rPr/>
        <w:t>la fortune multipliés par les coefficients des impôts, cantonal et communal, déterminants.</w:t>
      </w:r>
    </w:p>
    <w:p>
      <w:pPr>
        <w:pStyle w:val="BodyText"/>
      </w:pPr>
    </w:p>
    <w:p>
      <w:pPr>
        <w:pStyle w:val="BodyText"/>
        <w:spacing w:before="68"/>
      </w:pPr>
    </w:p>
    <w:p>
      <w:pPr>
        <w:pStyle w:val="Heading2"/>
      </w:pPr>
      <w:bookmarkStart w:name="Coefficient annuel" w:id="37"/>
      <w:bookmarkEnd w:id="37"/>
      <w:r>
        <w:rPr>
          <w:b w:val="0"/>
        </w:rPr>
      </w:r>
      <w:bookmarkStart w:name="_bookmark15" w:id="38"/>
      <w:bookmarkEnd w:id="38"/>
      <w:r>
        <w:rPr>
          <w:b w:val="0"/>
        </w:rPr>
      </w:r>
      <w:r>
        <w:rPr>
          <w:color w:val="2D73B4"/>
        </w:rPr>
        <w:t>Coefficient</w:t>
      </w:r>
      <w:r>
        <w:rPr>
          <w:color w:val="2D73B4"/>
          <w:spacing w:val="-21"/>
        </w:rPr>
        <w:t> </w:t>
      </w:r>
      <w:r>
        <w:rPr>
          <w:color w:val="2D73B4"/>
          <w:spacing w:val="-2"/>
        </w:rPr>
        <w:t>annuel</w:t>
      </w:r>
    </w:p>
    <w:p>
      <w:pPr>
        <w:pStyle w:val="BodyText"/>
        <w:spacing w:before="58"/>
        <w:ind w:left="851"/>
      </w:pPr>
      <w:r>
        <w:rPr/>
        <w:t>(Art.</w:t>
      </w:r>
      <w:r>
        <w:rPr>
          <w:spacing w:val="-2"/>
        </w:rPr>
        <w:t> </w:t>
      </w:r>
      <w:r>
        <w:rPr/>
        <w:t>3 LCdir</w:t>
      </w:r>
      <w:r>
        <w:rPr>
          <w:spacing w:val="-2"/>
        </w:rPr>
        <w:t> </w:t>
      </w:r>
      <w:r>
        <w:rPr/>
        <w:t>;</w:t>
      </w:r>
      <w:r>
        <w:rPr>
          <w:spacing w:val="-1"/>
        </w:rPr>
        <w:t> </w:t>
      </w:r>
      <w:r>
        <w:rPr/>
        <w:t>Art.</w:t>
      </w:r>
      <w:r>
        <w:rPr>
          <w:spacing w:val="-1"/>
        </w:rPr>
        <w:t> </w:t>
      </w:r>
      <w:r>
        <w:rPr/>
        <w:t>premier</w:t>
      </w:r>
      <w:r>
        <w:rPr>
          <w:spacing w:val="-3"/>
        </w:rPr>
        <w:t> </w:t>
      </w:r>
      <w:r>
        <w:rPr>
          <w:spacing w:val="-2"/>
        </w:rPr>
        <w:t>DCICdirPP)</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4">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5"/>
      </w:pPr>
    </w:p>
    <w:p>
      <w:pPr>
        <w:pStyle w:val="Heading8"/>
        <w:spacing w:before="1"/>
      </w:pPr>
      <w:r>
        <w:rPr/>
        <w:t>Art.</w:t>
      </w:r>
      <w:r>
        <w:rPr>
          <w:spacing w:val="-1"/>
        </w:rPr>
        <w:t> </w:t>
      </w:r>
      <w:r>
        <w:rPr/>
        <w:t>3, al.</w:t>
      </w:r>
      <w:r>
        <w:rPr>
          <w:spacing w:val="-3"/>
        </w:rPr>
        <w:t> </w:t>
      </w:r>
      <w:r>
        <w:rPr/>
        <w:t>4</w:t>
      </w:r>
      <w:r>
        <w:rPr>
          <w:spacing w:val="1"/>
        </w:rPr>
        <w:t> </w:t>
      </w:r>
      <w:r>
        <w:rPr>
          <w:spacing w:val="-2"/>
        </w:rPr>
        <w:t>LCdir</w:t>
      </w:r>
    </w:p>
    <w:p>
      <w:pPr>
        <w:pStyle w:val="BodyText"/>
        <w:spacing w:before="55"/>
        <w:ind w:left="1134"/>
      </w:pPr>
      <w:r>
        <w:rPr>
          <w:position w:val="6"/>
          <w:sz w:val="12"/>
        </w:rPr>
        <w:t>4</w:t>
      </w:r>
      <w:r>
        <w:rPr>
          <w:spacing w:val="18"/>
          <w:position w:val="6"/>
          <w:sz w:val="12"/>
        </w:rPr>
        <w:t> </w:t>
      </w:r>
      <w:r>
        <w:rPr/>
        <w:t>Le Grand Conseil fixe par</w:t>
      </w:r>
      <w:r>
        <w:rPr>
          <w:spacing w:val="-1"/>
        </w:rPr>
        <w:t> </w:t>
      </w:r>
      <w:r>
        <w:rPr/>
        <w:t>voie de décret le </w:t>
      </w:r>
      <w:hyperlink r:id="rId75">
        <w:r>
          <w:rPr>
            <w:color w:val="0462C0"/>
            <w:u w:val="single" w:color="0462C0"/>
          </w:rPr>
          <w:t>coefficient</w:t>
        </w:r>
      </w:hyperlink>
      <w:r>
        <w:rPr>
          <w:color w:val="0462C0"/>
        </w:rPr>
        <w:t> </w:t>
      </w:r>
      <w:r>
        <w:rPr/>
        <w:t>de l'impôt direct cantonal dû par les personnes </w:t>
      </w:r>
      <w:r>
        <w:rPr>
          <w:spacing w:val="-2"/>
        </w:rPr>
        <w:t>physiques.</w:t>
      </w:r>
    </w:p>
    <w:p>
      <w:pPr>
        <w:pStyle w:val="Heading8"/>
        <w:spacing w:before="93"/>
      </w:pPr>
      <w:r>
        <w:rPr/>
        <w:t>Art.</w:t>
      </w:r>
      <w:r>
        <w:rPr>
          <w:spacing w:val="-1"/>
        </w:rPr>
        <w:t> </w:t>
      </w:r>
      <w:r>
        <w:rPr/>
        <w:t>premier,</w:t>
      </w:r>
      <w:r>
        <w:rPr>
          <w:spacing w:val="-1"/>
        </w:rPr>
        <w:t> </w:t>
      </w:r>
      <w:r>
        <w:rPr/>
        <w:t>al.</w:t>
      </w:r>
      <w:r>
        <w:rPr>
          <w:spacing w:val="-2"/>
        </w:rPr>
        <w:t> </w:t>
      </w:r>
      <w:r>
        <w:rPr/>
        <w:t>4</w:t>
      </w:r>
      <w:r>
        <w:rPr>
          <w:spacing w:val="-2"/>
        </w:rPr>
        <w:t> </w:t>
      </w:r>
      <w:r>
        <w:rPr/>
        <w:t>et</w:t>
      </w:r>
      <w:r>
        <w:rPr>
          <w:spacing w:val="-1"/>
        </w:rPr>
        <w:t> </w:t>
      </w:r>
      <w:r>
        <w:rPr/>
        <w:t>6 </w:t>
      </w:r>
      <w:r>
        <w:rPr>
          <w:spacing w:val="-2"/>
        </w:rPr>
        <w:t>DCICdirPP</w:t>
      </w:r>
    </w:p>
    <w:p>
      <w:pPr>
        <w:pStyle w:val="BodyText"/>
        <w:spacing w:before="58"/>
        <w:ind w:left="1134"/>
      </w:pPr>
      <w:r>
        <w:rPr>
          <w:position w:val="6"/>
          <w:sz w:val="12"/>
        </w:rPr>
        <w:t>4</w:t>
      </w:r>
      <w:r>
        <w:rPr>
          <w:spacing w:val="5"/>
          <w:position w:val="6"/>
          <w:sz w:val="12"/>
        </w:rPr>
        <w:t> </w:t>
      </w:r>
      <w:r>
        <w:rPr/>
        <w:t>Pour</w:t>
      </w:r>
      <w:r>
        <w:rPr>
          <w:spacing w:val="-12"/>
        </w:rPr>
        <w:t> </w:t>
      </w:r>
      <w:r>
        <w:rPr/>
        <w:t>les</w:t>
      </w:r>
      <w:r>
        <w:rPr>
          <w:spacing w:val="-10"/>
        </w:rPr>
        <w:t> </w:t>
      </w:r>
      <w:r>
        <w:rPr/>
        <w:t>années</w:t>
      </w:r>
      <w:r>
        <w:rPr>
          <w:spacing w:val="-10"/>
        </w:rPr>
        <w:t> </w:t>
      </w:r>
      <w:r>
        <w:rPr/>
        <w:t>2018</w:t>
      </w:r>
      <w:r>
        <w:rPr>
          <w:spacing w:val="-11"/>
        </w:rPr>
        <w:t> </w:t>
      </w:r>
      <w:r>
        <w:rPr/>
        <w:t>à</w:t>
      </w:r>
      <w:r>
        <w:rPr>
          <w:spacing w:val="-11"/>
        </w:rPr>
        <w:t> </w:t>
      </w:r>
      <w:r>
        <w:rPr/>
        <w:t>2024,</w:t>
      </w:r>
      <w:r>
        <w:rPr>
          <w:spacing w:val="-11"/>
        </w:rPr>
        <w:t> </w:t>
      </w:r>
      <w:r>
        <w:rPr/>
        <w:t>et</w:t>
      </w:r>
      <w:r>
        <w:rPr>
          <w:spacing w:val="-11"/>
        </w:rPr>
        <w:t> </w:t>
      </w:r>
      <w:r>
        <w:rPr/>
        <w:t>dès</w:t>
      </w:r>
      <w:r>
        <w:rPr>
          <w:spacing w:val="-10"/>
        </w:rPr>
        <w:t> </w:t>
      </w:r>
      <w:r>
        <w:rPr/>
        <w:t>2027,</w:t>
      </w:r>
      <w:r>
        <w:rPr>
          <w:spacing w:val="-11"/>
        </w:rPr>
        <w:t> </w:t>
      </w:r>
      <w:r>
        <w:rPr/>
        <w:t>le</w:t>
      </w:r>
      <w:r>
        <w:rPr>
          <w:spacing w:val="-13"/>
        </w:rPr>
        <w:t> </w:t>
      </w:r>
      <w:r>
        <w:rPr/>
        <w:t>coefficient</w:t>
      </w:r>
      <w:r>
        <w:rPr>
          <w:spacing w:val="-10"/>
        </w:rPr>
        <w:t> </w:t>
      </w:r>
      <w:r>
        <w:rPr/>
        <w:t>de</w:t>
      </w:r>
      <w:r>
        <w:rPr>
          <w:spacing w:val="-11"/>
        </w:rPr>
        <w:t> </w:t>
      </w:r>
      <w:r>
        <w:rPr/>
        <w:t>l’impôt</w:t>
      </w:r>
      <w:r>
        <w:rPr>
          <w:spacing w:val="-11"/>
        </w:rPr>
        <w:t> </w:t>
      </w:r>
      <w:r>
        <w:rPr/>
        <w:t>cantonal</w:t>
      </w:r>
      <w:r>
        <w:rPr>
          <w:spacing w:val="-11"/>
        </w:rPr>
        <w:t> </w:t>
      </w:r>
      <w:r>
        <w:rPr/>
        <w:t>direct</w:t>
      </w:r>
      <w:r>
        <w:rPr>
          <w:spacing w:val="-11"/>
        </w:rPr>
        <w:t> </w:t>
      </w:r>
      <w:r>
        <w:rPr/>
        <w:t>dû</w:t>
      </w:r>
      <w:r>
        <w:rPr>
          <w:spacing w:val="-11"/>
        </w:rPr>
        <w:t> </w:t>
      </w:r>
      <w:r>
        <w:rPr/>
        <w:t>par</w:t>
      </w:r>
      <w:r>
        <w:rPr>
          <w:spacing w:val="-12"/>
        </w:rPr>
        <w:t> </w:t>
      </w:r>
      <w:r>
        <w:rPr/>
        <w:t>les</w:t>
      </w:r>
      <w:r>
        <w:rPr>
          <w:spacing w:val="-10"/>
        </w:rPr>
        <w:t> </w:t>
      </w:r>
      <w:r>
        <w:rPr/>
        <w:t>personnes physiques est fixé à 125% de l’impôt de base selon les articles 3 et 53 LCdir.</w:t>
      </w:r>
    </w:p>
    <w:p>
      <w:pPr>
        <w:pStyle w:val="BodyText"/>
        <w:spacing w:before="36"/>
        <w:ind w:left="1134" w:right="700"/>
      </w:pPr>
      <w:r>
        <w:rPr>
          <w:position w:val="6"/>
          <w:sz w:val="12"/>
        </w:rPr>
        <w:t>6</w:t>
      </w:r>
      <w:r>
        <w:rPr>
          <w:spacing w:val="13"/>
          <w:position w:val="6"/>
          <w:sz w:val="12"/>
        </w:rPr>
        <w:t> </w:t>
      </w:r>
      <w:r>
        <w:rPr/>
        <w:t>Pour</w:t>
      </w:r>
      <w:r>
        <w:rPr>
          <w:spacing w:val="-4"/>
        </w:rPr>
        <w:t> </w:t>
      </w:r>
      <w:r>
        <w:rPr/>
        <w:t>l’année</w:t>
      </w:r>
      <w:r>
        <w:rPr>
          <w:spacing w:val="-4"/>
        </w:rPr>
        <w:t> </w:t>
      </w:r>
      <w:r>
        <w:rPr/>
        <w:t>2025</w:t>
      </w:r>
      <w:r>
        <w:rPr>
          <w:spacing w:val="-4"/>
        </w:rPr>
        <w:t> </w:t>
      </w:r>
      <w:r>
        <w:rPr/>
        <w:t>et</w:t>
      </w:r>
      <w:r>
        <w:rPr>
          <w:spacing w:val="-4"/>
        </w:rPr>
        <w:t> </w:t>
      </w:r>
      <w:r>
        <w:rPr/>
        <w:t>2026,</w:t>
      </w:r>
      <w:r>
        <w:rPr>
          <w:spacing w:val="-7"/>
        </w:rPr>
        <w:t> </w:t>
      </w:r>
      <w:r>
        <w:rPr/>
        <w:t>le</w:t>
      </w:r>
      <w:r>
        <w:rPr>
          <w:spacing w:val="-4"/>
        </w:rPr>
        <w:t> </w:t>
      </w:r>
      <w:r>
        <w:rPr/>
        <w:t>coefficient</w:t>
      </w:r>
      <w:r>
        <w:rPr>
          <w:spacing w:val="-4"/>
        </w:rPr>
        <w:t> </w:t>
      </w:r>
      <w:r>
        <w:rPr/>
        <w:t>de</w:t>
      </w:r>
      <w:r>
        <w:rPr>
          <w:spacing w:val="-4"/>
        </w:rPr>
        <w:t> </w:t>
      </w:r>
      <w:r>
        <w:rPr/>
        <w:t>l’impôt</w:t>
      </w:r>
      <w:r>
        <w:rPr>
          <w:spacing w:val="-7"/>
        </w:rPr>
        <w:t> </w:t>
      </w:r>
      <w:r>
        <w:rPr/>
        <w:t>cantonal</w:t>
      </w:r>
      <w:r>
        <w:rPr>
          <w:spacing w:val="-4"/>
        </w:rPr>
        <w:t> </w:t>
      </w:r>
      <w:r>
        <w:rPr/>
        <w:t>direct</w:t>
      </w:r>
      <w:r>
        <w:rPr>
          <w:spacing w:val="-4"/>
        </w:rPr>
        <w:t> </w:t>
      </w:r>
      <w:r>
        <w:rPr/>
        <w:t>dû</w:t>
      </w:r>
      <w:r>
        <w:rPr>
          <w:spacing w:val="-4"/>
        </w:rPr>
        <w:t> </w:t>
      </w:r>
      <w:r>
        <w:rPr/>
        <w:t>par</w:t>
      </w:r>
      <w:r>
        <w:rPr>
          <w:spacing w:val="-4"/>
        </w:rPr>
        <w:t> </w:t>
      </w:r>
      <w:r>
        <w:rPr/>
        <w:t>les</w:t>
      </w:r>
      <w:r>
        <w:rPr>
          <w:spacing w:val="-3"/>
        </w:rPr>
        <w:t> </w:t>
      </w:r>
      <w:r>
        <w:rPr/>
        <w:t>personnes</w:t>
      </w:r>
      <w:r>
        <w:rPr>
          <w:spacing w:val="-6"/>
        </w:rPr>
        <w:t> </w:t>
      </w:r>
      <w:r>
        <w:rPr/>
        <w:t>physiques</w:t>
      </w:r>
      <w:r>
        <w:rPr>
          <w:spacing w:val="-3"/>
        </w:rPr>
        <w:t> </w:t>
      </w:r>
      <w:r>
        <w:rPr/>
        <w:t>est fixé à 124% de l’impôt de base selon les articles 3 et 53 LCdir.</w:t>
      </w:r>
    </w:p>
    <w:p>
      <w:pPr>
        <w:pStyle w:val="BodyText"/>
        <w:spacing w:after="0"/>
        <w:sectPr>
          <w:pgSz w:w="11910" w:h="16840"/>
          <w:pgMar w:header="724" w:footer="687" w:top="960" w:bottom="880" w:left="850" w:right="992"/>
        </w:sectPr>
      </w:pPr>
    </w:p>
    <w:p>
      <w:pPr>
        <w:pStyle w:val="BodyText"/>
        <w:spacing w:before="354"/>
        <w:rPr>
          <w:sz w:val="32"/>
        </w:rPr>
      </w:pPr>
    </w:p>
    <w:p>
      <w:pPr>
        <w:pStyle w:val="Heading2"/>
      </w:pPr>
      <w:bookmarkStart w:name="Impôt sur les gains immobiliers" w:id="39"/>
      <w:bookmarkEnd w:id="39"/>
      <w:r>
        <w:rPr>
          <w:b w:val="0"/>
        </w:rPr>
      </w:r>
      <w:bookmarkStart w:name="_bookmark16" w:id="40"/>
      <w:bookmarkEnd w:id="40"/>
      <w:r>
        <w:rPr>
          <w:b w:val="0"/>
        </w:rPr>
      </w:r>
      <w:r>
        <w:rPr>
          <w:color w:val="2D73B4"/>
        </w:rPr>
        <w:t>Impôt</w:t>
      </w:r>
      <w:r>
        <w:rPr>
          <w:color w:val="2D73B4"/>
          <w:spacing w:val="-8"/>
        </w:rPr>
        <w:t> </w:t>
      </w:r>
      <w:r>
        <w:rPr>
          <w:color w:val="2D73B4"/>
        </w:rPr>
        <w:t>sur</w:t>
      </w:r>
      <w:r>
        <w:rPr>
          <w:color w:val="2D73B4"/>
          <w:spacing w:val="-7"/>
        </w:rPr>
        <w:t> </w:t>
      </w:r>
      <w:r>
        <w:rPr>
          <w:color w:val="2D73B4"/>
        </w:rPr>
        <w:t>les</w:t>
      </w:r>
      <w:r>
        <w:rPr>
          <w:color w:val="2D73B4"/>
          <w:spacing w:val="-8"/>
        </w:rPr>
        <w:t> </w:t>
      </w:r>
      <w:r>
        <w:rPr>
          <w:color w:val="2D73B4"/>
        </w:rPr>
        <w:t>gains</w:t>
      </w:r>
      <w:r>
        <w:rPr>
          <w:color w:val="2D73B4"/>
          <w:spacing w:val="-8"/>
        </w:rPr>
        <w:t> </w:t>
      </w:r>
      <w:r>
        <w:rPr>
          <w:color w:val="2D73B4"/>
          <w:spacing w:val="-2"/>
        </w:rPr>
        <w:t>immobiliers</w:t>
      </w:r>
    </w:p>
    <w:p>
      <w:pPr>
        <w:pStyle w:val="BodyText"/>
        <w:spacing w:before="59"/>
        <w:ind w:left="851"/>
      </w:pPr>
      <w:r>
        <w:rPr/>
        <w:t>(Art. 56</w:t>
      </w:r>
      <w:r>
        <w:rPr>
          <w:spacing w:val="-2"/>
        </w:rPr>
        <w:t> </w:t>
      </w:r>
      <w:r>
        <w:rPr/>
        <w:t>–</w:t>
      </w:r>
      <w:r>
        <w:rPr>
          <w:spacing w:val="1"/>
        </w:rPr>
        <w:t> </w:t>
      </w:r>
      <w:r>
        <w:rPr/>
        <w:t>74</w:t>
      </w:r>
      <w:r>
        <w:rPr>
          <w:spacing w:val="-2"/>
        </w:rPr>
        <w:t> LCdir)</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78">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BodyText"/>
        <w:spacing w:before="139"/>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Heading7"/>
        <w:spacing w:line="590" w:lineRule="atLeast" w:before="1"/>
      </w:pPr>
      <w:r>
        <w:rPr>
          <w:color w:val="950000"/>
          <w:spacing w:val="-6"/>
        </w:rPr>
        <w:t>Imposition</w:t>
      </w:r>
      <w:r>
        <w:rPr>
          <w:color w:val="950000"/>
          <w:spacing w:val="-11"/>
        </w:rPr>
        <w:t> </w:t>
      </w:r>
      <w:r>
        <w:rPr>
          <w:color w:val="950000"/>
          <w:spacing w:val="-6"/>
        </w:rPr>
        <w:t>des gains</w:t>
      </w:r>
      <w:r>
        <w:rPr>
          <w:color w:val="950000"/>
          <w:spacing w:val="-9"/>
        </w:rPr>
        <w:t> </w:t>
      </w:r>
      <w:r>
        <w:rPr>
          <w:color w:val="950000"/>
          <w:spacing w:val="-6"/>
        </w:rPr>
        <w:t>immobiliers,</w:t>
      </w:r>
      <w:r>
        <w:rPr>
          <w:color w:val="950000"/>
          <w:spacing w:val="-11"/>
        </w:rPr>
        <w:t> </w:t>
      </w:r>
      <w:r>
        <w:rPr>
          <w:color w:val="950000"/>
          <w:spacing w:val="-6"/>
        </w:rPr>
        <w:t>souveraineté</w:t>
      </w:r>
      <w:r>
        <w:rPr>
          <w:color w:val="950000"/>
          <w:spacing w:val="-11"/>
        </w:rPr>
        <w:t> </w:t>
      </w:r>
      <w:r>
        <w:rPr>
          <w:color w:val="950000"/>
          <w:spacing w:val="-6"/>
        </w:rPr>
        <w:t>fiscale</w:t>
      </w:r>
      <w:r>
        <w:rPr>
          <w:color w:val="950000"/>
          <w:spacing w:val="-8"/>
        </w:rPr>
        <w:t> </w:t>
      </w:r>
      <w:r>
        <w:rPr>
          <w:color w:val="950000"/>
          <w:spacing w:val="-6"/>
        </w:rPr>
        <w:t>et</w:t>
      </w:r>
      <w:r>
        <w:rPr>
          <w:color w:val="950000"/>
          <w:spacing w:val="-11"/>
        </w:rPr>
        <w:t> </w:t>
      </w:r>
      <w:r>
        <w:rPr>
          <w:color w:val="950000"/>
          <w:spacing w:val="-6"/>
        </w:rPr>
        <w:t>calcul</w:t>
      </w:r>
      <w:r>
        <w:rPr>
          <w:color w:val="950000"/>
          <w:spacing w:val="-12"/>
        </w:rPr>
        <w:t> </w:t>
      </w:r>
      <w:r>
        <w:rPr>
          <w:color w:val="950000"/>
          <w:spacing w:val="-6"/>
        </w:rPr>
        <w:t>de</w:t>
      </w:r>
      <w:r>
        <w:rPr>
          <w:color w:val="950000"/>
          <w:spacing w:val="-8"/>
        </w:rPr>
        <w:t> </w:t>
      </w:r>
      <w:r>
        <w:rPr>
          <w:color w:val="950000"/>
          <w:spacing w:val="-6"/>
        </w:rPr>
        <w:t>l’impôt</w:t>
      </w:r>
      <w:r>
        <w:rPr>
          <w:color w:val="950000"/>
          <w:spacing w:val="-11"/>
        </w:rPr>
        <w:t> </w:t>
      </w:r>
      <w:r>
        <w:rPr>
          <w:color w:val="950000"/>
          <w:spacing w:val="-6"/>
        </w:rPr>
        <w:t>sur</w:t>
      </w:r>
      <w:r>
        <w:rPr>
          <w:color w:val="950000"/>
          <w:spacing w:val="-7"/>
        </w:rPr>
        <w:t> </w:t>
      </w:r>
      <w:r>
        <w:rPr>
          <w:color w:val="950000"/>
          <w:spacing w:val="-6"/>
        </w:rPr>
        <w:t>les</w:t>
      </w:r>
      <w:r>
        <w:rPr>
          <w:color w:val="950000"/>
          <w:spacing w:val="-9"/>
        </w:rPr>
        <w:t> </w:t>
      </w:r>
      <w:r>
        <w:rPr>
          <w:color w:val="950000"/>
          <w:spacing w:val="-6"/>
        </w:rPr>
        <w:t>gains immobiliers</w:t>
      </w:r>
      <w:r>
        <w:rPr>
          <w:color w:val="950000"/>
          <w:spacing w:val="80"/>
        </w:rPr>
        <w:t> </w:t>
      </w:r>
      <w:r>
        <w:rPr>
          <w:color w:val="950000"/>
          <w:spacing w:val="-23"/>
        </w:rPr>
        <w:drawing>
          <wp:inline distT="0" distB="0" distL="0" distR="0">
            <wp:extent cx="201269" cy="114932"/>
            <wp:effectExtent l="0" t="0" r="0" b="0"/>
            <wp:docPr id="67" name="Image 67" descr="">
              <a:hlinkClick r:id="rId79"/>
            </wp:docPr>
            <wp:cNvGraphicFramePr>
              <a:graphicFrameLocks/>
            </wp:cNvGraphicFramePr>
            <a:graphic>
              <a:graphicData uri="http://schemas.openxmlformats.org/drawingml/2006/picture">
                <pic:pic>
                  <pic:nvPicPr>
                    <pic:cNvPr id="67" name="Image 67" descr="">
                      <a:hlinkClick r:id="rId79"/>
                    </pic:cNvPr>
                    <pic:cNvPicPr/>
                  </pic:nvPicPr>
                  <pic:blipFill>
                    <a:blip r:embed="rId11" cstate="print"/>
                    <a:stretch>
                      <a:fillRect/>
                    </a:stretch>
                  </pic:blipFill>
                  <pic:spPr>
                    <a:xfrm>
                      <a:off x="0" y="0"/>
                      <a:ext cx="201269" cy="114932"/>
                    </a:xfrm>
                    <a:prstGeom prst="rect">
                      <a:avLst/>
                    </a:prstGeom>
                  </pic:spPr>
                </pic:pic>
              </a:graphicData>
            </a:graphic>
          </wp:inline>
        </w:drawing>
      </w:r>
      <w:r>
        <w:rPr>
          <w:color w:val="950000"/>
          <w:spacing w:val="-23"/>
        </w:rPr>
      </w:r>
      <w:r>
        <w:rPr>
          <w:rFonts w:ascii="Times New Roman" w:hAnsi="Times New Roman"/>
          <w:color w:val="950000"/>
        </w:rPr>
        <w:t> </w:t>
      </w:r>
      <w:r>
        <w:rPr>
          <w:color w:val="950000"/>
        </w:rPr>
        <w:t>Objet de l’impôt</w:t>
      </w:r>
    </w:p>
    <w:p>
      <w:pPr>
        <w:pStyle w:val="Heading8"/>
        <w:spacing w:before="93"/>
      </w:pPr>
      <w:r>
        <w:rPr/>
        <w:t>Art.</w:t>
      </w:r>
      <w:r>
        <w:rPr>
          <w:spacing w:val="-1"/>
        </w:rPr>
        <w:t> </w:t>
      </w:r>
      <w:r>
        <w:rPr/>
        <w:t>56 </w:t>
      </w:r>
      <w:r>
        <w:rPr>
          <w:spacing w:val="-2"/>
        </w:rPr>
        <w:t>LCdir</w:t>
      </w:r>
    </w:p>
    <w:p>
      <w:pPr>
        <w:pStyle w:val="BodyText"/>
        <w:spacing w:before="56"/>
        <w:ind w:left="1134"/>
      </w:pPr>
      <w:r>
        <w:rPr>
          <w:position w:val="6"/>
          <w:sz w:val="12"/>
        </w:rPr>
        <w:t>1</w:t>
      </w:r>
      <w:r>
        <w:rPr>
          <w:spacing w:val="15"/>
          <w:position w:val="6"/>
          <w:sz w:val="12"/>
        </w:rPr>
        <w:t> </w:t>
      </w:r>
      <w:r>
        <w:rPr/>
        <w:t>L'impôt</w:t>
      </w:r>
      <w:r>
        <w:rPr>
          <w:spacing w:val="-1"/>
        </w:rPr>
        <w:t> </w:t>
      </w:r>
      <w:r>
        <w:rPr/>
        <w:t>a</w:t>
      </w:r>
      <w:r>
        <w:rPr>
          <w:spacing w:val="-3"/>
        </w:rPr>
        <w:t> </w:t>
      </w:r>
      <w:r>
        <w:rPr/>
        <w:t>pour</w:t>
      </w:r>
      <w:r>
        <w:rPr>
          <w:spacing w:val="-3"/>
        </w:rPr>
        <w:t> </w:t>
      </w:r>
      <w:r>
        <w:rPr/>
        <w:t>objet</w:t>
      </w:r>
      <w:r>
        <w:rPr>
          <w:spacing w:val="-1"/>
        </w:rPr>
        <w:t> </w:t>
      </w:r>
      <w:r>
        <w:rPr/>
        <w:t>les</w:t>
      </w:r>
      <w:r>
        <w:rPr>
          <w:spacing w:val="-2"/>
        </w:rPr>
        <w:t> </w:t>
      </w:r>
      <w:r>
        <w:rPr/>
        <w:t>gains</w:t>
      </w:r>
      <w:r>
        <w:rPr>
          <w:spacing w:val="-2"/>
        </w:rPr>
        <w:t> réalisés:</w:t>
      </w:r>
    </w:p>
    <w:p>
      <w:pPr>
        <w:pStyle w:val="ListParagraph"/>
        <w:numPr>
          <w:ilvl w:val="0"/>
          <w:numId w:val="13"/>
        </w:numPr>
        <w:tabs>
          <w:tab w:pos="1559" w:val="left" w:leader="none"/>
        </w:tabs>
        <w:spacing w:line="240" w:lineRule="auto" w:before="40" w:after="0"/>
        <w:ind w:left="1559" w:right="703" w:hanging="425"/>
        <w:jc w:val="left"/>
        <w:rPr>
          <w:sz w:val="18"/>
        </w:rPr>
      </w:pPr>
      <w:r>
        <w:rPr>
          <w:sz w:val="18"/>
        </w:rPr>
        <w:t>lors</w:t>
      </w:r>
      <w:r>
        <w:rPr>
          <w:spacing w:val="-1"/>
          <w:sz w:val="18"/>
        </w:rPr>
        <w:t> </w:t>
      </w:r>
      <w:r>
        <w:rPr>
          <w:sz w:val="18"/>
        </w:rPr>
        <w:t>de</w:t>
      </w:r>
      <w:r>
        <w:rPr>
          <w:spacing w:val="-1"/>
          <w:sz w:val="18"/>
        </w:rPr>
        <w:t> </w:t>
      </w:r>
      <w:r>
        <w:rPr>
          <w:sz w:val="18"/>
        </w:rPr>
        <w:t>l'aliénation</w:t>
      </w:r>
      <w:r>
        <w:rPr>
          <w:spacing w:val="-1"/>
          <w:sz w:val="18"/>
        </w:rPr>
        <w:t> </w:t>
      </w:r>
      <w:r>
        <w:rPr>
          <w:sz w:val="18"/>
        </w:rPr>
        <w:t>de</w:t>
      </w:r>
      <w:r>
        <w:rPr>
          <w:spacing w:val="-1"/>
          <w:sz w:val="18"/>
        </w:rPr>
        <w:t> </w:t>
      </w:r>
      <w:r>
        <w:rPr>
          <w:sz w:val="18"/>
        </w:rPr>
        <w:t>tout</w:t>
      </w:r>
      <w:r>
        <w:rPr>
          <w:spacing w:val="-2"/>
          <w:sz w:val="18"/>
        </w:rPr>
        <w:t> </w:t>
      </w:r>
      <w:r>
        <w:rPr>
          <w:sz w:val="18"/>
        </w:rPr>
        <w:t>ou partie</w:t>
      </w:r>
      <w:r>
        <w:rPr>
          <w:spacing w:val="-1"/>
          <w:sz w:val="18"/>
        </w:rPr>
        <w:t> </w:t>
      </w:r>
      <w:r>
        <w:rPr>
          <w:sz w:val="18"/>
        </w:rPr>
        <w:t>d'un</w:t>
      </w:r>
      <w:r>
        <w:rPr>
          <w:spacing w:val="-1"/>
          <w:sz w:val="18"/>
        </w:rPr>
        <w:t> </w:t>
      </w:r>
      <w:r>
        <w:rPr>
          <w:sz w:val="18"/>
        </w:rPr>
        <w:t>immeuble,</w:t>
      </w:r>
      <w:r>
        <w:rPr>
          <w:spacing w:val="-2"/>
          <w:sz w:val="18"/>
        </w:rPr>
        <w:t> </w:t>
      </w:r>
      <w:r>
        <w:rPr>
          <w:sz w:val="18"/>
        </w:rPr>
        <w:t>y</w:t>
      </w:r>
      <w:r>
        <w:rPr>
          <w:spacing w:val="-1"/>
          <w:sz w:val="18"/>
        </w:rPr>
        <w:t> </w:t>
      </w:r>
      <w:r>
        <w:rPr>
          <w:sz w:val="18"/>
        </w:rPr>
        <w:t>compris</w:t>
      </w:r>
      <w:r>
        <w:rPr>
          <w:spacing w:val="-1"/>
          <w:sz w:val="18"/>
        </w:rPr>
        <w:t> </w:t>
      </w:r>
      <w:r>
        <w:rPr>
          <w:sz w:val="18"/>
        </w:rPr>
        <w:t>ses</w:t>
      </w:r>
      <w:r>
        <w:rPr>
          <w:spacing w:val="-1"/>
          <w:sz w:val="18"/>
        </w:rPr>
        <w:t> </w:t>
      </w:r>
      <w:r>
        <w:rPr>
          <w:sz w:val="18"/>
        </w:rPr>
        <w:t>accessoires, faisant</w:t>
      </w:r>
      <w:r>
        <w:rPr>
          <w:spacing w:val="-2"/>
          <w:sz w:val="18"/>
        </w:rPr>
        <w:t> </w:t>
      </w:r>
      <w:r>
        <w:rPr>
          <w:sz w:val="18"/>
        </w:rPr>
        <w:t>partie de</w:t>
      </w:r>
      <w:r>
        <w:rPr>
          <w:spacing w:val="-1"/>
          <w:sz w:val="18"/>
        </w:rPr>
        <w:t> </w:t>
      </w:r>
      <w:r>
        <w:rPr>
          <w:sz w:val="18"/>
        </w:rPr>
        <w:t>la fortune privée du contribuable;</w:t>
      </w:r>
    </w:p>
    <w:p>
      <w:pPr>
        <w:pStyle w:val="ListParagraph"/>
        <w:numPr>
          <w:ilvl w:val="0"/>
          <w:numId w:val="13"/>
        </w:numPr>
        <w:tabs>
          <w:tab w:pos="1559" w:val="left" w:leader="none"/>
        </w:tabs>
        <w:spacing w:line="240" w:lineRule="auto" w:before="40" w:after="0"/>
        <w:ind w:left="1559" w:right="703" w:hanging="425"/>
        <w:jc w:val="left"/>
        <w:rPr>
          <w:sz w:val="18"/>
        </w:rPr>
      </w:pPr>
      <w:r>
        <w:rPr>
          <w:sz w:val="18"/>
        </w:rPr>
        <w:t>lors</w:t>
      </w:r>
      <w:r>
        <w:rPr>
          <w:spacing w:val="-8"/>
          <w:sz w:val="18"/>
        </w:rPr>
        <w:t> </w:t>
      </w:r>
      <w:r>
        <w:rPr>
          <w:sz w:val="18"/>
        </w:rPr>
        <w:t>de</w:t>
      </w:r>
      <w:r>
        <w:rPr>
          <w:spacing w:val="-9"/>
          <w:sz w:val="18"/>
        </w:rPr>
        <w:t> </w:t>
      </w:r>
      <w:r>
        <w:rPr>
          <w:sz w:val="18"/>
        </w:rPr>
        <w:t>l'aliénation</w:t>
      </w:r>
      <w:r>
        <w:rPr>
          <w:spacing w:val="-9"/>
          <w:sz w:val="18"/>
        </w:rPr>
        <w:t> </w:t>
      </w:r>
      <w:r>
        <w:rPr>
          <w:sz w:val="18"/>
        </w:rPr>
        <w:t>de</w:t>
      </w:r>
      <w:r>
        <w:rPr>
          <w:spacing w:val="-9"/>
          <w:sz w:val="18"/>
        </w:rPr>
        <w:t> </w:t>
      </w:r>
      <w:r>
        <w:rPr>
          <w:sz w:val="18"/>
        </w:rPr>
        <w:t>tout</w:t>
      </w:r>
      <w:r>
        <w:rPr>
          <w:spacing w:val="-9"/>
          <w:sz w:val="18"/>
        </w:rPr>
        <w:t> </w:t>
      </w:r>
      <w:r>
        <w:rPr>
          <w:sz w:val="18"/>
        </w:rPr>
        <w:t>ou</w:t>
      </w:r>
      <w:r>
        <w:rPr>
          <w:spacing w:val="-6"/>
          <w:sz w:val="18"/>
        </w:rPr>
        <w:t> </w:t>
      </w:r>
      <w:r>
        <w:rPr>
          <w:sz w:val="18"/>
        </w:rPr>
        <w:t>partie</w:t>
      </w:r>
      <w:r>
        <w:rPr>
          <w:spacing w:val="-9"/>
          <w:sz w:val="18"/>
        </w:rPr>
        <w:t> </w:t>
      </w:r>
      <w:r>
        <w:rPr>
          <w:sz w:val="18"/>
        </w:rPr>
        <w:t>d'un</w:t>
      </w:r>
      <w:r>
        <w:rPr>
          <w:spacing w:val="-9"/>
          <w:sz w:val="18"/>
        </w:rPr>
        <w:t> </w:t>
      </w:r>
      <w:r>
        <w:rPr>
          <w:sz w:val="18"/>
        </w:rPr>
        <w:t>immeuble</w:t>
      </w:r>
      <w:r>
        <w:rPr>
          <w:spacing w:val="-6"/>
          <w:sz w:val="18"/>
        </w:rPr>
        <w:t> </w:t>
      </w:r>
      <w:r>
        <w:rPr>
          <w:sz w:val="18"/>
        </w:rPr>
        <w:t>agricole</w:t>
      </w:r>
      <w:r>
        <w:rPr>
          <w:spacing w:val="-6"/>
          <w:sz w:val="18"/>
        </w:rPr>
        <w:t> </w:t>
      </w:r>
      <w:r>
        <w:rPr>
          <w:sz w:val="18"/>
        </w:rPr>
        <w:t>ou</w:t>
      </w:r>
      <w:r>
        <w:rPr>
          <w:spacing w:val="-6"/>
          <w:sz w:val="18"/>
        </w:rPr>
        <w:t> </w:t>
      </w:r>
      <w:r>
        <w:rPr>
          <w:sz w:val="18"/>
        </w:rPr>
        <w:t>sylvicole,</w:t>
      </w:r>
      <w:r>
        <w:rPr>
          <w:spacing w:val="-7"/>
          <w:sz w:val="18"/>
        </w:rPr>
        <w:t> </w:t>
      </w:r>
      <w:r>
        <w:rPr>
          <w:sz w:val="18"/>
        </w:rPr>
        <w:t>à</w:t>
      </w:r>
      <w:r>
        <w:rPr>
          <w:spacing w:val="-11"/>
          <w:sz w:val="18"/>
        </w:rPr>
        <w:t> </w:t>
      </w:r>
      <w:r>
        <w:rPr>
          <w:sz w:val="18"/>
        </w:rPr>
        <w:t>condition</w:t>
      </w:r>
      <w:r>
        <w:rPr>
          <w:spacing w:val="-9"/>
          <w:sz w:val="18"/>
        </w:rPr>
        <w:t> </w:t>
      </w:r>
      <w:r>
        <w:rPr>
          <w:sz w:val="18"/>
        </w:rPr>
        <w:t>que</w:t>
      </w:r>
      <w:r>
        <w:rPr>
          <w:spacing w:val="-9"/>
          <w:sz w:val="18"/>
        </w:rPr>
        <w:t> </w:t>
      </w:r>
      <w:r>
        <w:rPr>
          <w:sz w:val="18"/>
        </w:rPr>
        <w:t>le</w:t>
      </w:r>
      <w:r>
        <w:rPr>
          <w:spacing w:val="-11"/>
          <w:sz w:val="18"/>
        </w:rPr>
        <w:t> </w:t>
      </w:r>
      <w:r>
        <w:rPr>
          <w:sz w:val="18"/>
        </w:rPr>
        <w:t>gain</w:t>
      </w:r>
      <w:r>
        <w:rPr>
          <w:spacing w:val="-9"/>
          <w:sz w:val="18"/>
        </w:rPr>
        <w:t> </w:t>
      </w:r>
      <w:r>
        <w:rPr>
          <w:sz w:val="18"/>
        </w:rPr>
        <w:t>soit supérieur à la valeur totale des investissements;</w:t>
      </w:r>
    </w:p>
    <w:p>
      <w:pPr>
        <w:pStyle w:val="ListParagraph"/>
        <w:numPr>
          <w:ilvl w:val="0"/>
          <w:numId w:val="13"/>
        </w:numPr>
        <w:tabs>
          <w:tab w:pos="1559" w:val="left" w:leader="none"/>
        </w:tabs>
        <w:spacing w:line="240" w:lineRule="auto" w:before="40" w:after="0"/>
        <w:ind w:left="1559" w:right="703" w:hanging="425"/>
        <w:jc w:val="left"/>
        <w:rPr>
          <w:sz w:val="18"/>
        </w:rPr>
      </w:pPr>
      <w:r>
        <w:rPr>
          <w:sz w:val="18"/>
        </w:rPr>
        <w:t>lors de l'aliénation de tout ou partie d'un immeuble d'une personne morale exonérée au sens de l'article 81, alinéa 1, lettres d à h.</w:t>
      </w:r>
    </w:p>
    <w:p>
      <w:pPr>
        <w:pStyle w:val="BodyText"/>
        <w:spacing w:before="36"/>
        <w:ind w:left="1134"/>
      </w:pPr>
      <w:r>
        <w:rPr>
          <w:position w:val="6"/>
          <w:sz w:val="12"/>
        </w:rPr>
        <w:t>2</w:t>
      </w:r>
      <w:r>
        <w:rPr>
          <w:spacing w:val="-2"/>
          <w:position w:val="6"/>
          <w:sz w:val="12"/>
        </w:rPr>
        <w:t> </w:t>
      </w:r>
      <w:r>
        <w:rPr/>
        <w:t>Les</w:t>
      </w:r>
      <w:r>
        <w:rPr>
          <w:spacing w:val="-12"/>
        </w:rPr>
        <w:t> </w:t>
      </w:r>
      <w:r>
        <w:rPr/>
        <w:t>gains</w:t>
      </w:r>
      <w:r>
        <w:rPr>
          <w:spacing w:val="-13"/>
        </w:rPr>
        <w:t> </w:t>
      </w:r>
      <w:r>
        <w:rPr/>
        <w:t>qui</w:t>
      </w:r>
      <w:r>
        <w:rPr>
          <w:spacing w:val="-14"/>
        </w:rPr>
        <w:t> </w:t>
      </w:r>
      <w:r>
        <w:rPr/>
        <w:t>ne</w:t>
      </w:r>
      <w:r>
        <w:rPr>
          <w:spacing w:val="-12"/>
        </w:rPr>
        <w:t> </w:t>
      </w:r>
      <w:r>
        <w:rPr/>
        <w:t>sont</w:t>
      </w:r>
      <w:r>
        <w:rPr>
          <w:spacing w:val="-13"/>
        </w:rPr>
        <w:t> </w:t>
      </w:r>
      <w:r>
        <w:rPr/>
        <w:t>pas</w:t>
      </w:r>
      <w:r>
        <w:rPr>
          <w:spacing w:val="-12"/>
        </w:rPr>
        <w:t> </w:t>
      </w:r>
      <w:r>
        <w:rPr/>
        <w:t>soumis</w:t>
      </w:r>
      <w:r>
        <w:rPr>
          <w:spacing w:val="-13"/>
        </w:rPr>
        <w:t> </w:t>
      </w:r>
      <w:r>
        <w:rPr/>
        <w:t>à</w:t>
      </w:r>
      <w:r>
        <w:rPr>
          <w:spacing w:val="-13"/>
        </w:rPr>
        <w:t> </w:t>
      </w:r>
      <w:r>
        <w:rPr/>
        <w:t>l'impôt</w:t>
      </w:r>
      <w:r>
        <w:rPr>
          <w:spacing w:val="-12"/>
        </w:rPr>
        <w:t> </w:t>
      </w:r>
      <w:r>
        <w:rPr/>
        <w:t>sur</w:t>
      </w:r>
      <w:r>
        <w:rPr>
          <w:spacing w:val="-13"/>
        </w:rPr>
        <w:t> </w:t>
      </w:r>
      <w:r>
        <w:rPr/>
        <w:t>les</w:t>
      </w:r>
      <w:r>
        <w:rPr>
          <w:spacing w:val="-12"/>
        </w:rPr>
        <w:t> </w:t>
      </w:r>
      <w:r>
        <w:rPr/>
        <w:t>gains</w:t>
      </w:r>
      <w:r>
        <w:rPr>
          <w:spacing w:val="-13"/>
        </w:rPr>
        <w:t> </w:t>
      </w:r>
      <w:r>
        <w:rPr/>
        <w:t>immobiliers</w:t>
      </w:r>
      <w:r>
        <w:rPr>
          <w:spacing w:val="-12"/>
        </w:rPr>
        <w:t> </w:t>
      </w:r>
      <w:r>
        <w:rPr/>
        <w:t>font</w:t>
      </w:r>
      <w:r>
        <w:rPr>
          <w:spacing w:val="-13"/>
        </w:rPr>
        <w:t> </w:t>
      </w:r>
      <w:r>
        <w:rPr/>
        <w:t>partie</w:t>
      </w:r>
      <w:r>
        <w:rPr>
          <w:spacing w:val="-14"/>
        </w:rPr>
        <w:t> </w:t>
      </w:r>
      <w:r>
        <w:rPr/>
        <w:t>du</w:t>
      </w:r>
      <w:r>
        <w:rPr>
          <w:spacing w:val="-12"/>
        </w:rPr>
        <w:t> </w:t>
      </w:r>
      <w:r>
        <w:rPr/>
        <w:t>revenu</w:t>
      </w:r>
      <w:r>
        <w:rPr>
          <w:spacing w:val="-13"/>
        </w:rPr>
        <w:t> </w:t>
      </w:r>
      <w:r>
        <w:rPr/>
        <w:t>ou</w:t>
      </w:r>
      <w:r>
        <w:rPr>
          <w:spacing w:val="-12"/>
        </w:rPr>
        <w:t> </w:t>
      </w:r>
      <w:r>
        <w:rPr/>
        <w:t>du</w:t>
      </w:r>
      <w:r>
        <w:rPr>
          <w:spacing w:val="-13"/>
        </w:rPr>
        <w:t> </w:t>
      </w:r>
      <w:r>
        <w:rPr/>
        <w:t>bénéfice </w:t>
      </w:r>
      <w:r>
        <w:rPr>
          <w:spacing w:val="-2"/>
        </w:rPr>
        <w:t>imposable.</w:t>
      </w:r>
    </w:p>
    <w:p>
      <w:pPr>
        <w:pStyle w:val="BodyText"/>
        <w:spacing w:before="152"/>
      </w:pPr>
    </w:p>
    <w:p>
      <w:pPr>
        <w:pStyle w:val="Heading7"/>
      </w:pPr>
      <w:r>
        <w:rPr>
          <w:color w:val="950000"/>
        </w:rPr>
        <w:t>Gain</w:t>
      </w:r>
      <w:r>
        <w:rPr>
          <w:color w:val="950000"/>
          <w:spacing w:val="-6"/>
        </w:rPr>
        <w:t> </w:t>
      </w:r>
      <w:r>
        <w:rPr>
          <w:color w:val="950000"/>
        </w:rPr>
        <w:t>réalisé</w:t>
      </w:r>
      <w:r>
        <w:rPr>
          <w:color w:val="950000"/>
          <w:spacing w:val="-5"/>
        </w:rPr>
        <w:t> </w:t>
      </w:r>
      <w:r>
        <w:rPr>
          <w:color w:val="950000"/>
        </w:rPr>
        <w:t>lors</w:t>
      </w:r>
      <w:r>
        <w:rPr>
          <w:color w:val="950000"/>
          <w:spacing w:val="-4"/>
        </w:rPr>
        <w:t> </w:t>
      </w:r>
      <w:r>
        <w:rPr>
          <w:color w:val="950000"/>
        </w:rPr>
        <w:t>de</w:t>
      </w:r>
      <w:r>
        <w:rPr>
          <w:color w:val="950000"/>
          <w:spacing w:val="-3"/>
        </w:rPr>
        <w:t> </w:t>
      </w:r>
      <w:r>
        <w:rPr>
          <w:color w:val="950000"/>
          <w:spacing w:val="-2"/>
        </w:rPr>
        <w:t>l’aliénation</w:t>
      </w:r>
    </w:p>
    <w:p>
      <w:pPr>
        <w:pStyle w:val="Heading8"/>
        <w:spacing w:before="93"/>
      </w:pPr>
      <w:r>
        <w:rPr/>
        <w:t>Art.</w:t>
      </w:r>
      <w:r>
        <w:rPr>
          <w:spacing w:val="-1"/>
        </w:rPr>
        <w:t> </w:t>
      </w:r>
      <w:r>
        <w:rPr/>
        <w:t>60 </w:t>
      </w:r>
      <w:r>
        <w:rPr>
          <w:spacing w:val="-2"/>
        </w:rPr>
        <w:t>LCdir</w:t>
      </w:r>
    </w:p>
    <w:p>
      <w:pPr>
        <w:pStyle w:val="BodyText"/>
        <w:spacing w:before="56"/>
        <w:ind w:left="1134"/>
      </w:pPr>
      <w:r>
        <w:rPr>
          <w:position w:val="6"/>
          <w:sz w:val="12"/>
        </w:rPr>
        <w:t>1</w:t>
      </w:r>
      <w:r>
        <w:rPr>
          <w:spacing w:val="36"/>
          <w:position w:val="6"/>
          <w:sz w:val="12"/>
        </w:rPr>
        <w:t> </w:t>
      </w:r>
      <w:r>
        <w:rPr/>
        <w:t>Le</w:t>
      </w:r>
      <w:r>
        <w:rPr>
          <w:spacing w:val="18"/>
        </w:rPr>
        <w:t> </w:t>
      </w:r>
      <w:r>
        <w:rPr/>
        <w:t>gain</w:t>
      </w:r>
      <w:r>
        <w:rPr>
          <w:spacing w:val="18"/>
        </w:rPr>
        <w:t> </w:t>
      </w:r>
      <w:r>
        <w:rPr/>
        <w:t>réalisé</w:t>
      </w:r>
      <w:r>
        <w:rPr>
          <w:spacing w:val="18"/>
        </w:rPr>
        <w:t> </w:t>
      </w:r>
      <w:r>
        <w:rPr/>
        <w:t>lors</w:t>
      </w:r>
      <w:r>
        <w:rPr>
          <w:spacing w:val="21"/>
        </w:rPr>
        <w:t> </w:t>
      </w:r>
      <w:r>
        <w:rPr/>
        <w:t>de</w:t>
      </w:r>
      <w:r>
        <w:rPr>
          <w:spacing w:val="18"/>
        </w:rPr>
        <w:t> </w:t>
      </w:r>
      <w:r>
        <w:rPr/>
        <w:t>l'aliénation</w:t>
      </w:r>
      <w:r>
        <w:rPr>
          <w:spacing w:val="18"/>
        </w:rPr>
        <w:t> </w:t>
      </w:r>
      <w:r>
        <w:rPr/>
        <w:t>est</w:t>
      </w:r>
      <w:r>
        <w:rPr>
          <w:spacing w:val="17"/>
        </w:rPr>
        <w:t> </w:t>
      </w:r>
      <w:r>
        <w:rPr/>
        <w:t>constitué</w:t>
      </w:r>
      <w:r>
        <w:rPr>
          <w:spacing w:val="20"/>
        </w:rPr>
        <w:t> </w:t>
      </w:r>
      <w:r>
        <w:rPr/>
        <w:t>par</w:t>
      </w:r>
      <w:r>
        <w:rPr>
          <w:spacing w:val="17"/>
        </w:rPr>
        <w:t> </w:t>
      </w:r>
      <w:r>
        <w:rPr/>
        <w:t>la</w:t>
      </w:r>
      <w:r>
        <w:rPr>
          <w:spacing w:val="18"/>
        </w:rPr>
        <w:t> </w:t>
      </w:r>
      <w:r>
        <w:rPr/>
        <w:t>différence</w:t>
      </w:r>
      <w:r>
        <w:rPr>
          <w:spacing w:val="18"/>
        </w:rPr>
        <w:t> </w:t>
      </w:r>
      <w:r>
        <w:rPr/>
        <w:t>entre</w:t>
      </w:r>
      <w:r>
        <w:rPr>
          <w:spacing w:val="18"/>
        </w:rPr>
        <w:t> </w:t>
      </w:r>
      <w:r>
        <w:rPr/>
        <w:t>le</w:t>
      </w:r>
      <w:r>
        <w:rPr>
          <w:spacing w:val="20"/>
        </w:rPr>
        <w:t> </w:t>
      </w:r>
      <w:r>
        <w:rPr/>
        <w:t>prix</w:t>
      </w:r>
      <w:r>
        <w:rPr>
          <w:spacing w:val="18"/>
        </w:rPr>
        <w:t> </w:t>
      </w:r>
      <w:r>
        <w:rPr/>
        <w:t>d'aliénation</w:t>
      </w:r>
      <w:r>
        <w:rPr>
          <w:spacing w:val="20"/>
        </w:rPr>
        <w:t> </w:t>
      </w:r>
      <w:r>
        <w:rPr/>
        <w:t>et</w:t>
      </w:r>
      <w:r>
        <w:rPr>
          <w:spacing w:val="17"/>
        </w:rPr>
        <w:t> </w:t>
      </w:r>
      <w:r>
        <w:rPr/>
        <w:t>le</w:t>
      </w:r>
      <w:r>
        <w:rPr>
          <w:spacing w:val="18"/>
        </w:rPr>
        <w:t> </w:t>
      </w:r>
      <w:r>
        <w:rPr/>
        <w:t>prix d'acquisition, augmenté des impenses.</w:t>
      </w:r>
    </w:p>
    <w:p>
      <w:pPr>
        <w:pStyle w:val="BodyText"/>
        <w:spacing w:before="15"/>
      </w:pPr>
    </w:p>
    <w:p>
      <w:pPr>
        <w:pStyle w:val="Heading3"/>
        <w:tabs>
          <w:tab w:pos="851" w:val="left" w:leader="none"/>
        </w:tabs>
        <w:ind w:left="120"/>
      </w:pPr>
      <w:r>
        <w:rPr>
          <w:b w:val="0"/>
          <w:position w:val="-10"/>
        </w:rPr>
        <w:drawing>
          <wp:inline distT="0" distB="0" distL="0" distR="0">
            <wp:extent cx="259078" cy="313665"/>
            <wp:effectExtent l="0" t="0" r="0" b="0"/>
            <wp:docPr id="68" name="Image 68" descr="Kantonaler Steuerrechner">
              <a:hlinkClick r:id="rId80"/>
            </wp:docPr>
            <wp:cNvGraphicFramePr>
              <a:graphicFrameLocks/>
            </wp:cNvGraphicFramePr>
            <a:graphic>
              <a:graphicData uri="http://schemas.openxmlformats.org/drawingml/2006/picture">
                <pic:pic>
                  <pic:nvPicPr>
                    <pic:cNvPr id="68" name="Image 68" descr="Kantonaler Steuerrechner">
                      <a:hlinkClick r:id="rId80"/>
                    </pic:cNvPr>
                    <pic:cNvPicPr/>
                  </pic:nvPicPr>
                  <pic:blipFill>
                    <a:blip r:embed="rId12" cstate="print"/>
                    <a:stretch>
                      <a:fillRect/>
                    </a:stretch>
                  </pic:blipFill>
                  <pic:spPr>
                    <a:xfrm>
                      <a:off x="0" y="0"/>
                      <a:ext cx="259078" cy="313665"/>
                    </a:xfrm>
                    <a:prstGeom prst="rect">
                      <a:avLst/>
                    </a:prstGeom>
                  </pic:spPr>
                </pic:pic>
              </a:graphicData>
            </a:graphic>
          </wp:inline>
        </w:drawing>
      </w:r>
      <w:r>
        <w:rPr>
          <w:b w:val="0"/>
          <w:position w:val="-10"/>
        </w:rPr>
      </w:r>
      <w:r>
        <w:rPr>
          <w:rFonts w:ascii="Times New Roman" w:hAnsi="Times New Roman"/>
          <w:b w:val="0"/>
          <w:sz w:val="20"/>
        </w:rPr>
        <w:tab/>
      </w:r>
      <w:bookmarkStart w:name="Calcul de l’impôt" w:id="41"/>
      <w:bookmarkEnd w:id="41"/>
      <w:r>
        <w:rPr>
          <w:rFonts w:ascii="Times New Roman" w:hAnsi="Times New Roman"/>
          <w:b w:val="0"/>
          <w:sz w:val="20"/>
        </w:rPr>
      </w:r>
      <w:bookmarkStart w:name="_bookmark17" w:id="42"/>
      <w:bookmarkEnd w:id="42"/>
      <w:r>
        <w:rPr>
          <w:rFonts w:ascii="Times New Roman" w:hAnsi="Times New Roman"/>
          <w:b w:val="0"/>
          <w:sz w:val="2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3"/>
        <w:ind w:left="851"/>
      </w:pPr>
      <w:r>
        <w:rPr/>
        <w:t>(Art. 70</w:t>
      </w:r>
      <w:r>
        <w:rPr>
          <w:spacing w:val="-2"/>
        </w:rPr>
        <w:t> </w:t>
      </w:r>
      <w:r>
        <w:rPr/>
        <w:t>–</w:t>
      </w:r>
      <w:r>
        <w:rPr>
          <w:spacing w:val="1"/>
        </w:rPr>
        <w:t> </w:t>
      </w:r>
      <w:r>
        <w:rPr/>
        <w:t>74</w:t>
      </w:r>
      <w:r>
        <w:rPr>
          <w:spacing w:val="-2"/>
        </w:rPr>
        <w:t> LCdir)</w:t>
      </w:r>
    </w:p>
    <w:p>
      <w:pPr>
        <w:pStyle w:val="Heading8"/>
        <w:spacing w:before="155"/>
      </w:pPr>
      <w:r>
        <w:rPr/>
        <w:t>Art.</w:t>
      </w:r>
      <w:r>
        <w:rPr>
          <w:spacing w:val="-1"/>
        </w:rPr>
        <w:t> </w:t>
      </w:r>
      <w:r>
        <w:rPr/>
        <w:t>70 </w:t>
      </w:r>
      <w:r>
        <w:rPr>
          <w:spacing w:val="-2"/>
        </w:rPr>
        <w:t>LCdir</w:t>
      </w:r>
    </w:p>
    <w:p>
      <w:pPr>
        <w:pStyle w:val="BodyText"/>
        <w:spacing w:before="60"/>
        <w:ind w:left="1134" w:right="700"/>
      </w:pPr>
      <w:r>
        <w:rPr/>
        <w:t>L'impôt sur le gain imposable est progressif avec un supplément ou une réduction selon la durée de</w:t>
      </w:r>
      <w:r>
        <w:rPr>
          <w:spacing w:val="40"/>
        </w:rPr>
        <w:t> </w:t>
      </w:r>
      <w:r>
        <w:rPr>
          <w:spacing w:val="-2"/>
        </w:rPr>
        <w:t>propriété.</w:t>
      </w:r>
    </w:p>
    <w:p>
      <w:pPr>
        <w:pStyle w:val="BodyText"/>
        <w:spacing w:before="152"/>
      </w:pPr>
    </w:p>
    <w:p>
      <w:pPr>
        <w:pStyle w:val="Heading7"/>
      </w:pPr>
      <w:r>
        <w:rPr>
          <w:color w:val="950000"/>
        </w:rPr>
        <w:t>Catégories</w:t>
      </w:r>
      <w:r>
        <w:rPr>
          <w:color w:val="950000"/>
          <w:spacing w:val="-7"/>
        </w:rPr>
        <w:t> </w:t>
      </w:r>
      <w:r>
        <w:rPr>
          <w:color w:val="950000"/>
        </w:rPr>
        <w:t>et</w:t>
      </w:r>
      <w:r>
        <w:rPr>
          <w:color w:val="950000"/>
          <w:spacing w:val="-10"/>
        </w:rPr>
        <w:t> </w:t>
      </w:r>
      <w:r>
        <w:rPr>
          <w:color w:val="950000"/>
          <w:spacing w:val="-4"/>
        </w:rPr>
        <w:t>taux</w:t>
      </w:r>
    </w:p>
    <w:p>
      <w:pPr>
        <w:pStyle w:val="Heading8"/>
        <w:spacing w:before="94"/>
      </w:pPr>
      <w:r>
        <w:rPr/>
        <w:t>Art.</w:t>
      </w:r>
      <w:r>
        <w:rPr>
          <w:spacing w:val="-1"/>
        </w:rPr>
        <w:t> </w:t>
      </w:r>
      <w:r>
        <w:rPr/>
        <w:t>71 </w:t>
      </w:r>
      <w:r>
        <w:rPr>
          <w:spacing w:val="-2"/>
        </w:rPr>
        <w:t>LCdir</w:t>
      </w:r>
    </w:p>
    <w:p>
      <w:pPr>
        <w:pStyle w:val="BodyText"/>
        <w:spacing w:before="55" w:after="47"/>
        <w:ind w:left="1134"/>
      </w:pPr>
      <w:r>
        <w:rPr>
          <w:position w:val="6"/>
          <w:sz w:val="12"/>
        </w:rPr>
        <w:t>1</w:t>
      </w:r>
      <w:r>
        <w:rPr>
          <w:spacing w:val="12"/>
          <w:position w:val="6"/>
          <w:sz w:val="12"/>
        </w:rPr>
        <w:t> </w:t>
      </w:r>
      <w:r>
        <w:rPr/>
        <w:t>L'impôt</w:t>
      </w:r>
      <w:r>
        <w:rPr>
          <w:spacing w:val="-2"/>
        </w:rPr>
        <w:t> </w:t>
      </w:r>
      <w:r>
        <w:rPr/>
        <w:t>de</w:t>
      </w:r>
      <w:r>
        <w:rPr>
          <w:spacing w:val="-1"/>
        </w:rPr>
        <w:t> </w:t>
      </w:r>
      <w:r>
        <w:rPr/>
        <w:t>base</w:t>
      </w:r>
      <w:r>
        <w:rPr>
          <w:spacing w:val="-4"/>
        </w:rPr>
        <w:t> </w:t>
      </w:r>
      <w:r>
        <w:rPr/>
        <w:t>est</w:t>
      </w:r>
      <w:r>
        <w:rPr>
          <w:spacing w:val="-4"/>
        </w:rPr>
        <w:t> </w:t>
      </w:r>
      <w:r>
        <w:rPr/>
        <w:t>déterminé</w:t>
      </w:r>
      <w:r>
        <w:rPr>
          <w:spacing w:val="-1"/>
        </w:rPr>
        <w:t> </w:t>
      </w:r>
      <w:r>
        <w:rPr/>
        <w:t>d'après</w:t>
      </w:r>
      <w:r>
        <w:rPr>
          <w:spacing w:val="-2"/>
        </w:rPr>
        <w:t> </w:t>
      </w:r>
      <w:r>
        <w:rPr/>
        <w:t>le</w:t>
      </w:r>
      <w:r>
        <w:rPr>
          <w:spacing w:val="-1"/>
        </w:rPr>
        <w:t> </w:t>
      </w:r>
      <w:r>
        <w:rPr/>
        <w:t>système</w:t>
      </w:r>
      <w:r>
        <w:rPr>
          <w:spacing w:val="-4"/>
        </w:rPr>
        <w:t> </w:t>
      </w:r>
      <w:r>
        <w:rPr/>
        <w:t>progressif</w:t>
      </w:r>
      <w:r>
        <w:rPr>
          <w:spacing w:val="-2"/>
        </w:rPr>
        <w:t> </w:t>
      </w:r>
      <w:r>
        <w:rPr/>
        <w:t>par</w:t>
      </w:r>
      <w:r>
        <w:rPr>
          <w:spacing w:val="-4"/>
        </w:rPr>
        <w:t> </w:t>
      </w:r>
      <w:r>
        <w:rPr/>
        <w:t>catégories,</w:t>
      </w:r>
      <w:r>
        <w:rPr>
          <w:spacing w:val="-4"/>
        </w:rPr>
        <w:t> </w:t>
      </w:r>
      <w:r>
        <w:rPr/>
        <w:t>selon</w:t>
      </w:r>
      <w:r>
        <w:rPr>
          <w:spacing w:val="-4"/>
        </w:rPr>
        <w:t> </w:t>
      </w:r>
      <w:r>
        <w:rPr/>
        <w:t>le</w:t>
      </w:r>
      <w:r>
        <w:rPr>
          <w:spacing w:val="-1"/>
        </w:rPr>
        <w:t> </w:t>
      </w:r>
      <w:r>
        <w:rPr/>
        <w:t>barème</w:t>
      </w:r>
      <w:r>
        <w:rPr>
          <w:spacing w:val="-1"/>
        </w:rPr>
        <w:t> </w:t>
      </w:r>
      <w:r>
        <w:rPr>
          <w:spacing w:val="-2"/>
        </w:rPr>
        <w:t>suivant:</w:t>
      </w:r>
    </w:p>
    <w:tbl>
      <w:tblPr>
        <w:tblW w:w="0" w:type="auto"/>
        <w:jc w:val="left"/>
        <w:tblInd w:w="1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892"/>
        <w:gridCol w:w="1359"/>
        <w:gridCol w:w="972"/>
        <w:gridCol w:w="1481"/>
        <w:gridCol w:w="1189"/>
      </w:tblGrid>
      <w:tr>
        <w:trPr>
          <w:trHeight w:val="885" w:hRule="atLeast"/>
        </w:trPr>
        <w:tc>
          <w:tcPr>
            <w:tcW w:w="1958" w:type="dxa"/>
            <w:gridSpan w:val="2"/>
          </w:tcPr>
          <w:p>
            <w:pPr>
              <w:pStyle w:val="TableParagraph"/>
              <w:spacing w:line="240" w:lineRule="auto" w:before="113"/>
              <w:jc w:val="left"/>
              <w:rPr>
                <w:sz w:val="18"/>
              </w:rPr>
            </w:pPr>
          </w:p>
          <w:p>
            <w:pPr>
              <w:pStyle w:val="TableParagraph"/>
              <w:spacing w:line="240" w:lineRule="auto"/>
              <w:ind w:left="846"/>
              <w:jc w:val="left"/>
              <w:rPr>
                <w:rFonts w:ascii="Arial" w:hAnsi="Arial"/>
                <w:i/>
                <w:sz w:val="18"/>
              </w:rPr>
            </w:pPr>
            <w:r>
              <w:rPr>
                <w:rFonts w:ascii="Arial" w:hAnsi="Arial"/>
                <w:i/>
                <w:spacing w:val="-2"/>
                <w:sz w:val="18"/>
              </w:rPr>
              <w:t>Catégories</w:t>
            </w:r>
          </w:p>
        </w:tc>
        <w:tc>
          <w:tcPr>
            <w:tcW w:w="1359" w:type="dxa"/>
          </w:tcPr>
          <w:p>
            <w:pPr>
              <w:pStyle w:val="TableParagraph"/>
              <w:spacing w:line="240" w:lineRule="auto"/>
              <w:jc w:val="left"/>
              <w:rPr>
                <w:rFonts w:ascii="Times New Roman"/>
                <w:sz w:val="18"/>
              </w:rPr>
            </w:pPr>
          </w:p>
        </w:tc>
        <w:tc>
          <w:tcPr>
            <w:tcW w:w="972" w:type="dxa"/>
          </w:tcPr>
          <w:p>
            <w:pPr>
              <w:pStyle w:val="TableParagraph"/>
              <w:spacing w:line="240" w:lineRule="auto"/>
              <w:ind w:left="47" w:right="179" w:firstLine="43"/>
              <w:jc w:val="both"/>
              <w:rPr>
                <w:rFonts w:ascii="Arial" w:hAnsi="Arial"/>
                <w:i/>
                <w:sz w:val="18"/>
              </w:rPr>
            </w:pPr>
            <w:r>
              <w:rPr>
                <w:rFonts w:ascii="Arial" w:hAnsi="Arial"/>
                <w:i/>
                <w:sz w:val="18"/>
              </w:rPr>
              <w:t>Taux de </w:t>
            </w:r>
            <w:r>
              <w:rPr>
                <w:rFonts w:ascii="Arial" w:hAnsi="Arial"/>
                <w:i/>
                <w:spacing w:val="-2"/>
                <w:sz w:val="18"/>
              </w:rPr>
              <w:t>chaque catégorie</w:t>
            </w:r>
          </w:p>
        </w:tc>
        <w:tc>
          <w:tcPr>
            <w:tcW w:w="1481" w:type="dxa"/>
          </w:tcPr>
          <w:p>
            <w:pPr>
              <w:pStyle w:val="TableParagraph"/>
              <w:spacing w:line="240" w:lineRule="auto"/>
              <w:ind w:left="186" w:right="109" w:hanging="3"/>
              <w:jc w:val="center"/>
              <w:rPr>
                <w:rFonts w:ascii="Arial" w:hAnsi="Arial"/>
                <w:i/>
                <w:sz w:val="18"/>
              </w:rPr>
            </w:pPr>
            <w:r>
              <w:rPr>
                <w:rFonts w:ascii="Arial" w:hAnsi="Arial"/>
                <w:i/>
                <w:sz w:val="18"/>
              </w:rPr>
              <w:t>Impôt dû pour le gain maxi-mal</w:t>
            </w:r>
            <w:r>
              <w:rPr>
                <w:rFonts w:ascii="Arial" w:hAnsi="Arial"/>
                <w:i/>
                <w:spacing w:val="-12"/>
                <w:sz w:val="18"/>
              </w:rPr>
              <w:t> </w:t>
            </w:r>
            <w:r>
              <w:rPr>
                <w:rFonts w:ascii="Arial" w:hAnsi="Arial"/>
                <w:i/>
                <w:sz w:val="18"/>
              </w:rPr>
              <w:t>de</w:t>
            </w:r>
            <w:r>
              <w:rPr>
                <w:rFonts w:ascii="Arial" w:hAnsi="Arial"/>
                <w:i/>
                <w:spacing w:val="-12"/>
                <w:sz w:val="18"/>
              </w:rPr>
              <w:t> </w:t>
            </w:r>
            <w:r>
              <w:rPr>
                <w:rFonts w:ascii="Arial" w:hAnsi="Arial"/>
                <w:i/>
                <w:sz w:val="18"/>
              </w:rPr>
              <w:t>la</w:t>
            </w:r>
            <w:r>
              <w:rPr>
                <w:rFonts w:ascii="Arial" w:hAnsi="Arial"/>
                <w:i/>
                <w:spacing w:val="-12"/>
                <w:sz w:val="18"/>
              </w:rPr>
              <w:t> </w:t>
            </w:r>
            <w:r>
              <w:rPr>
                <w:rFonts w:ascii="Arial" w:hAnsi="Arial"/>
                <w:i/>
                <w:sz w:val="18"/>
              </w:rPr>
              <w:t>caté-</w:t>
            </w:r>
            <w:r>
              <w:rPr>
                <w:rFonts w:ascii="Arial" w:hAnsi="Arial"/>
                <w:i/>
                <w:spacing w:val="-4"/>
                <w:sz w:val="18"/>
              </w:rPr>
              <w:t>gorie</w:t>
            </w:r>
          </w:p>
        </w:tc>
        <w:tc>
          <w:tcPr>
            <w:tcW w:w="1189" w:type="dxa"/>
          </w:tcPr>
          <w:p>
            <w:pPr>
              <w:pStyle w:val="TableParagraph"/>
              <w:spacing w:line="240" w:lineRule="auto"/>
              <w:ind w:left="112" w:right="43" w:firstLine="14"/>
              <w:jc w:val="both"/>
              <w:rPr>
                <w:rFonts w:ascii="Arial" w:hAnsi="Arial"/>
                <w:i/>
                <w:sz w:val="18"/>
              </w:rPr>
            </w:pPr>
            <w:r>
              <w:rPr>
                <w:rFonts w:ascii="Arial" w:hAnsi="Arial"/>
                <w:i/>
                <w:sz w:val="18"/>
              </w:rPr>
              <w:t>Taux</w:t>
            </w:r>
            <w:r>
              <w:rPr>
                <w:rFonts w:ascii="Arial" w:hAnsi="Arial"/>
                <w:i/>
                <w:spacing w:val="-10"/>
                <w:sz w:val="18"/>
              </w:rPr>
              <w:t> </w:t>
            </w:r>
            <w:r>
              <w:rPr>
                <w:rFonts w:ascii="Arial" w:hAnsi="Arial"/>
                <w:i/>
                <w:sz w:val="18"/>
              </w:rPr>
              <w:t>réel</w:t>
            </w:r>
            <w:r>
              <w:rPr>
                <w:rFonts w:ascii="Arial" w:hAnsi="Arial"/>
                <w:i/>
                <w:spacing w:val="-12"/>
                <w:sz w:val="18"/>
              </w:rPr>
              <w:t> </w:t>
            </w:r>
            <w:r>
              <w:rPr>
                <w:rFonts w:ascii="Arial" w:hAnsi="Arial"/>
                <w:i/>
                <w:sz w:val="18"/>
              </w:rPr>
              <w:t>du maximum</w:t>
            </w:r>
            <w:r>
              <w:rPr>
                <w:rFonts w:ascii="Arial" w:hAnsi="Arial"/>
                <w:i/>
                <w:spacing w:val="-13"/>
                <w:sz w:val="18"/>
              </w:rPr>
              <w:t> </w:t>
            </w:r>
            <w:r>
              <w:rPr>
                <w:rFonts w:ascii="Arial" w:hAnsi="Arial"/>
                <w:i/>
                <w:sz w:val="18"/>
              </w:rPr>
              <w:t>de la catégorie</w:t>
            </w:r>
          </w:p>
        </w:tc>
      </w:tr>
      <w:tr>
        <w:trPr>
          <w:trHeight w:val="326" w:hRule="atLeast"/>
        </w:trPr>
        <w:tc>
          <w:tcPr>
            <w:tcW w:w="1066" w:type="dxa"/>
          </w:tcPr>
          <w:p>
            <w:pPr>
              <w:pStyle w:val="TableParagraph"/>
              <w:spacing w:line="240" w:lineRule="auto" w:before="56"/>
              <w:ind w:left="98"/>
              <w:jc w:val="left"/>
              <w:rPr>
                <w:rFonts w:ascii="Arial"/>
                <w:i/>
                <w:sz w:val="18"/>
              </w:rPr>
            </w:pPr>
            <w:r>
              <w:rPr>
                <w:rFonts w:ascii="Arial"/>
                <w:i/>
                <w:spacing w:val="-5"/>
                <w:sz w:val="18"/>
              </w:rPr>
              <w:t>Fr.</w:t>
            </w:r>
          </w:p>
        </w:tc>
        <w:tc>
          <w:tcPr>
            <w:tcW w:w="892" w:type="dxa"/>
          </w:tcPr>
          <w:p>
            <w:pPr>
              <w:pStyle w:val="TableParagraph"/>
              <w:spacing w:line="240" w:lineRule="auto"/>
              <w:jc w:val="left"/>
              <w:rPr>
                <w:rFonts w:ascii="Times New Roman"/>
                <w:sz w:val="18"/>
              </w:rPr>
            </w:pPr>
          </w:p>
        </w:tc>
        <w:tc>
          <w:tcPr>
            <w:tcW w:w="1359" w:type="dxa"/>
          </w:tcPr>
          <w:p>
            <w:pPr>
              <w:pStyle w:val="TableParagraph"/>
              <w:spacing w:line="240" w:lineRule="auto" w:before="56"/>
              <w:ind w:left="333"/>
              <w:jc w:val="left"/>
              <w:rPr>
                <w:rFonts w:ascii="Arial"/>
                <w:i/>
                <w:sz w:val="18"/>
              </w:rPr>
            </w:pPr>
            <w:r>
              <w:rPr>
                <w:rFonts w:ascii="Arial"/>
                <w:i/>
                <w:spacing w:val="-5"/>
                <w:sz w:val="18"/>
              </w:rPr>
              <w:t>Fr.</w:t>
            </w:r>
          </w:p>
        </w:tc>
        <w:tc>
          <w:tcPr>
            <w:tcW w:w="972" w:type="dxa"/>
          </w:tcPr>
          <w:p>
            <w:pPr>
              <w:pStyle w:val="TableParagraph"/>
              <w:spacing w:line="240" w:lineRule="auto" w:before="56"/>
              <w:ind w:left="337"/>
              <w:jc w:val="left"/>
              <w:rPr>
                <w:rFonts w:ascii="Arial"/>
                <w:i/>
                <w:sz w:val="18"/>
              </w:rPr>
            </w:pPr>
            <w:r>
              <w:rPr>
                <w:rFonts w:ascii="Arial"/>
                <w:i/>
                <w:spacing w:val="-10"/>
                <w:sz w:val="18"/>
              </w:rPr>
              <w:t>%</w:t>
            </w:r>
          </w:p>
        </w:tc>
        <w:tc>
          <w:tcPr>
            <w:tcW w:w="1481" w:type="dxa"/>
          </w:tcPr>
          <w:p>
            <w:pPr>
              <w:pStyle w:val="TableParagraph"/>
              <w:spacing w:line="240" w:lineRule="auto" w:before="56"/>
              <w:ind w:left="72"/>
              <w:jc w:val="center"/>
              <w:rPr>
                <w:rFonts w:ascii="Arial"/>
                <w:i/>
                <w:sz w:val="18"/>
              </w:rPr>
            </w:pPr>
            <w:r>
              <w:rPr>
                <w:rFonts w:ascii="Arial"/>
                <w:i/>
                <w:spacing w:val="-5"/>
                <w:sz w:val="18"/>
              </w:rPr>
              <w:t>Fr.</w:t>
            </w:r>
          </w:p>
        </w:tc>
        <w:tc>
          <w:tcPr>
            <w:tcW w:w="1189" w:type="dxa"/>
          </w:tcPr>
          <w:p>
            <w:pPr>
              <w:pStyle w:val="TableParagraph"/>
              <w:spacing w:line="240" w:lineRule="auto" w:before="56"/>
              <w:ind w:left="71" w:right="3"/>
              <w:jc w:val="center"/>
              <w:rPr>
                <w:rFonts w:ascii="Arial"/>
                <w:i/>
                <w:sz w:val="18"/>
              </w:rPr>
            </w:pPr>
            <w:r>
              <w:rPr>
                <w:rFonts w:ascii="Arial"/>
                <w:i/>
                <w:spacing w:val="-10"/>
                <w:sz w:val="18"/>
              </w:rPr>
              <w:t>%</w:t>
            </w:r>
          </w:p>
        </w:tc>
      </w:tr>
      <w:tr>
        <w:trPr>
          <w:trHeight w:val="266" w:hRule="atLeast"/>
        </w:trPr>
        <w:tc>
          <w:tcPr>
            <w:tcW w:w="1066" w:type="dxa"/>
          </w:tcPr>
          <w:p>
            <w:pPr>
              <w:pStyle w:val="TableParagraph"/>
              <w:spacing w:line="190" w:lineRule="exact" w:before="56"/>
              <w:ind w:right="210"/>
              <w:rPr>
                <w:sz w:val="18"/>
              </w:rPr>
            </w:pPr>
            <w:r>
              <w:rPr>
                <w:sz w:val="18"/>
              </w:rPr>
              <w:t>0.–</w:t>
            </w:r>
          </w:p>
        </w:tc>
        <w:tc>
          <w:tcPr>
            <w:tcW w:w="892" w:type="dxa"/>
          </w:tcPr>
          <w:p>
            <w:pPr>
              <w:pStyle w:val="TableParagraph"/>
              <w:spacing w:line="190" w:lineRule="exact" w:before="56"/>
              <w:ind w:left="212"/>
              <w:jc w:val="left"/>
              <w:rPr>
                <w:sz w:val="18"/>
              </w:rPr>
            </w:pPr>
            <w:r>
              <w:rPr>
                <w:spacing w:val="-10"/>
                <w:sz w:val="18"/>
              </w:rPr>
              <w:t>à</w:t>
            </w:r>
          </w:p>
        </w:tc>
        <w:tc>
          <w:tcPr>
            <w:tcW w:w="1359" w:type="dxa"/>
          </w:tcPr>
          <w:p>
            <w:pPr>
              <w:pStyle w:val="TableParagraph"/>
              <w:spacing w:line="190" w:lineRule="exact" w:before="56"/>
              <w:ind w:right="313"/>
              <w:rPr>
                <w:sz w:val="18"/>
              </w:rPr>
            </w:pPr>
            <w:r>
              <w:rPr>
                <w:sz w:val="18"/>
              </w:rPr>
              <w:t>5.000.–</w:t>
            </w:r>
          </w:p>
        </w:tc>
        <w:tc>
          <w:tcPr>
            <w:tcW w:w="972" w:type="dxa"/>
          </w:tcPr>
          <w:p>
            <w:pPr>
              <w:pStyle w:val="TableParagraph"/>
              <w:spacing w:line="190" w:lineRule="exact" w:before="56"/>
              <w:ind w:left="318"/>
              <w:jc w:val="left"/>
              <w:rPr>
                <w:sz w:val="18"/>
              </w:rPr>
            </w:pPr>
            <w:r>
              <w:rPr>
                <w:spacing w:val="-5"/>
                <w:sz w:val="18"/>
              </w:rPr>
              <w:t>10</w:t>
            </w:r>
          </w:p>
        </w:tc>
        <w:tc>
          <w:tcPr>
            <w:tcW w:w="1481" w:type="dxa"/>
          </w:tcPr>
          <w:p>
            <w:pPr>
              <w:pStyle w:val="TableParagraph"/>
              <w:spacing w:line="190" w:lineRule="exact" w:before="56"/>
              <w:ind w:right="102"/>
              <w:rPr>
                <w:sz w:val="18"/>
              </w:rPr>
            </w:pPr>
            <w:r>
              <w:rPr>
                <w:sz w:val="18"/>
              </w:rPr>
              <w:t>500.–</w:t>
            </w:r>
          </w:p>
        </w:tc>
        <w:tc>
          <w:tcPr>
            <w:tcW w:w="1189" w:type="dxa"/>
          </w:tcPr>
          <w:p>
            <w:pPr>
              <w:pStyle w:val="TableParagraph"/>
              <w:spacing w:line="190" w:lineRule="exact" w:before="56"/>
              <w:ind w:left="71"/>
              <w:jc w:val="center"/>
              <w:rPr>
                <w:sz w:val="18"/>
              </w:rPr>
            </w:pPr>
            <w:r>
              <w:rPr>
                <w:spacing w:val="-2"/>
                <w:sz w:val="18"/>
              </w:rPr>
              <w:t>10,000</w:t>
            </w:r>
          </w:p>
        </w:tc>
      </w:tr>
      <w:tr>
        <w:trPr>
          <w:trHeight w:val="207" w:hRule="atLeast"/>
        </w:trPr>
        <w:tc>
          <w:tcPr>
            <w:tcW w:w="1066" w:type="dxa"/>
          </w:tcPr>
          <w:p>
            <w:pPr>
              <w:pStyle w:val="TableParagraph"/>
              <w:spacing w:line="188" w:lineRule="exact"/>
              <w:ind w:right="210"/>
              <w:rPr>
                <w:sz w:val="18"/>
              </w:rPr>
            </w:pPr>
            <w:r>
              <w:rPr>
                <w:sz w:val="18"/>
              </w:rPr>
              <w:t>5.001.–</w:t>
            </w:r>
          </w:p>
        </w:tc>
        <w:tc>
          <w:tcPr>
            <w:tcW w:w="892" w:type="dxa"/>
          </w:tcPr>
          <w:p>
            <w:pPr>
              <w:pStyle w:val="TableParagraph"/>
              <w:spacing w:line="188" w:lineRule="exact"/>
              <w:ind w:left="212"/>
              <w:jc w:val="left"/>
              <w:rPr>
                <w:sz w:val="18"/>
              </w:rPr>
            </w:pPr>
            <w:r>
              <w:rPr>
                <w:spacing w:val="-10"/>
                <w:sz w:val="18"/>
              </w:rPr>
              <w:t>à</w:t>
            </w:r>
          </w:p>
        </w:tc>
        <w:tc>
          <w:tcPr>
            <w:tcW w:w="1359" w:type="dxa"/>
          </w:tcPr>
          <w:p>
            <w:pPr>
              <w:pStyle w:val="TableParagraph"/>
              <w:spacing w:line="188" w:lineRule="exact"/>
              <w:ind w:right="313"/>
              <w:rPr>
                <w:sz w:val="18"/>
              </w:rPr>
            </w:pPr>
            <w:r>
              <w:rPr>
                <w:sz w:val="18"/>
              </w:rPr>
              <w:t>10.000.–</w:t>
            </w:r>
          </w:p>
        </w:tc>
        <w:tc>
          <w:tcPr>
            <w:tcW w:w="972" w:type="dxa"/>
          </w:tcPr>
          <w:p>
            <w:pPr>
              <w:pStyle w:val="TableParagraph"/>
              <w:spacing w:line="188" w:lineRule="exact"/>
              <w:ind w:left="318"/>
              <w:jc w:val="left"/>
              <w:rPr>
                <w:sz w:val="18"/>
              </w:rPr>
            </w:pPr>
            <w:r>
              <w:rPr>
                <w:spacing w:val="-5"/>
                <w:sz w:val="18"/>
              </w:rPr>
              <w:t>15</w:t>
            </w:r>
          </w:p>
        </w:tc>
        <w:tc>
          <w:tcPr>
            <w:tcW w:w="1481" w:type="dxa"/>
          </w:tcPr>
          <w:p>
            <w:pPr>
              <w:pStyle w:val="TableParagraph"/>
              <w:spacing w:line="188" w:lineRule="exact"/>
              <w:ind w:right="102"/>
              <w:rPr>
                <w:sz w:val="18"/>
              </w:rPr>
            </w:pPr>
            <w:r>
              <w:rPr>
                <w:sz w:val="18"/>
              </w:rPr>
              <w:t>1.250.–</w:t>
            </w:r>
          </w:p>
        </w:tc>
        <w:tc>
          <w:tcPr>
            <w:tcW w:w="1189" w:type="dxa"/>
          </w:tcPr>
          <w:p>
            <w:pPr>
              <w:pStyle w:val="TableParagraph"/>
              <w:spacing w:line="188" w:lineRule="exact"/>
              <w:ind w:left="71"/>
              <w:jc w:val="center"/>
              <w:rPr>
                <w:sz w:val="18"/>
              </w:rPr>
            </w:pPr>
            <w:r>
              <w:rPr>
                <w:spacing w:val="-2"/>
                <w:sz w:val="18"/>
              </w:rPr>
              <w:t>12,500</w:t>
            </w:r>
          </w:p>
        </w:tc>
      </w:tr>
      <w:tr>
        <w:trPr>
          <w:trHeight w:val="207" w:hRule="atLeast"/>
        </w:trPr>
        <w:tc>
          <w:tcPr>
            <w:tcW w:w="1066" w:type="dxa"/>
          </w:tcPr>
          <w:p>
            <w:pPr>
              <w:pStyle w:val="TableParagraph"/>
              <w:spacing w:line="188" w:lineRule="exact"/>
              <w:ind w:right="210"/>
              <w:rPr>
                <w:sz w:val="18"/>
              </w:rPr>
            </w:pPr>
            <w:r>
              <w:rPr>
                <w:sz w:val="18"/>
              </w:rPr>
              <w:t>10.001.–</w:t>
            </w:r>
          </w:p>
        </w:tc>
        <w:tc>
          <w:tcPr>
            <w:tcW w:w="892" w:type="dxa"/>
          </w:tcPr>
          <w:p>
            <w:pPr>
              <w:pStyle w:val="TableParagraph"/>
              <w:spacing w:line="188" w:lineRule="exact"/>
              <w:ind w:left="212"/>
              <w:jc w:val="left"/>
              <w:rPr>
                <w:sz w:val="18"/>
              </w:rPr>
            </w:pPr>
            <w:r>
              <w:rPr>
                <w:spacing w:val="-10"/>
                <w:sz w:val="18"/>
              </w:rPr>
              <w:t>à</w:t>
            </w:r>
          </w:p>
        </w:tc>
        <w:tc>
          <w:tcPr>
            <w:tcW w:w="1359" w:type="dxa"/>
          </w:tcPr>
          <w:p>
            <w:pPr>
              <w:pStyle w:val="TableParagraph"/>
              <w:spacing w:line="188" w:lineRule="exact"/>
              <w:ind w:right="313"/>
              <w:rPr>
                <w:sz w:val="18"/>
              </w:rPr>
            </w:pPr>
            <w:r>
              <w:rPr>
                <w:sz w:val="18"/>
              </w:rPr>
              <w:t>30.000.–</w:t>
            </w:r>
          </w:p>
        </w:tc>
        <w:tc>
          <w:tcPr>
            <w:tcW w:w="972" w:type="dxa"/>
          </w:tcPr>
          <w:p>
            <w:pPr>
              <w:pStyle w:val="TableParagraph"/>
              <w:spacing w:line="188" w:lineRule="exact"/>
              <w:ind w:left="318"/>
              <w:jc w:val="left"/>
              <w:rPr>
                <w:sz w:val="18"/>
              </w:rPr>
            </w:pPr>
            <w:r>
              <w:rPr>
                <w:spacing w:val="-5"/>
                <w:sz w:val="18"/>
              </w:rPr>
              <w:t>20</w:t>
            </w:r>
          </w:p>
        </w:tc>
        <w:tc>
          <w:tcPr>
            <w:tcW w:w="1481" w:type="dxa"/>
          </w:tcPr>
          <w:p>
            <w:pPr>
              <w:pStyle w:val="TableParagraph"/>
              <w:spacing w:line="188" w:lineRule="exact"/>
              <w:ind w:right="102"/>
              <w:rPr>
                <w:sz w:val="18"/>
              </w:rPr>
            </w:pPr>
            <w:r>
              <w:rPr>
                <w:sz w:val="18"/>
              </w:rPr>
              <w:t>5.250.–</w:t>
            </w:r>
          </w:p>
        </w:tc>
        <w:tc>
          <w:tcPr>
            <w:tcW w:w="1189" w:type="dxa"/>
          </w:tcPr>
          <w:p>
            <w:pPr>
              <w:pStyle w:val="TableParagraph"/>
              <w:spacing w:line="188" w:lineRule="exact"/>
              <w:ind w:left="71"/>
              <w:jc w:val="center"/>
              <w:rPr>
                <w:sz w:val="18"/>
              </w:rPr>
            </w:pPr>
            <w:r>
              <w:rPr>
                <w:spacing w:val="-2"/>
                <w:sz w:val="18"/>
              </w:rPr>
              <w:t>17,500</w:t>
            </w:r>
          </w:p>
        </w:tc>
      </w:tr>
      <w:tr>
        <w:trPr>
          <w:trHeight w:val="206" w:hRule="atLeast"/>
        </w:trPr>
        <w:tc>
          <w:tcPr>
            <w:tcW w:w="1066" w:type="dxa"/>
          </w:tcPr>
          <w:p>
            <w:pPr>
              <w:pStyle w:val="TableParagraph"/>
              <w:ind w:right="210"/>
              <w:rPr>
                <w:sz w:val="18"/>
              </w:rPr>
            </w:pPr>
            <w:r>
              <w:rPr>
                <w:sz w:val="18"/>
              </w:rPr>
              <w:t>30.001.–</w:t>
            </w:r>
          </w:p>
        </w:tc>
        <w:tc>
          <w:tcPr>
            <w:tcW w:w="892" w:type="dxa"/>
          </w:tcPr>
          <w:p>
            <w:pPr>
              <w:pStyle w:val="TableParagraph"/>
              <w:ind w:left="212"/>
              <w:jc w:val="left"/>
              <w:rPr>
                <w:sz w:val="18"/>
              </w:rPr>
            </w:pPr>
            <w:r>
              <w:rPr>
                <w:spacing w:val="-10"/>
                <w:sz w:val="18"/>
              </w:rPr>
              <w:t>à</w:t>
            </w:r>
          </w:p>
        </w:tc>
        <w:tc>
          <w:tcPr>
            <w:tcW w:w="1359" w:type="dxa"/>
          </w:tcPr>
          <w:p>
            <w:pPr>
              <w:pStyle w:val="TableParagraph"/>
              <w:ind w:right="313"/>
              <w:rPr>
                <w:sz w:val="18"/>
              </w:rPr>
            </w:pPr>
            <w:r>
              <w:rPr>
                <w:sz w:val="18"/>
              </w:rPr>
              <w:t>50.000.–</w:t>
            </w:r>
          </w:p>
        </w:tc>
        <w:tc>
          <w:tcPr>
            <w:tcW w:w="972" w:type="dxa"/>
          </w:tcPr>
          <w:p>
            <w:pPr>
              <w:pStyle w:val="TableParagraph"/>
              <w:ind w:left="318"/>
              <w:jc w:val="left"/>
              <w:rPr>
                <w:sz w:val="18"/>
              </w:rPr>
            </w:pPr>
            <w:r>
              <w:rPr>
                <w:spacing w:val="-5"/>
                <w:sz w:val="18"/>
              </w:rPr>
              <w:t>25</w:t>
            </w:r>
          </w:p>
        </w:tc>
        <w:tc>
          <w:tcPr>
            <w:tcW w:w="1481" w:type="dxa"/>
          </w:tcPr>
          <w:p>
            <w:pPr>
              <w:pStyle w:val="TableParagraph"/>
              <w:ind w:right="102"/>
              <w:rPr>
                <w:sz w:val="18"/>
              </w:rPr>
            </w:pPr>
            <w:r>
              <w:rPr>
                <w:sz w:val="18"/>
              </w:rPr>
              <w:t>10.250.–</w:t>
            </w:r>
          </w:p>
        </w:tc>
        <w:tc>
          <w:tcPr>
            <w:tcW w:w="1189" w:type="dxa"/>
          </w:tcPr>
          <w:p>
            <w:pPr>
              <w:pStyle w:val="TableParagraph"/>
              <w:ind w:left="71"/>
              <w:jc w:val="center"/>
              <w:rPr>
                <w:sz w:val="18"/>
              </w:rPr>
            </w:pPr>
            <w:r>
              <w:rPr>
                <w:spacing w:val="-2"/>
                <w:sz w:val="18"/>
              </w:rPr>
              <w:t>20,500</w:t>
            </w:r>
          </w:p>
        </w:tc>
      </w:tr>
      <w:tr>
        <w:trPr>
          <w:trHeight w:val="206" w:hRule="atLeast"/>
        </w:trPr>
        <w:tc>
          <w:tcPr>
            <w:tcW w:w="1066" w:type="dxa"/>
          </w:tcPr>
          <w:p>
            <w:pPr>
              <w:pStyle w:val="TableParagraph"/>
              <w:ind w:right="210"/>
              <w:rPr>
                <w:sz w:val="18"/>
              </w:rPr>
            </w:pPr>
            <w:r>
              <w:rPr>
                <w:sz w:val="18"/>
              </w:rPr>
              <w:t>50.001.–</w:t>
            </w:r>
          </w:p>
        </w:tc>
        <w:tc>
          <w:tcPr>
            <w:tcW w:w="892" w:type="dxa"/>
          </w:tcPr>
          <w:p>
            <w:pPr>
              <w:pStyle w:val="TableParagraph"/>
              <w:ind w:left="212"/>
              <w:jc w:val="left"/>
              <w:rPr>
                <w:sz w:val="18"/>
              </w:rPr>
            </w:pPr>
            <w:r>
              <w:rPr>
                <w:spacing w:val="-10"/>
                <w:sz w:val="18"/>
              </w:rPr>
              <w:t>à</w:t>
            </w:r>
          </w:p>
        </w:tc>
        <w:tc>
          <w:tcPr>
            <w:tcW w:w="1359" w:type="dxa"/>
          </w:tcPr>
          <w:p>
            <w:pPr>
              <w:pStyle w:val="TableParagraph"/>
              <w:ind w:right="313"/>
              <w:rPr>
                <w:sz w:val="18"/>
              </w:rPr>
            </w:pPr>
            <w:r>
              <w:rPr>
                <w:sz w:val="18"/>
              </w:rPr>
              <w:t>75.000.–</w:t>
            </w:r>
          </w:p>
        </w:tc>
        <w:tc>
          <w:tcPr>
            <w:tcW w:w="972" w:type="dxa"/>
          </w:tcPr>
          <w:p>
            <w:pPr>
              <w:pStyle w:val="TableParagraph"/>
              <w:ind w:left="318"/>
              <w:jc w:val="left"/>
              <w:rPr>
                <w:sz w:val="18"/>
              </w:rPr>
            </w:pPr>
            <w:r>
              <w:rPr>
                <w:spacing w:val="-5"/>
                <w:sz w:val="18"/>
              </w:rPr>
              <w:t>30</w:t>
            </w:r>
          </w:p>
        </w:tc>
        <w:tc>
          <w:tcPr>
            <w:tcW w:w="1481" w:type="dxa"/>
          </w:tcPr>
          <w:p>
            <w:pPr>
              <w:pStyle w:val="TableParagraph"/>
              <w:ind w:right="102"/>
              <w:rPr>
                <w:sz w:val="18"/>
              </w:rPr>
            </w:pPr>
            <w:r>
              <w:rPr>
                <w:sz w:val="18"/>
              </w:rPr>
              <w:t>17.750.–</w:t>
            </w:r>
          </w:p>
        </w:tc>
        <w:tc>
          <w:tcPr>
            <w:tcW w:w="1189" w:type="dxa"/>
          </w:tcPr>
          <w:p>
            <w:pPr>
              <w:pStyle w:val="TableParagraph"/>
              <w:ind w:left="71"/>
              <w:jc w:val="center"/>
              <w:rPr>
                <w:sz w:val="18"/>
              </w:rPr>
            </w:pPr>
            <w:r>
              <w:rPr>
                <w:spacing w:val="-2"/>
                <w:sz w:val="18"/>
              </w:rPr>
              <w:t>23,667</w:t>
            </w:r>
          </w:p>
        </w:tc>
      </w:tr>
      <w:tr>
        <w:trPr>
          <w:trHeight w:val="207" w:hRule="atLeast"/>
        </w:trPr>
        <w:tc>
          <w:tcPr>
            <w:tcW w:w="1066" w:type="dxa"/>
          </w:tcPr>
          <w:p>
            <w:pPr>
              <w:pStyle w:val="TableParagraph"/>
              <w:spacing w:line="188" w:lineRule="exact"/>
              <w:ind w:right="210"/>
              <w:rPr>
                <w:sz w:val="18"/>
              </w:rPr>
            </w:pPr>
            <w:r>
              <w:rPr>
                <w:sz w:val="18"/>
              </w:rPr>
              <w:t>75.001.–</w:t>
            </w:r>
          </w:p>
        </w:tc>
        <w:tc>
          <w:tcPr>
            <w:tcW w:w="892" w:type="dxa"/>
          </w:tcPr>
          <w:p>
            <w:pPr>
              <w:pStyle w:val="TableParagraph"/>
              <w:spacing w:line="188" w:lineRule="exact"/>
              <w:ind w:left="212"/>
              <w:jc w:val="left"/>
              <w:rPr>
                <w:sz w:val="18"/>
              </w:rPr>
            </w:pPr>
            <w:r>
              <w:rPr>
                <w:spacing w:val="-10"/>
                <w:sz w:val="18"/>
              </w:rPr>
              <w:t>à</w:t>
            </w:r>
          </w:p>
        </w:tc>
        <w:tc>
          <w:tcPr>
            <w:tcW w:w="1359" w:type="dxa"/>
          </w:tcPr>
          <w:p>
            <w:pPr>
              <w:pStyle w:val="TableParagraph"/>
              <w:spacing w:line="188" w:lineRule="exact"/>
              <w:ind w:left="240"/>
              <w:jc w:val="left"/>
              <w:rPr>
                <w:sz w:val="18"/>
              </w:rPr>
            </w:pPr>
            <w:r>
              <w:rPr>
                <w:sz w:val="18"/>
              </w:rPr>
              <w:t>100.000.–</w:t>
            </w:r>
          </w:p>
        </w:tc>
        <w:tc>
          <w:tcPr>
            <w:tcW w:w="972" w:type="dxa"/>
          </w:tcPr>
          <w:p>
            <w:pPr>
              <w:pStyle w:val="TableParagraph"/>
              <w:spacing w:line="188" w:lineRule="exact"/>
              <w:ind w:left="318"/>
              <w:jc w:val="left"/>
              <w:rPr>
                <w:sz w:val="18"/>
              </w:rPr>
            </w:pPr>
            <w:r>
              <w:rPr>
                <w:spacing w:val="-5"/>
                <w:sz w:val="18"/>
              </w:rPr>
              <w:t>35</w:t>
            </w:r>
          </w:p>
        </w:tc>
        <w:tc>
          <w:tcPr>
            <w:tcW w:w="1481" w:type="dxa"/>
          </w:tcPr>
          <w:p>
            <w:pPr>
              <w:pStyle w:val="TableParagraph"/>
              <w:spacing w:line="188" w:lineRule="exact"/>
              <w:ind w:right="102"/>
              <w:rPr>
                <w:sz w:val="18"/>
              </w:rPr>
            </w:pPr>
            <w:r>
              <w:rPr>
                <w:sz w:val="18"/>
              </w:rPr>
              <w:t>26.500.–</w:t>
            </w:r>
          </w:p>
        </w:tc>
        <w:tc>
          <w:tcPr>
            <w:tcW w:w="1189" w:type="dxa"/>
          </w:tcPr>
          <w:p>
            <w:pPr>
              <w:pStyle w:val="TableParagraph"/>
              <w:spacing w:line="188" w:lineRule="exact"/>
              <w:ind w:left="71"/>
              <w:jc w:val="center"/>
              <w:rPr>
                <w:sz w:val="18"/>
              </w:rPr>
            </w:pPr>
            <w:r>
              <w:rPr>
                <w:spacing w:val="-2"/>
                <w:sz w:val="18"/>
              </w:rPr>
              <w:t>26,500</w:t>
            </w:r>
          </w:p>
        </w:tc>
      </w:tr>
      <w:tr>
        <w:trPr>
          <w:trHeight w:val="204" w:hRule="atLeast"/>
        </w:trPr>
        <w:tc>
          <w:tcPr>
            <w:tcW w:w="1066" w:type="dxa"/>
          </w:tcPr>
          <w:p>
            <w:pPr>
              <w:pStyle w:val="TableParagraph"/>
              <w:spacing w:line="185" w:lineRule="exact"/>
              <w:ind w:left="50"/>
              <w:jc w:val="left"/>
              <w:rPr>
                <w:sz w:val="18"/>
              </w:rPr>
            </w:pPr>
            <w:r>
              <w:rPr>
                <w:sz w:val="18"/>
              </w:rPr>
              <w:t>100.001.–</w:t>
            </w:r>
          </w:p>
        </w:tc>
        <w:tc>
          <w:tcPr>
            <w:tcW w:w="892" w:type="dxa"/>
          </w:tcPr>
          <w:p>
            <w:pPr>
              <w:pStyle w:val="TableParagraph"/>
              <w:spacing w:line="185" w:lineRule="exact"/>
              <w:ind w:left="212"/>
              <w:jc w:val="left"/>
              <w:rPr>
                <w:sz w:val="18"/>
              </w:rPr>
            </w:pPr>
            <w:r>
              <w:rPr>
                <w:spacing w:val="-10"/>
                <w:sz w:val="18"/>
              </w:rPr>
              <w:t>à</w:t>
            </w:r>
          </w:p>
        </w:tc>
        <w:tc>
          <w:tcPr>
            <w:tcW w:w="1359" w:type="dxa"/>
          </w:tcPr>
          <w:p>
            <w:pPr>
              <w:pStyle w:val="TableParagraph"/>
              <w:spacing w:line="185" w:lineRule="exact"/>
              <w:ind w:left="240"/>
              <w:jc w:val="left"/>
              <w:rPr>
                <w:sz w:val="18"/>
              </w:rPr>
            </w:pPr>
            <w:r>
              <w:rPr>
                <w:sz w:val="18"/>
              </w:rPr>
              <w:t>135.000.–</w:t>
            </w:r>
          </w:p>
        </w:tc>
        <w:tc>
          <w:tcPr>
            <w:tcW w:w="972" w:type="dxa"/>
          </w:tcPr>
          <w:p>
            <w:pPr>
              <w:pStyle w:val="TableParagraph"/>
              <w:spacing w:line="185" w:lineRule="exact"/>
              <w:ind w:left="318"/>
              <w:jc w:val="left"/>
              <w:rPr>
                <w:sz w:val="18"/>
              </w:rPr>
            </w:pPr>
            <w:r>
              <w:rPr>
                <w:spacing w:val="-5"/>
                <w:sz w:val="18"/>
              </w:rPr>
              <w:t>40</w:t>
            </w:r>
          </w:p>
        </w:tc>
        <w:tc>
          <w:tcPr>
            <w:tcW w:w="1481" w:type="dxa"/>
          </w:tcPr>
          <w:p>
            <w:pPr>
              <w:pStyle w:val="TableParagraph"/>
              <w:spacing w:line="185" w:lineRule="exact"/>
              <w:ind w:right="102"/>
              <w:rPr>
                <w:sz w:val="18"/>
              </w:rPr>
            </w:pPr>
            <w:r>
              <w:rPr>
                <w:sz w:val="18"/>
              </w:rPr>
              <w:t>40.500.–</w:t>
            </w:r>
          </w:p>
        </w:tc>
        <w:tc>
          <w:tcPr>
            <w:tcW w:w="1189" w:type="dxa"/>
          </w:tcPr>
          <w:p>
            <w:pPr>
              <w:pStyle w:val="TableParagraph"/>
              <w:spacing w:line="185" w:lineRule="exact"/>
              <w:ind w:left="71"/>
              <w:jc w:val="center"/>
              <w:rPr>
                <w:sz w:val="18"/>
              </w:rPr>
            </w:pPr>
            <w:r>
              <w:rPr>
                <w:spacing w:val="-2"/>
                <w:sz w:val="18"/>
              </w:rPr>
              <w:t>30,000</w:t>
            </w:r>
          </w:p>
        </w:tc>
      </w:tr>
    </w:tbl>
    <w:p>
      <w:pPr>
        <w:pStyle w:val="BodyText"/>
        <w:spacing w:before="161"/>
        <w:ind w:left="1134"/>
      </w:pPr>
      <w:r>
        <w:rPr>
          <w:position w:val="6"/>
          <w:sz w:val="12"/>
        </w:rPr>
        <w:t>2</w:t>
      </w:r>
      <w:r>
        <w:rPr>
          <w:spacing w:val="15"/>
          <w:position w:val="6"/>
          <w:sz w:val="12"/>
        </w:rPr>
        <w:t> </w:t>
      </w:r>
      <w:r>
        <w:rPr/>
        <w:t>Le gain</w:t>
      </w:r>
      <w:r>
        <w:rPr>
          <w:spacing w:val="-4"/>
        </w:rPr>
        <w:t> </w:t>
      </w:r>
      <w:r>
        <w:rPr/>
        <w:t>supérieur</w:t>
      </w:r>
      <w:r>
        <w:rPr>
          <w:spacing w:val="-1"/>
        </w:rPr>
        <w:t> </w:t>
      </w:r>
      <w:r>
        <w:rPr/>
        <w:t>à</w:t>
      </w:r>
      <w:r>
        <w:rPr>
          <w:spacing w:val="-3"/>
        </w:rPr>
        <w:t> </w:t>
      </w:r>
      <w:r>
        <w:rPr/>
        <w:t>135.000</w:t>
      </w:r>
      <w:r>
        <w:rPr>
          <w:spacing w:val="-4"/>
        </w:rPr>
        <w:t> </w:t>
      </w:r>
      <w:r>
        <w:rPr/>
        <w:t>francs est</w:t>
      </w:r>
      <w:r>
        <w:rPr>
          <w:spacing w:val="-2"/>
        </w:rPr>
        <w:t> </w:t>
      </w:r>
      <w:r>
        <w:rPr/>
        <w:t>imposé</w:t>
      </w:r>
      <w:r>
        <w:rPr>
          <w:spacing w:val="-3"/>
        </w:rPr>
        <w:t> </w:t>
      </w:r>
      <w:r>
        <w:rPr/>
        <w:t>à </w:t>
      </w:r>
      <w:r>
        <w:rPr>
          <w:spacing w:val="-4"/>
        </w:rPr>
        <w:t>33%.</w:t>
      </w:r>
    </w:p>
    <w:p>
      <w:pPr>
        <w:pStyle w:val="BodyText"/>
        <w:spacing w:before="34"/>
        <w:ind w:left="1134"/>
      </w:pPr>
      <w:r>
        <w:rPr>
          <w:position w:val="6"/>
          <w:sz w:val="12"/>
        </w:rPr>
        <w:t>3</w:t>
      </w:r>
      <w:r>
        <w:rPr>
          <w:spacing w:val="14"/>
          <w:position w:val="6"/>
          <w:sz w:val="12"/>
        </w:rPr>
        <w:t> </w:t>
      </w:r>
      <w:r>
        <w:rPr/>
        <w:t>Le</w:t>
      </w:r>
      <w:r>
        <w:rPr>
          <w:spacing w:val="-1"/>
        </w:rPr>
        <w:t> </w:t>
      </w:r>
      <w:r>
        <w:rPr/>
        <w:t>gain</w:t>
      </w:r>
      <w:r>
        <w:rPr>
          <w:spacing w:val="-5"/>
        </w:rPr>
        <w:t> </w:t>
      </w:r>
      <w:r>
        <w:rPr/>
        <w:t>imposable</w:t>
      </w:r>
      <w:r>
        <w:rPr>
          <w:spacing w:val="-1"/>
        </w:rPr>
        <w:t> </w:t>
      </w:r>
      <w:r>
        <w:rPr/>
        <w:t>est</w:t>
      </w:r>
      <w:r>
        <w:rPr>
          <w:spacing w:val="-3"/>
        </w:rPr>
        <w:t> </w:t>
      </w:r>
      <w:r>
        <w:rPr/>
        <w:t>arrondi</w:t>
      </w:r>
      <w:r>
        <w:rPr>
          <w:spacing w:val="-1"/>
        </w:rPr>
        <w:t> </w:t>
      </w:r>
      <w:r>
        <w:rPr/>
        <w:t>à</w:t>
      </w:r>
      <w:r>
        <w:rPr>
          <w:spacing w:val="-2"/>
        </w:rPr>
        <w:t> </w:t>
      </w:r>
      <w:r>
        <w:rPr/>
        <w:t>la</w:t>
      </w:r>
      <w:r>
        <w:rPr>
          <w:spacing w:val="-1"/>
        </w:rPr>
        <w:t> </w:t>
      </w:r>
      <w:r>
        <w:rPr/>
        <w:t>centaine</w:t>
      </w:r>
      <w:r>
        <w:rPr>
          <w:spacing w:val="-5"/>
        </w:rPr>
        <w:t> </w:t>
      </w:r>
      <w:r>
        <w:rPr/>
        <w:t>de</w:t>
      </w:r>
      <w:r>
        <w:rPr>
          <w:spacing w:val="-1"/>
        </w:rPr>
        <w:t> </w:t>
      </w:r>
      <w:r>
        <w:rPr/>
        <w:t>francs</w:t>
      </w:r>
      <w:r>
        <w:rPr>
          <w:spacing w:val="-1"/>
        </w:rPr>
        <w:t> </w:t>
      </w:r>
      <w:r>
        <w:rPr>
          <w:spacing w:val="-2"/>
        </w:rPr>
        <w:t>inférieure.</w:t>
      </w:r>
    </w:p>
    <w:p>
      <w:pPr>
        <w:pStyle w:val="BodyText"/>
        <w:spacing w:before="36"/>
        <w:ind w:left="1134"/>
      </w:pPr>
      <w:r>
        <w:rPr>
          <w:position w:val="6"/>
          <w:sz w:val="12"/>
        </w:rPr>
        <w:t>4</w:t>
      </w:r>
      <w:r>
        <w:rPr>
          <w:spacing w:val="15"/>
          <w:position w:val="6"/>
          <w:sz w:val="12"/>
        </w:rPr>
        <w:t> </w:t>
      </w:r>
      <w:r>
        <w:rPr/>
        <w:t>L'impôt</w:t>
      </w:r>
      <w:r>
        <w:rPr>
          <w:spacing w:val="-2"/>
        </w:rPr>
        <w:t> </w:t>
      </w:r>
      <w:r>
        <w:rPr/>
        <w:t>n'est</w:t>
      </w:r>
      <w:r>
        <w:rPr>
          <w:spacing w:val="-2"/>
        </w:rPr>
        <w:t> </w:t>
      </w:r>
      <w:r>
        <w:rPr/>
        <w:t>pas</w:t>
      </w:r>
      <w:r>
        <w:rPr>
          <w:spacing w:val="-2"/>
        </w:rPr>
        <w:t> </w:t>
      </w:r>
      <w:r>
        <w:rPr/>
        <w:t>perçu</w:t>
      </w:r>
      <w:r>
        <w:rPr>
          <w:spacing w:val="-1"/>
        </w:rPr>
        <w:t> </w:t>
      </w:r>
      <w:r>
        <w:rPr/>
        <w:t>lorsque</w:t>
      </w:r>
      <w:r>
        <w:rPr>
          <w:spacing w:val="-1"/>
        </w:rPr>
        <w:t> </w:t>
      </w:r>
      <w:r>
        <w:rPr/>
        <w:t>son</w:t>
      </w:r>
      <w:r>
        <w:rPr>
          <w:spacing w:val="-1"/>
        </w:rPr>
        <w:t> </w:t>
      </w:r>
      <w:r>
        <w:rPr/>
        <w:t>montant</w:t>
      </w:r>
      <w:r>
        <w:rPr>
          <w:spacing w:val="-2"/>
        </w:rPr>
        <w:t> </w:t>
      </w:r>
      <w:r>
        <w:rPr/>
        <w:t>est</w:t>
      </w:r>
      <w:r>
        <w:rPr>
          <w:spacing w:val="-3"/>
        </w:rPr>
        <w:t> </w:t>
      </w:r>
      <w:r>
        <w:rPr/>
        <w:t>inférieur</w:t>
      </w:r>
      <w:r>
        <w:rPr>
          <w:spacing w:val="-4"/>
        </w:rPr>
        <w:t> </w:t>
      </w:r>
      <w:r>
        <w:rPr/>
        <w:t>à</w:t>
      </w:r>
      <w:r>
        <w:rPr>
          <w:spacing w:val="-4"/>
        </w:rPr>
        <w:t> </w:t>
      </w:r>
      <w:r>
        <w:rPr/>
        <w:t>100 </w:t>
      </w:r>
      <w:r>
        <w:rPr>
          <w:spacing w:val="-2"/>
        </w:rPr>
        <w:t>francs.</w:t>
      </w:r>
    </w:p>
    <w:p>
      <w:pPr>
        <w:pStyle w:val="BodyText"/>
        <w:spacing w:after="0"/>
        <w:sectPr>
          <w:headerReference w:type="default" r:id="rId76"/>
          <w:footerReference w:type="default" r:id="rId77"/>
          <w:pgSz w:w="11910" w:h="16840"/>
          <w:pgMar w:header="724" w:footer="687" w:top="960" w:bottom="880" w:left="850" w:right="992"/>
        </w:sectPr>
      </w:pPr>
    </w:p>
    <w:p>
      <w:pPr>
        <w:pStyle w:val="BodyText"/>
        <w:spacing w:before="211"/>
        <w:rPr>
          <w:sz w:val="20"/>
        </w:rPr>
      </w:pPr>
    </w:p>
    <w:p>
      <w:pPr>
        <w:pStyle w:val="Heading7"/>
      </w:pPr>
      <w:r>
        <w:rPr>
          <w:color w:val="950000"/>
          <w:spacing w:val="-2"/>
        </w:rPr>
        <w:t>Supplément</w:t>
      </w:r>
    </w:p>
    <w:p>
      <w:pPr>
        <w:pStyle w:val="Heading8"/>
        <w:spacing w:before="94"/>
      </w:pPr>
      <w:r>
        <w:rPr/>
        <w:t>Art.</w:t>
      </w:r>
      <w:r>
        <w:rPr>
          <w:spacing w:val="-1"/>
        </w:rPr>
        <w:t> </w:t>
      </w:r>
      <w:r>
        <w:rPr/>
        <w:t>72 </w:t>
      </w:r>
      <w:r>
        <w:rPr>
          <w:spacing w:val="-2"/>
        </w:rPr>
        <w:t>LCdir</w:t>
      </w:r>
    </w:p>
    <w:p>
      <w:pPr>
        <w:pStyle w:val="BodyText"/>
        <w:spacing w:before="55"/>
        <w:ind w:left="1134"/>
      </w:pPr>
      <w:r>
        <w:rPr>
          <w:position w:val="6"/>
          <w:sz w:val="12"/>
        </w:rPr>
        <w:t>1</w:t>
      </w:r>
      <w:r>
        <w:rPr>
          <w:spacing w:val="15"/>
          <w:position w:val="6"/>
          <w:sz w:val="12"/>
        </w:rPr>
        <w:t> </w:t>
      </w:r>
      <w:r>
        <w:rPr/>
        <w:t>L'impôt</w:t>
      </w:r>
      <w:r>
        <w:rPr>
          <w:spacing w:val="-4"/>
        </w:rPr>
        <w:t> </w:t>
      </w:r>
      <w:r>
        <w:rPr/>
        <w:t>calculé selon</w:t>
      </w:r>
      <w:r>
        <w:rPr>
          <w:spacing w:val="-4"/>
        </w:rPr>
        <w:t> </w:t>
      </w:r>
      <w:r>
        <w:rPr/>
        <w:t>l'article</w:t>
      </w:r>
      <w:r>
        <w:rPr>
          <w:spacing w:val="-4"/>
        </w:rPr>
        <w:t> </w:t>
      </w:r>
      <w:r>
        <w:rPr/>
        <w:t>71 est</w:t>
      </w:r>
      <w:r>
        <w:rPr>
          <w:spacing w:val="-2"/>
        </w:rPr>
        <w:t> </w:t>
      </w:r>
      <w:r>
        <w:rPr/>
        <w:t>augmenté</w:t>
      </w:r>
      <w:r>
        <w:rPr>
          <w:spacing w:val="-3"/>
        </w:rPr>
        <w:t> </w:t>
      </w:r>
      <w:r>
        <w:rPr/>
        <w:t>pour</w:t>
      </w:r>
      <w:r>
        <w:rPr>
          <w:spacing w:val="-4"/>
        </w:rPr>
        <w:t> </w:t>
      </w:r>
      <w:r>
        <w:rPr/>
        <w:t>une</w:t>
      </w:r>
      <w:r>
        <w:rPr>
          <w:spacing w:val="-4"/>
        </w:rPr>
        <w:t> </w:t>
      </w:r>
      <w:r>
        <w:rPr/>
        <w:t>durée de</w:t>
      </w:r>
      <w:r>
        <w:rPr>
          <w:spacing w:val="-4"/>
        </w:rPr>
        <w:t> </w:t>
      </w:r>
      <w:r>
        <w:rPr/>
        <w:t>propriété</w:t>
      </w:r>
      <w:r>
        <w:rPr>
          <w:spacing w:val="-3"/>
        </w:rPr>
        <w:t> </w:t>
      </w:r>
      <w:r>
        <w:rPr>
          <w:spacing w:val="-10"/>
        </w:rPr>
        <w:t>:</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inférieure</w:t>
      </w:r>
      <w:r>
        <w:rPr>
          <w:spacing w:val="-5"/>
          <w:sz w:val="18"/>
        </w:rPr>
        <w:t> </w:t>
      </w:r>
      <w:r>
        <w:rPr>
          <w:sz w:val="18"/>
        </w:rPr>
        <w:t>à</w:t>
      </w:r>
      <w:r>
        <w:rPr>
          <w:spacing w:val="-2"/>
          <w:sz w:val="18"/>
        </w:rPr>
        <w:t> </w:t>
      </w:r>
      <w:r>
        <w:rPr>
          <w:sz w:val="18"/>
        </w:rPr>
        <w:t>une</w:t>
      </w:r>
      <w:r>
        <w:rPr>
          <w:spacing w:val="-1"/>
          <w:sz w:val="18"/>
        </w:rPr>
        <w:t> </w:t>
      </w:r>
      <w:r>
        <w:rPr>
          <w:spacing w:val="-4"/>
          <w:sz w:val="18"/>
        </w:rPr>
        <w:t>année</w:t>
      </w:r>
      <w:r>
        <w:rPr>
          <w:sz w:val="18"/>
        </w:rPr>
        <w:tab/>
        <w:t>de</w:t>
      </w:r>
      <w:r>
        <w:rPr>
          <w:spacing w:val="1"/>
          <w:sz w:val="18"/>
        </w:rPr>
        <w:t> </w:t>
      </w:r>
      <w:r>
        <w:rPr>
          <w:spacing w:val="-5"/>
          <w:sz w:val="18"/>
        </w:rPr>
        <w:t>60%</w:t>
      </w:r>
    </w:p>
    <w:p>
      <w:pPr>
        <w:pStyle w:val="ListParagraph"/>
        <w:numPr>
          <w:ilvl w:val="0"/>
          <w:numId w:val="14"/>
        </w:numPr>
        <w:tabs>
          <w:tab w:pos="1810" w:val="left" w:leader="none"/>
          <w:tab w:pos="4396" w:val="left" w:leader="none"/>
        </w:tabs>
        <w:spacing w:line="240" w:lineRule="auto" w:before="38" w:after="0"/>
        <w:ind w:left="1810" w:right="0" w:hanging="251"/>
        <w:jc w:val="left"/>
        <w:rPr>
          <w:sz w:val="18"/>
        </w:rPr>
      </w:pPr>
      <w:r>
        <w:rPr>
          <w:sz w:val="18"/>
        </w:rPr>
        <w:t>inférieure</w:t>
      </w:r>
      <w:r>
        <w:rPr>
          <w:spacing w:val="-7"/>
          <w:sz w:val="18"/>
        </w:rPr>
        <w:t> </w:t>
      </w:r>
      <w:r>
        <w:rPr>
          <w:sz w:val="18"/>
        </w:rPr>
        <w:t>à</w:t>
      </w:r>
      <w:r>
        <w:rPr>
          <w:spacing w:val="-2"/>
          <w:sz w:val="18"/>
        </w:rPr>
        <w:t> </w:t>
      </w:r>
      <w:r>
        <w:rPr>
          <w:sz w:val="18"/>
        </w:rPr>
        <w:t>deux</w:t>
      </w:r>
      <w:r>
        <w:rPr>
          <w:spacing w:val="-1"/>
          <w:sz w:val="18"/>
        </w:rPr>
        <w:t> </w:t>
      </w:r>
      <w:r>
        <w:rPr>
          <w:spacing w:val="-2"/>
          <w:sz w:val="18"/>
        </w:rPr>
        <w:t>années</w:t>
      </w:r>
      <w:r>
        <w:rPr>
          <w:sz w:val="18"/>
        </w:rPr>
        <w:tab/>
        <w:t>de</w:t>
      </w:r>
      <w:r>
        <w:rPr>
          <w:spacing w:val="1"/>
          <w:sz w:val="18"/>
        </w:rPr>
        <w:t> </w:t>
      </w:r>
      <w:r>
        <w:rPr>
          <w:spacing w:val="-5"/>
          <w:sz w:val="18"/>
        </w:rPr>
        <w:t>45%</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inférieure</w:t>
      </w:r>
      <w:r>
        <w:rPr>
          <w:spacing w:val="-7"/>
          <w:sz w:val="18"/>
        </w:rPr>
        <w:t> </w:t>
      </w:r>
      <w:r>
        <w:rPr>
          <w:sz w:val="18"/>
        </w:rPr>
        <w:t>à</w:t>
      </w:r>
      <w:r>
        <w:rPr>
          <w:spacing w:val="-2"/>
          <w:sz w:val="18"/>
        </w:rPr>
        <w:t> </w:t>
      </w:r>
      <w:r>
        <w:rPr>
          <w:sz w:val="18"/>
        </w:rPr>
        <w:t>trois</w:t>
      </w:r>
      <w:r>
        <w:rPr>
          <w:spacing w:val="-2"/>
          <w:sz w:val="18"/>
        </w:rPr>
        <w:t> années</w:t>
      </w:r>
      <w:r>
        <w:rPr>
          <w:sz w:val="18"/>
        </w:rPr>
        <w:tab/>
        <w:t>de</w:t>
      </w:r>
      <w:r>
        <w:rPr>
          <w:spacing w:val="1"/>
          <w:sz w:val="18"/>
        </w:rPr>
        <w:t> </w:t>
      </w:r>
      <w:r>
        <w:rPr>
          <w:spacing w:val="-5"/>
          <w:sz w:val="18"/>
        </w:rPr>
        <w:t>30%</w:t>
      </w:r>
    </w:p>
    <w:p>
      <w:pPr>
        <w:pStyle w:val="ListParagraph"/>
        <w:numPr>
          <w:ilvl w:val="0"/>
          <w:numId w:val="14"/>
        </w:numPr>
        <w:tabs>
          <w:tab w:pos="1810" w:val="left" w:leader="none"/>
          <w:tab w:pos="4396" w:val="left" w:leader="none"/>
        </w:tabs>
        <w:spacing w:line="240" w:lineRule="auto" w:before="41" w:after="0"/>
        <w:ind w:left="1810" w:right="0" w:hanging="251"/>
        <w:jc w:val="left"/>
        <w:rPr>
          <w:sz w:val="18"/>
        </w:rPr>
      </w:pPr>
      <w:r>
        <w:rPr>
          <w:sz w:val="18"/>
        </w:rPr>
        <w:t>inférieure</w:t>
      </w:r>
      <w:r>
        <w:rPr>
          <w:spacing w:val="-7"/>
          <w:sz w:val="18"/>
        </w:rPr>
        <w:t> </w:t>
      </w:r>
      <w:r>
        <w:rPr>
          <w:sz w:val="18"/>
        </w:rPr>
        <w:t>à</w:t>
      </w:r>
      <w:r>
        <w:rPr>
          <w:spacing w:val="-2"/>
          <w:sz w:val="18"/>
        </w:rPr>
        <w:t> </w:t>
      </w:r>
      <w:r>
        <w:rPr>
          <w:sz w:val="18"/>
        </w:rPr>
        <w:t>quatre</w:t>
      </w:r>
      <w:r>
        <w:rPr>
          <w:spacing w:val="-2"/>
          <w:sz w:val="18"/>
        </w:rPr>
        <w:t> années</w:t>
      </w:r>
      <w:r>
        <w:rPr>
          <w:sz w:val="18"/>
        </w:rPr>
        <w:tab/>
        <w:t>de</w:t>
      </w:r>
      <w:r>
        <w:rPr>
          <w:spacing w:val="1"/>
          <w:sz w:val="18"/>
        </w:rPr>
        <w:t> </w:t>
      </w:r>
      <w:r>
        <w:rPr>
          <w:spacing w:val="-5"/>
          <w:sz w:val="18"/>
        </w:rPr>
        <w:t>15%</w:t>
      </w:r>
    </w:p>
    <w:p>
      <w:pPr>
        <w:pStyle w:val="BodyText"/>
        <w:spacing w:before="152"/>
      </w:pPr>
    </w:p>
    <w:p>
      <w:pPr>
        <w:pStyle w:val="Heading7"/>
        <w:spacing w:before="1"/>
      </w:pPr>
      <w:r>
        <w:rPr>
          <w:color w:val="950000"/>
          <w:spacing w:val="-2"/>
        </w:rPr>
        <w:t>Réduction</w:t>
      </w:r>
    </w:p>
    <w:p>
      <w:pPr>
        <w:pStyle w:val="Heading8"/>
        <w:spacing w:before="93"/>
      </w:pPr>
      <w:r>
        <w:rPr/>
        <w:t>Art.</w:t>
      </w:r>
      <w:r>
        <w:rPr>
          <w:spacing w:val="-1"/>
        </w:rPr>
        <w:t> </w:t>
      </w:r>
      <w:r>
        <w:rPr/>
        <w:t>73 </w:t>
      </w:r>
      <w:r>
        <w:rPr>
          <w:spacing w:val="-2"/>
        </w:rPr>
        <w:t>LCdir</w:t>
      </w:r>
    </w:p>
    <w:p>
      <w:pPr>
        <w:pStyle w:val="BodyText"/>
        <w:spacing w:before="56"/>
        <w:ind w:left="1134"/>
      </w:pPr>
      <w:r>
        <w:rPr>
          <w:position w:val="6"/>
          <w:sz w:val="12"/>
        </w:rPr>
        <w:t>1</w:t>
      </w:r>
      <w:r>
        <w:rPr>
          <w:spacing w:val="15"/>
          <w:position w:val="6"/>
          <w:sz w:val="12"/>
        </w:rPr>
        <w:t> </w:t>
      </w:r>
      <w:r>
        <w:rPr/>
        <w:t>L'impôt</w:t>
      </w:r>
      <w:r>
        <w:rPr>
          <w:spacing w:val="-4"/>
        </w:rPr>
        <w:t> </w:t>
      </w:r>
      <w:r>
        <w:rPr/>
        <w:t>calculé selon</w:t>
      </w:r>
      <w:r>
        <w:rPr>
          <w:spacing w:val="-4"/>
        </w:rPr>
        <w:t> </w:t>
      </w:r>
      <w:r>
        <w:rPr/>
        <w:t>l'article</w:t>
      </w:r>
      <w:r>
        <w:rPr>
          <w:spacing w:val="-4"/>
        </w:rPr>
        <w:t> </w:t>
      </w:r>
      <w:r>
        <w:rPr/>
        <w:t>71 est</w:t>
      </w:r>
      <w:r>
        <w:rPr>
          <w:spacing w:val="-2"/>
        </w:rPr>
        <w:t> </w:t>
      </w:r>
      <w:r>
        <w:rPr/>
        <w:t>réduit</w:t>
      </w:r>
      <w:r>
        <w:rPr>
          <w:spacing w:val="-4"/>
        </w:rPr>
        <w:t> </w:t>
      </w:r>
      <w:r>
        <w:rPr/>
        <w:t>pour</w:t>
      </w:r>
      <w:r>
        <w:rPr>
          <w:spacing w:val="-3"/>
        </w:rPr>
        <w:t> </w:t>
      </w:r>
      <w:r>
        <w:rPr/>
        <w:t>une</w:t>
      </w:r>
      <w:r>
        <w:rPr>
          <w:spacing w:val="-4"/>
        </w:rPr>
        <w:t> </w:t>
      </w:r>
      <w:r>
        <w:rPr/>
        <w:t>durée de</w:t>
      </w:r>
      <w:r>
        <w:rPr>
          <w:spacing w:val="-1"/>
        </w:rPr>
        <w:t> </w:t>
      </w:r>
      <w:r>
        <w:rPr/>
        <w:t>propriété</w:t>
      </w:r>
      <w:r>
        <w:rPr>
          <w:spacing w:val="-4"/>
        </w:rPr>
        <w:t> </w:t>
      </w:r>
      <w:r>
        <w:rPr/>
        <w:t>de </w:t>
      </w:r>
      <w:r>
        <w:rPr>
          <w:spacing w:val="-10"/>
        </w:rPr>
        <w:t>:</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2"/>
          <w:sz w:val="18"/>
        </w:rPr>
        <w:t> </w:t>
      </w:r>
      <w:r>
        <w:rPr>
          <w:sz w:val="18"/>
        </w:rPr>
        <w:t>de 5</w:t>
      </w:r>
      <w:r>
        <w:rPr>
          <w:spacing w:val="-2"/>
          <w:sz w:val="18"/>
        </w:rPr>
        <w:t> </w:t>
      </w:r>
      <w:r>
        <w:rPr>
          <w:spacing w:val="-5"/>
          <w:sz w:val="18"/>
        </w:rPr>
        <w:t>ans</w:t>
      </w:r>
      <w:r>
        <w:rPr>
          <w:sz w:val="18"/>
        </w:rPr>
        <w:tab/>
        <w:t>de</w:t>
      </w:r>
      <w:r>
        <w:rPr>
          <w:spacing w:val="74"/>
          <w:w w:val="150"/>
          <w:sz w:val="18"/>
        </w:rPr>
        <w:t> </w:t>
      </w:r>
      <w:r>
        <w:rPr>
          <w:spacing w:val="-5"/>
          <w:sz w:val="18"/>
        </w:rPr>
        <w:t>6%</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2"/>
          <w:sz w:val="18"/>
        </w:rPr>
        <w:t> </w:t>
      </w:r>
      <w:r>
        <w:rPr>
          <w:sz w:val="18"/>
        </w:rPr>
        <w:t>de 6</w:t>
      </w:r>
      <w:r>
        <w:rPr>
          <w:spacing w:val="-2"/>
          <w:sz w:val="18"/>
        </w:rPr>
        <w:t> </w:t>
      </w:r>
      <w:r>
        <w:rPr>
          <w:spacing w:val="-5"/>
          <w:sz w:val="18"/>
        </w:rPr>
        <w:t>ans</w:t>
      </w:r>
      <w:r>
        <w:rPr>
          <w:sz w:val="18"/>
        </w:rPr>
        <w:tab/>
        <w:t>de</w:t>
      </w:r>
      <w:r>
        <w:rPr>
          <w:spacing w:val="1"/>
          <w:sz w:val="18"/>
        </w:rPr>
        <w:t> </w:t>
      </w:r>
      <w:r>
        <w:rPr>
          <w:spacing w:val="-5"/>
          <w:sz w:val="18"/>
        </w:rPr>
        <w:t>12%</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2"/>
          <w:sz w:val="18"/>
        </w:rPr>
        <w:t> </w:t>
      </w:r>
      <w:r>
        <w:rPr>
          <w:sz w:val="18"/>
        </w:rPr>
        <w:t>de 7</w:t>
      </w:r>
      <w:r>
        <w:rPr>
          <w:spacing w:val="-2"/>
          <w:sz w:val="18"/>
        </w:rPr>
        <w:t> </w:t>
      </w:r>
      <w:r>
        <w:rPr>
          <w:spacing w:val="-5"/>
          <w:sz w:val="18"/>
        </w:rPr>
        <w:t>ans</w:t>
      </w:r>
      <w:r>
        <w:rPr>
          <w:sz w:val="18"/>
        </w:rPr>
        <w:tab/>
        <w:t>de</w:t>
      </w:r>
      <w:r>
        <w:rPr>
          <w:spacing w:val="1"/>
          <w:sz w:val="18"/>
        </w:rPr>
        <w:t> </w:t>
      </w:r>
      <w:r>
        <w:rPr>
          <w:spacing w:val="-5"/>
          <w:sz w:val="18"/>
        </w:rPr>
        <w:t>18%</w:t>
      </w:r>
    </w:p>
    <w:p>
      <w:pPr>
        <w:pStyle w:val="ListParagraph"/>
        <w:numPr>
          <w:ilvl w:val="0"/>
          <w:numId w:val="14"/>
        </w:numPr>
        <w:tabs>
          <w:tab w:pos="1810" w:val="left" w:leader="none"/>
          <w:tab w:pos="4396" w:val="left" w:leader="none"/>
        </w:tabs>
        <w:spacing w:line="240" w:lineRule="auto" w:before="41" w:after="0"/>
        <w:ind w:left="1810" w:right="0" w:hanging="251"/>
        <w:jc w:val="left"/>
        <w:rPr>
          <w:sz w:val="18"/>
        </w:rPr>
      </w:pPr>
      <w:r>
        <w:rPr>
          <w:sz w:val="18"/>
        </w:rPr>
        <w:t>plus</w:t>
      </w:r>
      <w:r>
        <w:rPr>
          <w:spacing w:val="-2"/>
          <w:sz w:val="18"/>
        </w:rPr>
        <w:t> </w:t>
      </w:r>
      <w:r>
        <w:rPr>
          <w:sz w:val="18"/>
        </w:rPr>
        <w:t>de 8</w:t>
      </w:r>
      <w:r>
        <w:rPr>
          <w:spacing w:val="-2"/>
          <w:sz w:val="18"/>
        </w:rPr>
        <w:t> </w:t>
      </w:r>
      <w:r>
        <w:rPr>
          <w:spacing w:val="-5"/>
          <w:sz w:val="18"/>
        </w:rPr>
        <w:t>ans</w:t>
      </w:r>
      <w:r>
        <w:rPr>
          <w:sz w:val="18"/>
        </w:rPr>
        <w:tab/>
        <w:t>de</w:t>
      </w:r>
      <w:r>
        <w:rPr>
          <w:spacing w:val="1"/>
          <w:sz w:val="18"/>
        </w:rPr>
        <w:t> </w:t>
      </w:r>
      <w:r>
        <w:rPr>
          <w:spacing w:val="-5"/>
          <w:sz w:val="18"/>
        </w:rPr>
        <w:t>24%</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2"/>
          <w:sz w:val="18"/>
        </w:rPr>
        <w:t> </w:t>
      </w:r>
      <w:r>
        <w:rPr>
          <w:sz w:val="18"/>
        </w:rPr>
        <w:t>de 9</w:t>
      </w:r>
      <w:r>
        <w:rPr>
          <w:spacing w:val="-2"/>
          <w:sz w:val="18"/>
        </w:rPr>
        <w:t> </w:t>
      </w:r>
      <w:r>
        <w:rPr>
          <w:spacing w:val="-5"/>
          <w:sz w:val="18"/>
        </w:rPr>
        <w:t>ans</w:t>
      </w:r>
      <w:r>
        <w:rPr>
          <w:sz w:val="18"/>
        </w:rPr>
        <w:tab/>
        <w:t>de</w:t>
      </w:r>
      <w:r>
        <w:rPr>
          <w:spacing w:val="1"/>
          <w:sz w:val="18"/>
        </w:rPr>
        <w:t> </w:t>
      </w:r>
      <w:r>
        <w:rPr>
          <w:spacing w:val="-5"/>
          <w:sz w:val="18"/>
        </w:rPr>
        <w:t>30%</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5"/>
          <w:sz w:val="18"/>
        </w:rPr>
        <w:t> </w:t>
      </w:r>
      <w:r>
        <w:rPr>
          <w:sz w:val="18"/>
        </w:rPr>
        <w:t>de 10 </w:t>
      </w:r>
      <w:r>
        <w:rPr>
          <w:spacing w:val="-5"/>
          <w:sz w:val="18"/>
        </w:rPr>
        <w:t>ans</w:t>
      </w:r>
      <w:r>
        <w:rPr>
          <w:sz w:val="18"/>
        </w:rPr>
        <w:tab/>
        <w:t>de</w:t>
      </w:r>
      <w:r>
        <w:rPr>
          <w:spacing w:val="1"/>
          <w:sz w:val="18"/>
        </w:rPr>
        <w:t> </w:t>
      </w:r>
      <w:r>
        <w:rPr>
          <w:spacing w:val="-5"/>
          <w:sz w:val="18"/>
        </w:rPr>
        <w:t>36%</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5"/>
          <w:sz w:val="18"/>
        </w:rPr>
        <w:t> </w:t>
      </w:r>
      <w:r>
        <w:rPr>
          <w:sz w:val="18"/>
        </w:rPr>
        <w:t>de 11 </w:t>
      </w:r>
      <w:r>
        <w:rPr>
          <w:spacing w:val="-5"/>
          <w:sz w:val="18"/>
        </w:rPr>
        <w:t>ans</w:t>
      </w:r>
      <w:r>
        <w:rPr>
          <w:sz w:val="18"/>
        </w:rPr>
        <w:tab/>
        <w:t>de</w:t>
      </w:r>
      <w:r>
        <w:rPr>
          <w:spacing w:val="1"/>
          <w:sz w:val="18"/>
        </w:rPr>
        <w:t> </w:t>
      </w:r>
      <w:r>
        <w:rPr>
          <w:spacing w:val="-5"/>
          <w:sz w:val="18"/>
        </w:rPr>
        <w:t>42%</w:t>
      </w:r>
    </w:p>
    <w:p>
      <w:pPr>
        <w:pStyle w:val="ListParagraph"/>
        <w:numPr>
          <w:ilvl w:val="0"/>
          <w:numId w:val="14"/>
        </w:numPr>
        <w:tabs>
          <w:tab w:pos="1810" w:val="left" w:leader="none"/>
          <w:tab w:pos="4396" w:val="left" w:leader="none"/>
        </w:tabs>
        <w:spacing w:line="240" w:lineRule="auto" w:before="41" w:after="0"/>
        <w:ind w:left="1810" w:right="0" w:hanging="251"/>
        <w:jc w:val="left"/>
        <w:rPr>
          <w:sz w:val="18"/>
        </w:rPr>
      </w:pPr>
      <w:r>
        <w:rPr>
          <w:sz w:val="18"/>
        </w:rPr>
        <w:t>plus</w:t>
      </w:r>
      <w:r>
        <w:rPr>
          <w:spacing w:val="-5"/>
          <w:sz w:val="18"/>
        </w:rPr>
        <w:t> </w:t>
      </w:r>
      <w:r>
        <w:rPr>
          <w:sz w:val="18"/>
        </w:rPr>
        <w:t>de 12 </w:t>
      </w:r>
      <w:r>
        <w:rPr>
          <w:spacing w:val="-5"/>
          <w:sz w:val="18"/>
        </w:rPr>
        <w:t>ans</w:t>
      </w:r>
      <w:r>
        <w:rPr>
          <w:sz w:val="18"/>
        </w:rPr>
        <w:tab/>
        <w:t>de</w:t>
      </w:r>
      <w:r>
        <w:rPr>
          <w:spacing w:val="1"/>
          <w:sz w:val="18"/>
        </w:rPr>
        <w:t> </w:t>
      </w:r>
      <w:r>
        <w:rPr>
          <w:spacing w:val="-5"/>
          <w:sz w:val="18"/>
        </w:rPr>
        <w:t>48%</w:t>
      </w:r>
    </w:p>
    <w:p>
      <w:pPr>
        <w:pStyle w:val="ListParagraph"/>
        <w:numPr>
          <w:ilvl w:val="0"/>
          <w:numId w:val="14"/>
        </w:numPr>
        <w:tabs>
          <w:tab w:pos="1810" w:val="left" w:leader="none"/>
          <w:tab w:pos="4396" w:val="left" w:leader="none"/>
        </w:tabs>
        <w:spacing w:line="240" w:lineRule="auto" w:before="40" w:after="0"/>
        <w:ind w:left="1810" w:right="0" w:hanging="251"/>
        <w:jc w:val="left"/>
        <w:rPr>
          <w:sz w:val="18"/>
        </w:rPr>
      </w:pPr>
      <w:r>
        <w:rPr>
          <w:sz w:val="18"/>
        </w:rPr>
        <w:t>plus</w:t>
      </w:r>
      <w:r>
        <w:rPr>
          <w:spacing w:val="-5"/>
          <w:sz w:val="18"/>
        </w:rPr>
        <w:t> </w:t>
      </w:r>
      <w:r>
        <w:rPr>
          <w:sz w:val="18"/>
        </w:rPr>
        <w:t>de 13 </w:t>
      </w:r>
      <w:r>
        <w:rPr>
          <w:spacing w:val="-5"/>
          <w:sz w:val="18"/>
        </w:rPr>
        <w:t>ans</w:t>
      </w:r>
      <w:r>
        <w:rPr>
          <w:sz w:val="18"/>
        </w:rPr>
        <w:tab/>
        <w:t>de</w:t>
      </w:r>
      <w:r>
        <w:rPr>
          <w:spacing w:val="1"/>
          <w:sz w:val="18"/>
        </w:rPr>
        <w:t> </w:t>
      </w:r>
      <w:r>
        <w:rPr>
          <w:spacing w:val="-5"/>
          <w:sz w:val="18"/>
        </w:rPr>
        <w:t>54%</w:t>
      </w:r>
    </w:p>
    <w:p>
      <w:pPr>
        <w:pStyle w:val="ListParagraph"/>
        <w:numPr>
          <w:ilvl w:val="0"/>
          <w:numId w:val="14"/>
        </w:numPr>
        <w:tabs>
          <w:tab w:pos="1810" w:val="left" w:leader="none"/>
          <w:tab w:pos="4396" w:val="left" w:leader="none"/>
        </w:tabs>
        <w:spacing w:line="240" w:lineRule="auto" w:before="38" w:after="0"/>
        <w:ind w:left="1810" w:right="0" w:hanging="251"/>
        <w:jc w:val="left"/>
        <w:rPr>
          <w:sz w:val="18"/>
        </w:rPr>
      </w:pPr>
      <w:r>
        <w:rPr>
          <w:sz w:val="18"/>
        </w:rPr>
        <w:t>plus</w:t>
      </w:r>
      <w:r>
        <w:rPr>
          <w:spacing w:val="-5"/>
          <w:sz w:val="18"/>
        </w:rPr>
        <w:t> </w:t>
      </w:r>
      <w:r>
        <w:rPr>
          <w:sz w:val="18"/>
        </w:rPr>
        <w:t>de 14 </w:t>
      </w:r>
      <w:r>
        <w:rPr>
          <w:spacing w:val="-5"/>
          <w:sz w:val="18"/>
        </w:rPr>
        <w:t>ans</w:t>
      </w:r>
      <w:r>
        <w:rPr>
          <w:sz w:val="18"/>
        </w:rPr>
        <w:tab/>
        <w:t>de</w:t>
      </w:r>
      <w:r>
        <w:rPr>
          <w:spacing w:val="1"/>
          <w:sz w:val="18"/>
        </w:rPr>
        <w:t> </w:t>
      </w:r>
      <w:r>
        <w:rPr>
          <w:spacing w:val="-5"/>
          <w:sz w:val="18"/>
        </w:rPr>
        <w:t>60%</w:t>
      </w:r>
    </w:p>
    <w:p>
      <w:pPr>
        <w:pStyle w:val="BodyText"/>
        <w:spacing w:before="152"/>
      </w:pPr>
    </w:p>
    <w:p>
      <w:pPr>
        <w:pStyle w:val="Heading7"/>
      </w:pPr>
      <w:r>
        <w:rPr>
          <w:color w:val="950000"/>
        </w:rPr>
        <w:t>Calcul</w:t>
      </w:r>
      <w:r>
        <w:rPr>
          <w:color w:val="950000"/>
          <w:spacing w:val="-6"/>
        </w:rPr>
        <w:t> </w:t>
      </w:r>
      <w:r>
        <w:rPr>
          <w:color w:val="950000"/>
        </w:rPr>
        <w:t>de</w:t>
      </w:r>
      <w:r>
        <w:rPr>
          <w:color w:val="950000"/>
          <w:spacing w:val="-2"/>
        </w:rPr>
        <w:t> </w:t>
      </w:r>
      <w:r>
        <w:rPr>
          <w:color w:val="950000"/>
        </w:rPr>
        <w:t>la</w:t>
      </w:r>
      <w:r>
        <w:rPr>
          <w:color w:val="950000"/>
          <w:spacing w:val="-2"/>
        </w:rPr>
        <w:t> </w:t>
      </w:r>
      <w:r>
        <w:rPr>
          <w:color w:val="950000"/>
        </w:rPr>
        <w:t>durée</w:t>
      </w:r>
      <w:r>
        <w:rPr>
          <w:color w:val="950000"/>
          <w:spacing w:val="-4"/>
        </w:rPr>
        <w:t> </w:t>
      </w:r>
      <w:r>
        <w:rPr>
          <w:color w:val="950000"/>
        </w:rPr>
        <w:t>de</w:t>
      </w:r>
      <w:r>
        <w:rPr>
          <w:color w:val="950000"/>
          <w:spacing w:val="-5"/>
        </w:rPr>
        <w:t> </w:t>
      </w:r>
      <w:r>
        <w:rPr>
          <w:color w:val="950000"/>
        </w:rPr>
        <w:t>la</w:t>
      </w:r>
      <w:r>
        <w:rPr>
          <w:color w:val="950000"/>
          <w:spacing w:val="-4"/>
        </w:rPr>
        <w:t> </w:t>
      </w:r>
      <w:r>
        <w:rPr>
          <w:color w:val="950000"/>
          <w:spacing w:val="-2"/>
        </w:rPr>
        <w:t>propriété</w:t>
      </w:r>
    </w:p>
    <w:p>
      <w:pPr>
        <w:pStyle w:val="Heading8"/>
        <w:spacing w:before="96"/>
      </w:pPr>
      <w:r>
        <w:rPr/>
        <w:t>Art.</w:t>
      </w:r>
      <w:r>
        <w:rPr>
          <w:spacing w:val="-1"/>
        </w:rPr>
        <w:t> </w:t>
      </w:r>
      <w:r>
        <w:rPr/>
        <w:t>74 </w:t>
      </w:r>
      <w:r>
        <w:rPr>
          <w:spacing w:val="-2"/>
        </w:rPr>
        <w:t>LCdir</w:t>
      </w:r>
    </w:p>
    <w:p>
      <w:pPr>
        <w:pStyle w:val="BodyText"/>
        <w:spacing w:before="56"/>
        <w:ind w:left="1134"/>
      </w:pPr>
      <w:r>
        <w:rPr>
          <w:position w:val="6"/>
          <w:sz w:val="12"/>
        </w:rPr>
        <w:t>1</w:t>
      </w:r>
      <w:r>
        <w:rPr>
          <w:spacing w:val="14"/>
          <w:position w:val="6"/>
          <w:sz w:val="12"/>
        </w:rPr>
        <w:t> </w:t>
      </w:r>
      <w:r>
        <w:rPr/>
        <w:t>Pour</w:t>
      </w:r>
      <w:r>
        <w:rPr>
          <w:spacing w:val="-2"/>
        </w:rPr>
        <w:t> </w:t>
      </w:r>
      <w:r>
        <w:rPr/>
        <w:t>le</w:t>
      </w:r>
      <w:r>
        <w:rPr>
          <w:spacing w:val="-1"/>
        </w:rPr>
        <w:t> </w:t>
      </w:r>
      <w:r>
        <w:rPr/>
        <w:t>calcul</w:t>
      </w:r>
      <w:r>
        <w:rPr>
          <w:spacing w:val="-4"/>
        </w:rPr>
        <w:t> </w:t>
      </w:r>
      <w:r>
        <w:rPr/>
        <w:t>de</w:t>
      </w:r>
      <w:r>
        <w:rPr>
          <w:spacing w:val="-1"/>
        </w:rPr>
        <w:t> </w:t>
      </w:r>
      <w:r>
        <w:rPr/>
        <w:t>la</w:t>
      </w:r>
      <w:r>
        <w:rPr>
          <w:spacing w:val="-1"/>
        </w:rPr>
        <w:t> </w:t>
      </w:r>
      <w:r>
        <w:rPr/>
        <w:t>durée</w:t>
      </w:r>
      <w:r>
        <w:rPr>
          <w:spacing w:val="-1"/>
        </w:rPr>
        <w:t> </w:t>
      </w:r>
      <w:r>
        <w:rPr/>
        <w:t>de</w:t>
      </w:r>
      <w:r>
        <w:rPr>
          <w:spacing w:val="-4"/>
        </w:rPr>
        <w:t> </w:t>
      </w:r>
      <w:r>
        <w:rPr/>
        <w:t>propriété,</w:t>
      </w:r>
      <w:r>
        <w:rPr>
          <w:spacing w:val="-4"/>
        </w:rPr>
        <w:t> </w:t>
      </w:r>
      <w:r>
        <w:rPr/>
        <w:t>est</w:t>
      </w:r>
      <w:r>
        <w:rPr>
          <w:spacing w:val="-4"/>
        </w:rPr>
        <w:t> </w:t>
      </w:r>
      <w:r>
        <w:rPr/>
        <w:t>déterminante</w:t>
      </w:r>
      <w:r>
        <w:rPr>
          <w:spacing w:val="-1"/>
        </w:rPr>
        <w:t> </w:t>
      </w:r>
      <w:r>
        <w:rPr>
          <w:spacing w:val="-10"/>
        </w:rPr>
        <w:t>:</w:t>
      </w:r>
    </w:p>
    <w:p>
      <w:pPr>
        <w:pStyle w:val="ListParagraph"/>
        <w:numPr>
          <w:ilvl w:val="0"/>
          <w:numId w:val="15"/>
        </w:numPr>
        <w:tabs>
          <w:tab w:pos="1559" w:val="left" w:leader="none"/>
        </w:tabs>
        <w:spacing w:line="240" w:lineRule="auto" w:before="38" w:after="0"/>
        <w:ind w:left="1559" w:right="706" w:hanging="425"/>
        <w:jc w:val="left"/>
        <w:rPr>
          <w:sz w:val="18"/>
        </w:rPr>
      </w:pPr>
      <w:r>
        <w:rPr>
          <w:sz w:val="18"/>
        </w:rPr>
        <w:t>en</w:t>
      </w:r>
      <w:r>
        <w:rPr>
          <w:spacing w:val="-13"/>
          <w:sz w:val="18"/>
        </w:rPr>
        <w:t> </w:t>
      </w:r>
      <w:r>
        <w:rPr>
          <w:sz w:val="18"/>
        </w:rPr>
        <w:t>général,</w:t>
      </w:r>
      <w:r>
        <w:rPr>
          <w:spacing w:val="-12"/>
          <w:sz w:val="18"/>
        </w:rPr>
        <w:t> </w:t>
      </w:r>
      <w:r>
        <w:rPr>
          <w:sz w:val="18"/>
        </w:rPr>
        <w:t>la</w:t>
      </w:r>
      <w:r>
        <w:rPr>
          <w:spacing w:val="-13"/>
          <w:sz w:val="18"/>
        </w:rPr>
        <w:t> </w:t>
      </w:r>
      <w:r>
        <w:rPr>
          <w:sz w:val="18"/>
        </w:rPr>
        <w:t>date</w:t>
      </w:r>
      <w:r>
        <w:rPr>
          <w:spacing w:val="-12"/>
          <w:sz w:val="18"/>
        </w:rPr>
        <w:t> </w:t>
      </w:r>
      <w:r>
        <w:rPr>
          <w:sz w:val="18"/>
        </w:rPr>
        <w:t>de</w:t>
      </w:r>
      <w:r>
        <w:rPr>
          <w:spacing w:val="-13"/>
          <w:sz w:val="18"/>
        </w:rPr>
        <w:t> </w:t>
      </w:r>
      <w:r>
        <w:rPr>
          <w:sz w:val="18"/>
        </w:rPr>
        <w:t>l'accomplissement</w:t>
      </w:r>
      <w:r>
        <w:rPr>
          <w:spacing w:val="-13"/>
          <w:sz w:val="18"/>
        </w:rPr>
        <w:t> </w:t>
      </w:r>
      <w:r>
        <w:rPr>
          <w:sz w:val="18"/>
        </w:rPr>
        <w:t>de</w:t>
      </w:r>
      <w:r>
        <w:rPr>
          <w:spacing w:val="-14"/>
          <w:sz w:val="18"/>
        </w:rPr>
        <w:t> </w:t>
      </w:r>
      <w:r>
        <w:rPr>
          <w:sz w:val="18"/>
        </w:rPr>
        <w:t>l'acte</w:t>
      </w:r>
      <w:r>
        <w:rPr>
          <w:spacing w:val="-12"/>
          <w:sz w:val="18"/>
        </w:rPr>
        <w:t> </w:t>
      </w:r>
      <w:r>
        <w:rPr>
          <w:sz w:val="18"/>
        </w:rPr>
        <w:t>juridique</w:t>
      </w:r>
      <w:r>
        <w:rPr>
          <w:spacing w:val="-13"/>
          <w:sz w:val="18"/>
        </w:rPr>
        <w:t> </w:t>
      </w:r>
      <w:r>
        <w:rPr>
          <w:sz w:val="18"/>
        </w:rPr>
        <w:t>en</w:t>
      </w:r>
      <w:r>
        <w:rPr>
          <w:spacing w:val="-14"/>
          <w:sz w:val="18"/>
        </w:rPr>
        <w:t> </w:t>
      </w:r>
      <w:r>
        <w:rPr>
          <w:sz w:val="18"/>
        </w:rPr>
        <w:t>vertu</w:t>
      </w:r>
      <w:r>
        <w:rPr>
          <w:spacing w:val="-12"/>
          <w:sz w:val="18"/>
        </w:rPr>
        <w:t> </w:t>
      </w:r>
      <w:r>
        <w:rPr>
          <w:sz w:val="18"/>
        </w:rPr>
        <w:t>duquel</w:t>
      </w:r>
      <w:r>
        <w:rPr>
          <w:spacing w:val="-13"/>
          <w:sz w:val="18"/>
        </w:rPr>
        <w:t> </w:t>
      </w:r>
      <w:r>
        <w:rPr>
          <w:sz w:val="18"/>
        </w:rPr>
        <w:t>l'immeuble</w:t>
      </w:r>
      <w:r>
        <w:rPr>
          <w:spacing w:val="-12"/>
          <w:sz w:val="18"/>
        </w:rPr>
        <w:t> </w:t>
      </w:r>
      <w:r>
        <w:rPr>
          <w:sz w:val="18"/>
        </w:rPr>
        <w:t>est</w:t>
      </w:r>
      <w:r>
        <w:rPr>
          <w:spacing w:val="-13"/>
          <w:sz w:val="18"/>
        </w:rPr>
        <w:t> </w:t>
      </w:r>
      <w:r>
        <w:rPr>
          <w:sz w:val="18"/>
        </w:rPr>
        <w:t>transféré lors de son acquisition ou de son aliénation;</w:t>
      </w:r>
    </w:p>
    <w:p>
      <w:pPr>
        <w:pStyle w:val="ListParagraph"/>
        <w:numPr>
          <w:ilvl w:val="0"/>
          <w:numId w:val="15"/>
        </w:numPr>
        <w:tabs>
          <w:tab w:pos="1559" w:val="left" w:leader="none"/>
        </w:tabs>
        <w:spacing w:line="240" w:lineRule="auto" w:before="42" w:after="0"/>
        <w:ind w:left="1559" w:right="703" w:hanging="425"/>
        <w:jc w:val="left"/>
        <w:rPr>
          <w:sz w:val="18"/>
        </w:rPr>
      </w:pPr>
      <w:r>
        <w:rPr>
          <w:sz w:val="18"/>
        </w:rPr>
        <w:t>si</w:t>
      </w:r>
      <w:r>
        <w:rPr>
          <w:spacing w:val="-1"/>
          <w:sz w:val="18"/>
        </w:rPr>
        <w:t> </w:t>
      </w:r>
      <w:r>
        <w:rPr>
          <w:sz w:val="18"/>
        </w:rPr>
        <w:t>l'immeuble</w:t>
      </w:r>
      <w:r>
        <w:rPr>
          <w:spacing w:val="-1"/>
          <w:sz w:val="18"/>
        </w:rPr>
        <w:t> </w:t>
      </w:r>
      <w:r>
        <w:rPr>
          <w:sz w:val="18"/>
        </w:rPr>
        <w:t>a</w:t>
      </w:r>
      <w:r>
        <w:rPr>
          <w:spacing w:val="-1"/>
          <w:sz w:val="18"/>
        </w:rPr>
        <w:t> </w:t>
      </w:r>
      <w:r>
        <w:rPr>
          <w:sz w:val="18"/>
        </w:rPr>
        <w:t>été</w:t>
      </w:r>
      <w:r>
        <w:rPr>
          <w:spacing w:val="-1"/>
          <w:sz w:val="18"/>
        </w:rPr>
        <w:t> </w:t>
      </w:r>
      <w:r>
        <w:rPr>
          <w:sz w:val="18"/>
        </w:rPr>
        <w:t>acquis</w:t>
      </w:r>
      <w:r>
        <w:rPr>
          <w:spacing w:val="-1"/>
          <w:sz w:val="18"/>
        </w:rPr>
        <w:t> </w:t>
      </w:r>
      <w:r>
        <w:rPr>
          <w:sz w:val="18"/>
        </w:rPr>
        <w:t>ou</w:t>
      </w:r>
      <w:r>
        <w:rPr>
          <w:spacing w:val="-4"/>
          <w:sz w:val="18"/>
        </w:rPr>
        <w:t> </w:t>
      </w:r>
      <w:r>
        <w:rPr>
          <w:sz w:val="18"/>
        </w:rPr>
        <w:t>aliéné</w:t>
      </w:r>
      <w:r>
        <w:rPr>
          <w:spacing w:val="-1"/>
          <w:sz w:val="18"/>
        </w:rPr>
        <w:t> </w:t>
      </w:r>
      <w:r>
        <w:rPr>
          <w:sz w:val="18"/>
        </w:rPr>
        <w:t>en</w:t>
      </w:r>
      <w:r>
        <w:rPr>
          <w:spacing w:val="-1"/>
          <w:sz w:val="18"/>
        </w:rPr>
        <w:t> </w:t>
      </w:r>
      <w:r>
        <w:rPr>
          <w:sz w:val="18"/>
        </w:rPr>
        <w:t>exécution</w:t>
      </w:r>
      <w:r>
        <w:rPr>
          <w:spacing w:val="-1"/>
          <w:sz w:val="18"/>
        </w:rPr>
        <w:t> </w:t>
      </w:r>
      <w:r>
        <w:rPr>
          <w:sz w:val="18"/>
        </w:rPr>
        <w:t>d'une</w:t>
      </w:r>
      <w:r>
        <w:rPr>
          <w:spacing w:val="-1"/>
          <w:sz w:val="18"/>
        </w:rPr>
        <w:t> </w:t>
      </w:r>
      <w:r>
        <w:rPr>
          <w:sz w:val="18"/>
        </w:rPr>
        <w:t>promesse</w:t>
      </w:r>
      <w:r>
        <w:rPr>
          <w:spacing w:val="-1"/>
          <w:sz w:val="18"/>
        </w:rPr>
        <w:t> </w:t>
      </w:r>
      <w:r>
        <w:rPr>
          <w:sz w:val="18"/>
        </w:rPr>
        <w:t>de</w:t>
      </w:r>
      <w:r>
        <w:rPr>
          <w:spacing w:val="-1"/>
          <w:sz w:val="18"/>
        </w:rPr>
        <w:t> </w:t>
      </w:r>
      <w:r>
        <w:rPr>
          <w:sz w:val="18"/>
        </w:rPr>
        <w:t>vente,</w:t>
      </w:r>
      <w:r>
        <w:rPr>
          <w:spacing w:val="-2"/>
          <w:sz w:val="18"/>
        </w:rPr>
        <w:t> </w:t>
      </w:r>
      <w:r>
        <w:rPr>
          <w:sz w:val="18"/>
        </w:rPr>
        <w:t>d'un</w:t>
      </w:r>
      <w:r>
        <w:rPr>
          <w:spacing w:val="-1"/>
          <w:sz w:val="18"/>
        </w:rPr>
        <w:t> </w:t>
      </w:r>
      <w:r>
        <w:rPr>
          <w:sz w:val="18"/>
        </w:rPr>
        <w:t>pacte d'emption, d'un pacte de préemption fixant le prix de l'aliénation ou d'un acte similaire, la date de cet acte;</w:t>
      </w:r>
    </w:p>
    <w:p>
      <w:pPr>
        <w:pStyle w:val="ListParagraph"/>
        <w:numPr>
          <w:ilvl w:val="0"/>
          <w:numId w:val="15"/>
        </w:numPr>
        <w:tabs>
          <w:tab w:pos="1559" w:val="left" w:leader="none"/>
        </w:tabs>
        <w:spacing w:line="240" w:lineRule="auto" w:before="40" w:after="0"/>
        <w:ind w:left="1559" w:right="703" w:hanging="425"/>
        <w:jc w:val="left"/>
        <w:rPr>
          <w:sz w:val="18"/>
        </w:rPr>
      </w:pPr>
      <w:r>
        <w:rPr>
          <w:sz w:val="18"/>
        </w:rPr>
        <w:t>si,</w:t>
      </w:r>
      <w:r>
        <w:rPr>
          <w:spacing w:val="-7"/>
          <w:sz w:val="18"/>
        </w:rPr>
        <w:t> </w:t>
      </w:r>
      <w:r>
        <w:rPr>
          <w:sz w:val="18"/>
        </w:rPr>
        <w:t>lors</w:t>
      </w:r>
      <w:r>
        <w:rPr>
          <w:spacing w:val="-6"/>
          <w:sz w:val="18"/>
        </w:rPr>
        <w:t> </w:t>
      </w:r>
      <w:r>
        <w:rPr>
          <w:sz w:val="18"/>
        </w:rPr>
        <w:t>de</w:t>
      </w:r>
      <w:r>
        <w:rPr>
          <w:spacing w:val="-6"/>
          <w:sz w:val="18"/>
        </w:rPr>
        <w:t> </w:t>
      </w:r>
      <w:r>
        <w:rPr>
          <w:sz w:val="18"/>
        </w:rPr>
        <w:t>l'acquisition</w:t>
      </w:r>
      <w:r>
        <w:rPr>
          <w:spacing w:val="-6"/>
          <w:sz w:val="18"/>
        </w:rPr>
        <w:t> </w:t>
      </w:r>
      <w:r>
        <w:rPr>
          <w:sz w:val="18"/>
        </w:rPr>
        <w:t>de</w:t>
      </w:r>
      <w:r>
        <w:rPr>
          <w:spacing w:val="-6"/>
          <w:sz w:val="18"/>
        </w:rPr>
        <w:t> </w:t>
      </w:r>
      <w:r>
        <w:rPr>
          <w:sz w:val="18"/>
        </w:rPr>
        <w:t>l'immeuble,</w:t>
      </w:r>
      <w:r>
        <w:rPr>
          <w:spacing w:val="-4"/>
          <w:sz w:val="18"/>
        </w:rPr>
        <w:t> </w:t>
      </w:r>
      <w:r>
        <w:rPr>
          <w:sz w:val="18"/>
        </w:rPr>
        <w:t>l'imposition</w:t>
      </w:r>
      <w:r>
        <w:rPr>
          <w:spacing w:val="-6"/>
          <w:sz w:val="18"/>
        </w:rPr>
        <w:t> </w:t>
      </w:r>
      <w:r>
        <w:rPr>
          <w:sz w:val="18"/>
        </w:rPr>
        <w:t>a</w:t>
      </w:r>
      <w:r>
        <w:rPr>
          <w:spacing w:val="-6"/>
          <w:sz w:val="18"/>
        </w:rPr>
        <w:t> </w:t>
      </w:r>
      <w:r>
        <w:rPr>
          <w:sz w:val="18"/>
        </w:rPr>
        <w:t>été</w:t>
      </w:r>
      <w:r>
        <w:rPr>
          <w:spacing w:val="-6"/>
          <w:sz w:val="18"/>
        </w:rPr>
        <w:t> </w:t>
      </w:r>
      <w:r>
        <w:rPr>
          <w:sz w:val="18"/>
        </w:rPr>
        <w:t>différée,</w:t>
      </w:r>
      <w:r>
        <w:rPr>
          <w:spacing w:val="-4"/>
          <w:sz w:val="18"/>
        </w:rPr>
        <w:t> </w:t>
      </w:r>
      <w:r>
        <w:rPr>
          <w:sz w:val="18"/>
        </w:rPr>
        <w:t>la</w:t>
      </w:r>
      <w:r>
        <w:rPr>
          <w:spacing w:val="-6"/>
          <w:sz w:val="18"/>
        </w:rPr>
        <w:t> </w:t>
      </w:r>
      <w:r>
        <w:rPr>
          <w:sz w:val="18"/>
        </w:rPr>
        <w:t>date</w:t>
      </w:r>
      <w:r>
        <w:rPr>
          <w:spacing w:val="-4"/>
          <w:sz w:val="18"/>
        </w:rPr>
        <w:t> </w:t>
      </w:r>
      <w:r>
        <w:rPr>
          <w:sz w:val="18"/>
        </w:rPr>
        <w:t>de</w:t>
      </w:r>
      <w:r>
        <w:rPr>
          <w:spacing w:val="-4"/>
          <w:sz w:val="18"/>
        </w:rPr>
        <w:t> </w:t>
      </w:r>
      <w:r>
        <w:rPr>
          <w:sz w:val="18"/>
        </w:rPr>
        <w:t>la</w:t>
      </w:r>
      <w:r>
        <w:rPr>
          <w:spacing w:val="-4"/>
          <w:sz w:val="18"/>
        </w:rPr>
        <w:t> </w:t>
      </w:r>
      <w:r>
        <w:rPr>
          <w:sz w:val="18"/>
        </w:rPr>
        <w:t>précédente</w:t>
      </w:r>
      <w:r>
        <w:rPr>
          <w:spacing w:val="-4"/>
          <w:sz w:val="18"/>
        </w:rPr>
        <w:t> </w:t>
      </w:r>
      <w:r>
        <w:rPr>
          <w:sz w:val="18"/>
        </w:rPr>
        <w:t>aliénation </w:t>
      </w:r>
      <w:r>
        <w:rPr>
          <w:spacing w:val="-2"/>
          <w:sz w:val="18"/>
        </w:rPr>
        <w:t>imposable;</w:t>
      </w:r>
    </w:p>
    <w:p>
      <w:pPr>
        <w:pStyle w:val="ListParagraph"/>
        <w:numPr>
          <w:ilvl w:val="0"/>
          <w:numId w:val="15"/>
        </w:numPr>
        <w:tabs>
          <w:tab w:pos="1559" w:val="left" w:leader="none"/>
        </w:tabs>
        <w:spacing w:line="240" w:lineRule="auto" w:before="39" w:after="0"/>
        <w:ind w:left="1559" w:right="703" w:hanging="425"/>
        <w:jc w:val="left"/>
        <w:rPr>
          <w:sz w:val="18"/>
        </w:rPr>
      </w:pPr>
      <w:r>
        <w:rPr>
          <w:sz w:val="18"/>
        </w:rPr>
        <w:t>si</w:t>
      </w:r>
      <w:r>
        <w:rPr>
          <w:spacing w:val="-7"/>
          <w:sz w:val="18"/>
        </w:rPr>
        <w:t> </w:t>
      </w:r>
      <w:r>
        <w:rPr>
          <w:sz w:val="18"/>
        </w:rPr>
        <w:t>l'immeuble</w:t>
      </w:r>
      <w:r>
        <w:rPr>
          <w:spacing w:val="-7"/>
          <w:sz w:val="18"/>
        </w:rPr>
        <w:t> </w:t>
      </w:r>
      <w:r>
        <w:rPr>
          <w:sz w:val="18"/>
        </w:rPr>
        <w:t>aliéné</w:t>
      </w:r>
      <w:r>
        <w:rPr>
          <w:spacing w:val="-7"/>
          <w:sz w:val="18"/>
        </w:rPr>
        <w:t> </w:t>
      </w:r>
      <w:r>
        <w:rPr>
          <w:sz w:val="18"/>
        </w:rPr>
        <w:t>provient</w:t>
      </w:r>
      <w:r>
        <w:rPr>
          <w:spacing w:val="-8"/>
          <w:sz w:val="18"/>
        </w:rPr>
        <w:t> </w:t>
      </w:r>
      <w:r>
        <w:rPr>
          <w:sz w:val="18"/>
        </w:rPr>
        <w:t>de</w:t>
      </w:r>
      <w:r>
        <w:rPr>
          <w:spacing w:val="-7"/>
          <w:sz w:val="18"/>
        </w:rPr>
        <w:t> </w:t>
      </w:r>
      <w:r>
        <w:rPr>
          <w:sz w:val="18"/>
        </w:rPr>
        <w:t>plusieurs</w:t>
      </w:r>
      <w:r>
        <w:rPr>
          <w:spacing w:val="-7"/>
          <w:sz w:val="18"/>
        </w:rPr>
        <w:t> </w:t>
      </w:r>
      <w:r>
        <w:rPr>
          <w:sz w:val="18"/>
        </w:rPr>
        <w:t>acquisitions,</w:t>
      </w:r>
      <w:r>
        <w:rPr>
          <w:spacing w:val="-10"/>
          <w:sz w:val="18"/>
        </w:rPr>
        <w:t> </w:t>
      </w:r>
      <w:r>
        <w:rPr>
          <w:sz w:val="18"/>
        </w:rPr>
        <w:t>la</w:t>
      </w:r>
      <w:r>
        <w:rPr>
          <w:spacing w:val="-7"/>
          <w:sz w:val="18"/>
        </w:rPr>
        <w:t> </w:t>
      </w:r>
      <w:r>
        <w:rPr>
          <w:sz w:val="18"/>
        </w:rPr>
        <w:t>date</w:t>
      </w:r>
      <w:r>
        <w:rPr>
          <w:spacing w:val="-7"/>
          <w:sz w:val="18"/>
        </w:rPr>
        <w:t> </w:t>
      </w:r>
      <w:r>
        <w:rPr>
          <w:sz w:val="18"/>
        </w:rPr>
        <w:t>de</w:t>
      </w:r>
      <w:r>
        <w:rPr>
          <w:spacing w:val="-7"/>
          <w:sz w:val="18"/>
        </w:rPr>
        <w:t> </w:t>
      </w:r>
      <w:r>
        <w:rPr>
          <w:sz w:val="18"/>
        </w:rPr>
        <w:t>chaque</w:t>
      </w:r>
      <w:r>
        <w:rPr>
          <w:spacing w:val="-7"/>
          <w:sz w:val="18"/>
        </w:rPr>
        <w:t> </w:t>
      </w:r>
      <w:r>
        <w:rPr>
          <w:sz w:val="18"/>
        </w:rPr>
        <w:t>acte</w:t>
      </w:r>
      <w:r>
        <w:rPr>
          <w:spacing w:val="-7"/>
          <w:sz w:val="18"/>
        </w:rPr>
        <w:t> </w:t>
      </w:r>
      <w:r>
        <w:rPr>
          <w:sz w:val="18"/>
        </w:rPr>
        <w:t>d'acquisition</w:t>
      </w:r>
      <w:r>
        <w:rPr>
          <w:spacing w:val="-10"/>
          <w:sz w:val="18"/>
        </w:rPr>
        <w:t> </w:t>
      </w:r>
      <w:r>
        <w:rPr>
          <w:sz w:val="18"/>
        </w:rPr>
        <w:t>propor-tionnellement à la part respective de ceux-ci dans la formation de l'immeuble aliéné.</w:t>
      </w:r>
    </w:p>
    <w:p>
      <w:pPr>
        <w:pStyle w:val="BodyText"/>
        <w:spacing w:before="36"/>
        <w:ind w:left="1134" w:right="703"/>
        <w:jc w:val="both"/>
      </w:pPr>
      <w:r>
        <w:rPr>
          <w:position w:val="6"/>
          <w:sz w:val="12"/>
        </w:rPr>
        <w:t>2 </w:t>
      </w:r>
      <w:r>
        <w:rPr/>
        <w:t>Si l'immeuble a été acquis à la suite d'un ou de plusieurs échanges successifs contre des immeubles sis</w:t>
      </w:r>
      <w:r>
        <w:rPr>
          <w:spacing w:val="-8"/>
        </w:rPr>
        <w:t> </w:t>
      </w:r>
      <w:r>
        <w:rPr/>
        <w:t>dans</w:t>
      </w:r>
      <w:r>
        <w:rPr>
          <w:spacing w:val="-6"/>
        </w:rPr>
        <w:t> </w:t>
      </w:r>
      <w:r>
        <w:rPr/>
        <w:t>le</w:t>
      </w:r>
      <w:r>
        <w:rPr>
          <w:spacing w:val="-6"/>
        </w:rPr>
        <w:t> </w:t>
      </w:r>
      <w:r>
        <w:rPr/>
        <w:t>canton,</w:t>
      </w:r>
      <w:r>
        <w:rPr>
          <w:spacing w:val="-7"/>
        </w:rPr>
        <w:t> </w:t>
      </w:r>
      <w:r>
        <w:rPr/>
        <w:t>ces</w:t>
      </w:r>
      <w:r>
        <w:rPr>
          <w:spacing w:val="-6"/>
        </w:rPr>
        <w:t> </w:t>
      </w:r>
      <w:r>
        <w:rPr/>
        <w:t>actes</w:t>
      </w:r>
      <w:r>
        <w:rPr>
          <w:spacing w:val="-6"/>
        </w:rPr>
        <w:t> </w:t>
      </w:r>
      <w:r>
        <w:rPr/>
        <w:t>et,</w:t>
      </w:r>
      <w:r>
        <w:rPr>
          <w:spacing w:val="-7"/>
        </w:rPr>
        <w:t> </w:t>
      </w:r>
      <w:r>
        <w:rPr/>
        <w:t>le</w:t>
      </w:r>
      <w:r>
        <w:rPr>
          <w:spacing w:val="-9"/>
        </w:rPr>
        <w:t> </w:t>
      </w:r>
      <w:r>
        <w:rPr/>
        <w:t>cas</w:t>
      </w:r>
      <w:r>
        <w:rPr>
          <w:spacing w:val="-8"/>
        </w:rPr>
        <w:t> </w:t>
      </w:r>
      <w:r>
        <w:rPr/>
        <w:t>échéant,</w:t>
      </w:r>
      <w:r>
        <w:rPr>
          <w:spacing w:val="-7"/>
        </w:rPr>
        <w:t> </w:t>
      </w:r>
      <w:r>
        <w:rPr/>
        <w:t>les</w:t>
      </w:r>
      <w:r>
        <w:rPr>
          <w:spacing w:val="-6"/>
        </w:rPr>
        <w:t> </w:t>
      </w:r>
      <w:r>
        <w:rPr/>
        <w:t>actes</w:t>
      </w:r>
      <w:r>
        <w:rPr>
          <w:spacing w:val="-6"/>
        </w:rPr>
        <w:t> </w:t>
      </w:r>
      <w:r>
        <w:rPr/>
        <w:t>préliminaires</w:t>
      </w:r>
      <w:r>
        <w:rPr>
          <w:spacing w:val="-6"/>
        </w:rPr>
        <w:t> </w:t>
      </w:r>
      <w:r>
        <w:rPr/>
        <w:t>en</w:t>
      </w:r>
      <w:r>
        <w:rPr>
          <w:spacing w:val="-6"/>
        </w:rPr>
        <w:t> </w:t>
      </w:r>
      <w:r>
        <w:rPr/>
        <w:t>exécution</w:t>
      </w:r>
      <w:r>
        <w:rPr>
          <w:spacing w:val="-6"/>
        </w:rPr>
        <w:t> </w:t>
      </w:r>
      <w:r>
        <w:rPr/>
        <w:t>desquels</w:t>
      </w:r>
      <w:r>
        <w:rPr>
          <w:spacing w:val="-6"/>
        </w:rPr>
        <w:t> </w:t>
      </w:r>
      <w:r>
        <w:rPr/>
        <w:t>ils</w:t>
      </w:r>
      <w:r>
        <w:rPr>
          <w:spacing w:val="-8"/>
        </w:rPr>
        <w:t> </w:t>
      </w:r>
      <w:r>
        <w:rPr/>
        <w:t>ont</w:t>
      </w:r>
      <w:r>
        <w:rPr>
          <w:spacing w:val="-7"/>
        </w:rPr>
        <w:t> </w:t>
      </w:r>
      <w:r>
        <w:rPr/>
        <w:t>été conclus</w:t>
      </w:r>
      <w:r>
        <w:rPr>
          <w:spacing w:val="-9"/>
        </w:rPr>
        <w:t> </w:t>
      </w:r>
      <w:r>
        <w:rPr/>
        <w:t>sont</w:t>
      </w:r>
      <w:r>
        <w:rPr>
          <w:spacing w:val="-10"/>
        </w:rPr>
        <w:t> </w:t>
      </w:r>
      <w:r>
        <w:rPr/>
        <w:t>pris</w:t>
      </w:r>
      <w:r>
        <w:rPr>
          <w:spacing w:val="-9"/>
        </w:rPr>
        <w:t> </w:t>
      </w:r>
      <w:r>
        <w:rPr/>
        <w:t>en</w:t>
      </w:r>
      <w:r>
        <w:rPr>
          <w:spacing w:val="-10"/>
        </w:rPr>
        <w:t> </w:t>
      </w:r>
      <w:r>
        <w:rPr/>
        <w:t>considération</w:t>
      </w:r>
      <w:r>
        <w:rPr>
          <w:spacing w:val="-10"/>
        </w:rPr>
        <w:t> </w:t>
      </w:r>
      <w:r>
        <w:rPr/>
        <w:t>pour</w:t>
      </w:r>
      <w:r>
        <w:rPr>
          <w:spacing w:val="-11"/>
        </w:rPr>
        <w:t> </w:t>
      </w:r>
      <w:r>
        <w:rPr/>
        <w:t>fixer</w:t>
      </w:r>
      <w:r>
        <w:rPr>
          <w:spacing w:val="-11"/>
        </w:rPr>
        <w:t> </w:t>
      </w:r>
      <w:r>
        <w:rPr/>
        <w:t>la</w:t>
      </w:r>
      <w:r>
        <w:rPr>
          <w:spacing w:val="-10"/>
        </w:rPr>
        <w:t> </w:t>
      </w:r>
      <w:r>
        <w:rPr/>
        <w:t>durée</w:t>
      </w:r>
      <w:r>
        <w:rPr>
          <w:spacing w:val="-10"/>
        </w:rPr>
        <w:t> </w:t>
      </w:r>
      <w:r>
        <w:rPr/>
        <w:t>de</w:t>
      </w:r>
      <w:r>
        <w:rPr>
          <w:spacing w:val="-12"/>
        </w:rPr>
        <w:t> </w:t>
      </w:r>
      <w:r>
        <w:rPr/>
        <w:t>la</w:t>
      </w:r>
      <w:r>
        <w:rPr>
          <w:spacing w:val="-10"/>
        </w:rPr>
        <w:t> </w:t>
      </w:r>
      <w:r>
        <w:rPr/>
        <w:t>propriété</w:t>
      </w:r>
      <w:r>
        <w:rPr>
          <w:spacing w:val="-12"/>
        </w:rPr>
        <w:t> </w:t>
      </w:r>
      <w:r>
        <w:rPr/>
        <w:t>si</w:t>
      </w:r>
      <w:r>
        <w:rPr>
          <w:spacing w:val="-10"/>
        </w:rPr>
        <w:t> </w:t>
      </w:r>
      <w:r>
        <w:rPr/>
        <w:t>et</w:t>
      </w:r>
      <w:r>
        <w:rPr>
          <w:spacing w:val="-10"/>
        </w:rPr>
        <w:t> </w:t>
      </w:r>
      <w:r>
        <w:rPr/>
        <w:t>dans</w:t>
      </w:r>
      <w:r>
        <w:rPr>
          <w:spacing w:val="-12"/>
        </w:rPr>
        <w:t> </w:t>
      </w:r>
      <w:r>
        <w:rPr/>
        <w:t>la</w:t>
      </w:r>
      <w:r>
        <w:rPr>
          <w:spacing w:val="-10"/>
        </w:rPr>
        <w:t> </w:t>
      </w:r>
      <w:r>
        <w:rPr/>
        <w:t>mesure</w:t>
      </w:r>
      <w:r>
        <w:rPr>
          <w:spacing w:val="-10"/>
        </w:rPr>
        <w:t> </w:t>
      </w:r>
      <w:r>
        <w:rPr/>
        <w:t>où</w:t>
      </w:r>
      <w:r>
        <w:rPr>
          <w:spacing w:val="-10"/>
        </w:rPr>
        <w:t> </w:t>
      </w:r>
      <w:r>
        <w:rPr/>
        <w:t>ils</w:t>
      </w:r>
      <w:r>
        <w:rPr>
          <w:spacing w:val="-9"/>
        </w:rPr>
        <w:t> </w:t>
      </w:r>
      <w:r>
        <w:rPr/>
        <w:t>ont</w:t>
      </w:r>
      <w:r>
        <w:rPr>
          <w:spacing w:val="-10"/>
        </w:rPr>
        <w:t> </w:t>
      </w:r>
      <w:r>
        <w:rPr/>
        <w:t>donné lieu au versement d'une soulte.</w:t>
      </w:r>
    </w:p>
    <w:p>
      <w:pPr>
        <w:pStyle w:val="BodyText"/>
        <w:spacing w:before="37"/>
        <w:ind w:left="1134" w:right="703"/>
        <w:jc w:val="both"/>
      </w:pPr>
      <w:r>
        <w:rPr>
          <w:position w:val="6"/>
          <w:sz w:val="12"/>
        </w:rPr>
        <w:t>3</w:t>
      </w:r>
      <w:r>
        <w:rPr>
          <w:spacing w:val="13"/>
          <w:position w:val="6"/>
          <w:sz w:val="12"/>
        </w:rPr>
        <w:t> </w:t>
      </w:r>
      <w:r>
        <w:rPr/>
        <w:t>La</w:t>
      </w:r>
      <w:r>
        <w:rPr>
          <w:spacing w:val="-9"/>
        </w:rPr>
        <w:t> </w:t>
      </w:r>
      <w:r>
        <w:rPr/>
        <w:t>cession</w:t>
      </w:r>
      <w:r>
        <w:rPr>
          <w:spacing w:val="-6"/>
        </w:rPr>
        <w:t> </w:t>
      </w:r>
      <w:r>
        <w:rPr/>
        <w:t>du</w:t>
      </w:r>
      <w:r>
        <w:rPr>
          <w:spacing w:val="-6"/>
        </w:rPr>
        <w:t> </w:t>
      </w:r>
      <w:r>
        <w:rPr/>
        <w:t>droit</w:t>
      </w:r>
      <w:r>
        <w:rPr>
          <w:spacing w:val="-7"/>
        </w:rPr>
        <w:t> </w:t>
      </w:r>
      <w:r>
        <w:rPr/>
        <w:t>d'acquérir</w:t>
      </w:r>
      <w:r>
        <w:rPr>
          <w:spacing w:val="-7"/>
        </w:rPr>
        <w:t> </w:t>
      </w:r>
      <w:r>
        <w:rPr/>
        <w:t>un</w:t>
      </w:r>
      <w:r>
        <w:rPr>
          <w:spacing w:val="-6"/>
        </w:rPr>
        <w:t> </w:t>
      </w:r>
      <w:r>
        <w:rPr/>
        <w:t>immeuble</w:t>
      </w:r>
      <w:r>
        <w:rPr>
          <w:spacing w:val="-6"/>
        </w:rPr>
        <w:t> </w:t>
      </w:r>
      <w:r>
        <w:rPr/>
        <w:t>ou</w:t>
      </w:r>
      <w:r>
        <w:rPr>
          <w:spacing w:val="-6"/>
        </w:rPr>
        <w:t> </w:t>
      </w:r>
      <w:r>
        <w:rPr/>
        <w:t>des</w:t>
      </w:r>
      <w:r>
        <w:rPr>
          <w:spacing w:val="-3"/>
        </w:rPr>
        <w:t> </w:t>
      </w:r>
      <w:r>
        <w:rPr/>
        <w:t>droits</w:t>
      </w:r>
      <w:r>
        <w:rPr>
          <w:spacing w:val="-3"/>
        </w:rPr>
        <w:t> </w:t>
      </w:r>
      <w:r>
        <w:rPr/>
        <w:t>réels</w:t>
      </w:r>
      <w:r>
        <w:rPr>
          <w:spacing w:val="-6"/>
        </w:rPr>
        <w:t> </w:t>
      </w:r>
      <w:r>
        <w:rPr/>
        <w:t>mentionnés</w:t>
      </w:r>
      <w:r>
        <w:rPr>
          <w:spacing w:val="-6"/>
        </w:rPr>
        <w:t> </w:t>
      </w:r>
      <w:r>
        <w:rPr/>
        <w:t>à</w:t>
      </w:r>
      <w:r>
        <w:rPr>
          <w:spacing w:val="-6"/>
        </w:rPr>
        <w:t> </w:t>
      </w:r>
      <w:r>
        <w:rPr/>
        <w:t>l'article</w:t>
      </w:r>
      <w:r>
        <w:rPr>
          <w:spacing w:val="-6"/>
        </w:rPr>
        <w:t> </w:t>
      </w:r>
      <w:r>
        <w:rPr/>
        <w:t>premier,</w:t>
      </w:r>
      <w:r>
        <w:rPr>
          <w:spacing w:val="-4"/>
        </w:rPr>
        <w:t> </w:t>
      </w:r>
      <w:r>
        <w:rPr/>
        <w:t>ainsi</w:t>
      </w:r>
      <w:r>
        <w:rPr>
          <w:spacing w:val="-4"/>
        </w:rPr>
        <w:t> </w:t>
      </w:r>
      <w:r>
        <w:rPr/>
        <w:t>que le transfert</w:t>
      </w:r>
      <w:r>
        <w:rPr>
          <w:spacing w:val="-3"/>
        </w:rPr>
        <w:t> </w:t>
      </w:r>
      <w:r>
        <w:rPr/>
        <w:t>de</w:t>
      </w:r>
      <w:r>
        <w:rPr>
          <w:spacing w:val="-3"/>
        </w:rPr>
        <w:t> </w:t>
      </w:r>
      <w:r>
        <w:rPr/>
        <w:t>la propriété</w:t>
      </w:r>
      <w:r>
        <w:rPr>
          <w:spacing w:val="-3"/>
        </w:rPr>
        <w:t> </w:t>
      </w:r>
      <w:r>
        <w:rPr/>
        <w:t>économique</w:t>
      </w:r>
      <w:r>
        <w:rPr>
          <w:spacing w:val="-3"/>
        </w:rPr>
        <w:t> </w:t>
      </w:r>
      <w:r>
        <w:rPr/>
        <w:t>d'un</w:t>
      </w:r>
      <w:r>
        <w:rPr>
          <w:spacing w:val="-3"/>
        </w:rPr>
        <w:t> </w:t>
      </w:r>
      <w:r>
        <w:rPr/>
        <w:t>immeuble,</w:t>
      </w:r>
      <w:r>
        <w:rPr>
          <w:spacing w:val="-1"/>
        </w:rPr>
        <w:t> </w:t>
      </w:r>
      <w:r>
        <w:rPr/>
        <w:t>n'ont</w:t>
      </w:r>
      <w:r>
        <w:rPr>
          <w:spacing w:val="-3"/>
        </w:rPr>
        <w:t> </w:t>
      </w:r>
      <w:r>
        <w:rPr/>
        <w:t>pas</w:t>
      </w:r>
      <w:r>
        <w:rPr>
          <w:spacing w:val="-2"/>
        </w:rPr>
        <w:t> </w:t>
      </w:r>
      <w:r>
        <w:rPr/>
        <w:t>d'influence</w:t>
      </w:r>
      <w:r>
        <w:rPr>
          <w:spacing w:val="-3"/>
        </w:rPr>
        <w:t> </w:t>
      </w:r>
      <w:r>
        <w:rPr/>
        <w:t>sur</w:t>
      </w:r>
      <w:r>
        <w:rPr>
          <w:spacing w:val="-3"/>
        </w:rPr>
        <w:t> </w:t>
      </w:r>
      <w:r>
        <w:rPr/>
        <w:t>la</w:t>
      </w:r>
      <w:r>
        <w:rPr>
          <w:spacing w:val="-3"/>
        </w:rPr>
        <w:t> </w:t>
      </w:r>
      <w:r>
        <w:rPr/>
        <w:t>durée</w:t>
      </w:r>
      <w:r>
        <w:rPr>
          <w:spacing w:val="-3"/>
        </w:rPr>
        <w:t> </w:t>
      </w:r>
      <w:r>
        <w:rPr/>
        <w:t>de</w:t>
      </w:r>
      <w:r>
        <w:rPr>
          <w:spacing w:val="-3"/>
        </w:rPr>
        <w:t> </w:t>
      </w:r>
      <w:r>
        <w:rPr/>
        <w:t>la</w:t>
      </w:r>
      <w:r>
        <w:rPr>
          <w:spacing w:val="-3"/>
        </w:rPr>
        <w:t> </w:t>
      </w:r>
      <w:r>
        <w:rPr/>
        <w:t>propriété juridique de l'immeuble.</w:t>
      </w:r>
    </w:p>
    <w:p>
      <w:pPr>
        <w:pStyle w:val="BodyText"/>
        <w:spacing w:before="89"/>
      </w:pPr>
    </w:p>
    <w:p>
      <w:pPr>
        <w:pStyle w:val="Heading7"/>
        <w:spacing w:before="1"/>
        <w:ind w:left="851"/>
      </w:pPr>
      <w:r>
        <w:rPr/>
        <w:t>Service</w:t>
      </w:r>
      <w:r>
        <w:rPr>
          <w:spacing w:val="-7"/>
        </w:rPr>
        <w:t> </w:t>
      </w:r>
      <w:r>
        <w:rPr/>
        <w:t>cantonal</w:t>
      </w:r>
      <w:r>
        <w:rPr>
          <w:spacing w:val="-6"/>
        </w:rPr>
        <w:t> </w:t>
      </w:r>
      <w:r>
        <w:rPr/>
        <w:t>des</w:t>
      </w:r>
      <w:r>
        <w:rPr>
          <w:spacing w:val="-5"/>
        </w:rPr>
        <w:t> </w:t>
      </w:r>
      <w:r>
        <w:rPr/>
        <w:t>contributions</w:t>
      </w:r>
      <w:r>
        <w:rPr>
          <w:spacing w:val="-5"/>
        </w:rPr>
        <w:t> </w:t>
      </w:r>
      <w:r>
        <w:rPr/>
        <w:t>Neuchâtel</w:t>
      </w:r>
      <w:r>
        <w:rPr>
          <w:spacing w:val="-8"/>
        </w:rPr>
        <w:t> </w:t>
      </w:r>
      <w:r>
        <w:rPr/>
        <w:t>&gt;</w:t>
      </w:r>
      <w:r>
        <w:rPr>
          <w:spacing w:val="-6"/>
        </w:rPr>
        <w:t> </w:t>
      </w:r>
      <w:hyperlink r:id="rId81">
        <w:r>
          <w:rPr>
            <w:color w:val="0462C0"/>
            <w:u w:val="single" w:color="0462C0"/>
          </w:rPr>
          <w:t>Impôt</w:t>
        </w:r>
        <w:r>
          <w:rPr>
            <w:color w:val="0462C0"/>
            <w:spacing w:val="-4"/>
            <w:u w:val="single" w:color="0462C0"/>
          </w:rPr>
          <w:t> </w:t>
        </w:r>
        <w:r>
          <w:rPr>
            <w:color w:val="0462C0"/>
            <w:u w:val="single" w:color="0462C0"/>
          </w:rPr>
          <w:t>sur</w:t>
        </w:r>
        <w:r>
          <w:rPr>
            <w:color w:val="0462C0"/>
            <w:spacing w:val="-6"/>
            <w:u w:val="single" w:color="0462C0"/>
          </w:rPr>
          <w:t> </w:t>
        </w:r>
        <w:r>
          <w:rPr>
            <w:color w:val="0462C0"/>
            <w:u w:val="single" w:color="0462C0"/>
          </w:rPr>
          <w:t>les</w:t>
        </w:r>
        <w:r>
          <w:rPr>
            <w:color w:val="0462C0"/>
            <w:spacing w:val="-5"/>
            <w:u w:val="single" w:color="0462C0"/>
          </w:rPr>
          <w:t> </w:t>
        </w:r>
        <w:r>
          <w:rPr>
            <w:color w:val="0462C0"/>
            <w:u w:val="single" w:color="0462C0"/>
          </w:rPr>
          <w:t>gains</w:t>
        </w:r>
        <w:r>
          <w:rPr>
            <w:color w:val="0462C0"/>
            <w:spacing w:val="-4"/>
            <w:u w:val="single" w:color="0462C0"/>
          </w:rPr>
          <w:t> </w:t>
        </w:r>
        <w:r>
          <w:rPr>
            <w:color w:val="0462C0"/>
            <w:spacing w:val="-2"/>
            <w:u w:val="single" w:color="0462C0"/>
          </w:rPr>
          <w:t>immobilier</w:t>
        </w:r>
      </w:hyperlink>
    </w:p>
    <w:p>
      <w:pPr>
        <w:pStyle w:val="Heading7"/>
        <w:spacing w:after="0"/>
        <w:sectPr>
          <w:pgSz w:w="11910" w:h="16840"/>
          <w:pgMar w:header="724" w:footer="687" w:top="960" w:bottom="880" w:left="850" w:right="992"/>
        </w:sectPr>
      </w:pPr>
    </w:p>
    <w:p>
      <w:pPr>
        <w:pStyle w:val="BodyText"/>
        <w:spacing w:before="422"/>
        <w:rPr>
          <w:sz w:val="40"/>
        </w:rPr>
      </w:pPr>
    </w:p>
    <w:p>
      <w:pPr>
        <w:pStyle w:val="Heading1"/>
      </w:pPr>
      <w:bookmarkStart w:name="Imposition des personnes morales" w:id="43"/>
      <w:bookmarkEnd w:id="43"/>
      <w:r>
        <w:rPr>
          <w:b w:val="0"/>
        </w:rPr>
      </w:r>
      <w:bookmarkStart w:name="_bookmark18" w:id="44"/>
      <w:bookmarkEnd w:id="4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272"/>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84">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5"/>
      </w:pPr>
    </w:p>
    <w:p>
      <w:pPr>
        <w:pStyle w:val="Heading8"/>
        <w:spacing w:before="0"/>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b </w:t>
      </w:r>
      <w:r>
        <w:rPr>
          <w:spacing w:val="-4"/>
        </w:rPr>
        <w:t>LCdir</w:t>
      </w:r>
    </w:p>
    <w:p>
      <w:pPr>
        <w:pStyle w:val="BodyText"/>
        <w:spacing w:before="56"/>
        <w:ind w:left="1134"/>
      </w:pPr>
      <w:r>
        <w:rPr>
          <w:position w:val="6"/>
          <w:sz w:val="12"/>
        </w:rPr>
        <w:t>1</w:t>
      </w:r>
      <w:r>
        <w:rPr>
          <w:spacing w:val="15"/>
          <w:position w:val="6"/>
          <w:sz w:val="12"/>
        </w:rPr>
        <w:t> </w:t>
      </w:r>
      <w:r>
        <w:rPr>
          <w:color w:val="333333"/>
        </w:rPr>
        <w:t>Le</w:t>
      </w:r>
      <w:r>
        <w:rPr>
          <w:color w:val="333333"/>
          <w:spacing w:val="-4"/>
        </w:rPr>
        <w:t> </w:t>
      </w:r>
      <w:r>
        <w:rPr>
          <w:color w:val="333333"/>
        </w:rPr>
        <w:t>canton perçoit,</w:t>
      </w:r>
      <w:r>
        <w:rPr>
          <w:color w:val="333333"/>
          <w:spacing w:val="-4"/>
        </w:rPr>
        <w:t> </w:t>
      </w:r>
      <w:r>
        <w:rPr>
          <w:color w:val="333333"/>
        </w:rPr>
        <w:t>conformément</w:t>
      </w:r>
      <w:r>
        <w:rPr>
          <w:color w:val="333333"/>
          <w:spacing w:val="-3"/>
        </w:rPr>
        <w:t> </w:t>
      </w:r>
      <w:r>
        <w:rPr>
          <w:color w:val="333333"/>
        </w:rPr>
        <w:t>à</w:t>
      </w:r>
      <w:r>
        <w:rPr>
          <w:color w:val="333333"/>
          <w:spacing w:val="-1"/>
        </w:rPr>
        <w:t> </w:t>
      </w:r>
      <w:r>
        <w:rPr>
          <w:color w:val="333333"/>
        </w:rPr>
        <w:t>la</w:t>
      </w:r>
      <w:r>
        <w:rPr>
          <w:color w:val="333333"/>
          <w:spacing w:val="-3"/>
        </w:rPr>
        <w:t> </w:t>
      </w:r>
      <w:r>
        <w:rPr>
          <w:color w:val="333333"/>
        </w:rPr>
        <w:t>présente</w:t>
      </w:r>
      <w:r>
        <w:rPr>
          <w:color w:val="333333"/>
          <w:spacing w:val="-1"/>
        </w:rPr>
        <w:t> </w:t>
      </w:r>
      <w:r>
        <w:rPr>
          <w:color w:val="333333"/>
        </w:rPr>
        <w:t>loi </w:t>
      </w:r>
      <w:r>
        <w:rPr>
          <w:color w:val="333333"/>
          <w:spacing w:val="-10"/>
        </w:rPr>
        <w:t>:</w:t>
      </w:r>
    </w:p>
    <w:p>
      <w:pPr>
        <w:pStyle w:val="ListParagraph"/>
        <w:numPr>
          <w:ilvl w:val="0"/>
          <w:numId w:val="2"/>
        </w:numPr>
        <w:tabs>
          <w:tab w:pos="1557" w:val="left" w:leader="none"/>
        </w:tabs>
        <w:spacing w:line="240" w:lineRule="auto" w:before="40" w:after="0"/>
        <w:ind w:left="1557" w:right="0" w:hanging="423"/>
        <w:jc w:val="both"/>
        <w:rPr>
          <w:sz w:val="18"/>
        </w:rPr>
      </w:pPr>
      <w:r>
        <w:rPr>
          <w:color w:val="333333"/>
          <w:sz w:val="18"/>
        </w:rPr>
        <w:t>un impôt</w:t>
      </w:r>
      <w:r>
        <w:rPr>
          <w:color w:val="333333"/>
          <w:spacing w:val="-3"/>
          <w:sz w:val="18"/>
        </w:rPr>
        <w:t> </w:t>
      </w:r>
      <w:r>
        <w:rPr>
          <w:color w:val="333333"/>
          <w:sz w:val="18"/>
        </w:rPr>
        <w:t>sur</w:t>
      </w:r>
      <w:r>
        <w:rPr>
          <w:color w:val="333333"/>
          <w:spacing w:val="-3"/>
          <w:sz w:val="18"/>
        </w:rPr>
        <w:t> </w:t>
      </w:r>
      <w:r>
        <w:rPr>
          <w:color w:val="333333"/>
          <w:sz w:val="18"/>
        </w:rPr>
        <w:t>le</w:t>
      </w:r>
      <w:r>
        <w:rPr>
          <w:color w:val="333333"/>
          <w:spacing w:val="-3"/>
          <w:sz w:val="18"/>
        </w:rPr>
        <w:t> </w:t>
      </w:r>
      <w:r>
        <w:rPr>
          <w:color w:val="333333"/>
          <w:sz w:val="18"/>
        </w:rPr>
        <w:t>bénéfice et</w:t>
      </w:r>
      <w:r>
        <w:rPr>
          <w:color w:val="333333"/>
          <w:spacing w:val="-3"/>
          <w:sz w:val="18"/>
        </w:rPr>
        <w:t> </w:t>
      </w:r>
      <w:r>
        <w:rPr>
          <w:color w:val="333333"/>
          <w:sz w:val="18"/>
        </w:rPr>
        <w:t>un</w:t>
      </w:r>
      <w:r>
        <w:rPr>
          <w:color w:val="333333"/>
          <w:spacing w:val="1"/>
          <w:sz w:val="18"/>
        </w:rPr>
        <w:t> </w:t>
      </w:r>
      <w:r>
        <w:rPr>
          <w:color w:val="333333"/>
          <w:sz w:val="18"/>
        </w:rPr>
        <w:t>impôt</w:t>
      </w:r>
      <w:r>
        <w:rPr>
          <w:color w:val="333333"/>
          <w:spacing w:val="-3"/>
          <w:sz w:val="18"/>
        </w:rPr>
        <w:t> </w:t>
      </w:r>
      <w:r>
        <w:rPr>
          <w:color w:val="333333"/>
          <w:sz w:val="18"/>
        </w:rPr>
        <w:t>sur</w:t>
      </w:r>
      <w:r>
        <w:rPr>
          <w:color w:val="333333"/>
          <w:spacing w:val="-3"/>
          <w:sz w:val="18"/>
        </w:rPr>
        <w:t> </w:t>
      </w:r>
      <w:r>
        <w:rPr>
          <w:color w:val="333333"/>
          <w:sz w:val="18"/>
        </w:rPr>
        <w:t>le</w:t>
      </w:r>
      <w:r>
        <w:rPr>
          <w:color w:val="333333"/>
          <w:spacing w:val="-3"/>
          <w:sz w:val="18"/>
        </w:rPr>
        <w:t> </w:t>
      </w:r>
      <w:r>
        <w:rPr>
          <w:color w:val="333333"/>
          <w:sz w:val="18"/>
        </w:rPr>
        <w:t>capital</w:t>
      </w:r>
      <w:r>
        <w:rPr>
          <w:color w:val="333333"/>
          <w:spacing w:val="-3"/>
          <w:sz w:val="18"/>
        </w:rPr>
        <w:t> </w:t>
      </w:r>
      <w:r>
        <w:rPr>
          <w:color w:val="333333"/>
          <w:sz w:val="18"/>
        </w:rPr>
        <w:t>des personnes</w:t>
      </w:r>
      <w:r>
        <w:rPr>
          <w:color w:val="333333"/>
          <w:spacing w:val="-1"/>
          <w:sz w:val="18"/>
        </w:rPr>
        <w:t> </w:t>
      </w:r>
      <w:r>
        <w:rPr>
          <w:color w:val="333333"/>
          <w:spacing w:val="-2"/>
          <w:sz w:val="18"/>
        </w:rPr>
        <w:t>morales</w:t>
      </w:r>
      <w:r>
        <w:rPr>
          <w:spacing w:val="-2"/>
          <w:sz w:val="18"/>
        </w:rPr>
        <w:t>;</w:t>
      </w:r>
    </w:p>
    <w:p>
      <w:pPr>
        <w:pStyle w:val="BodyText"/>
      </w:pPr>
    </w:p>
    <w:p>
      <w:pPr>
        <w:pStyle w:val="BodyText"/>
        <w:spacing w:before="69"/>
      </w:pPr>
    </w:p>
    <w:p>
      <w:pPr>
        <w:pStyle w:val="Heading2"/>
        <w:jc w:val="both"/>
      </w:pPr>
      <w:bookmarkStart w:name="Impôt sur le bénéfice" w:id="45"/>
      <w:bookmarkEnd w:id="45"/>
      <w:r>
        <w:rPr>
          <w:b w:val="0"/>
        </w:rPr>
      </w:r>
      <w:bookmarkStart w:name="_bookmark19" w:id="46"/>
      <w:bookmarkEnd w:id="46"/>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bénéfice</w:t>
      </w:r>
    </w:p>
    <w:p>
      <w:pPr>
        <w:pStyle w:val="BodyText"/>
        <w:spacing w:before="58"/>
        <w:ind w:left="851"/>
        <w:jc w:val="both"/>
      </w:pPr>
      <w:bookmarkStart w:name="_bookmark20" w:id="47"/>
      <w:bookmarkEnd w:id="47"/>
      <w:r>
        <w:rPr/>
      </w:r>
      <w:r>
        <w:rPr/>
        <w:t>(Art.</w:t>
      </w:r>
      <w:r>
        <w:rPr>
          <w:spacing w:val="-1"/>
        </w:rPr>
        <w:t> </w:t>
      </w:r>
      <w:r>
        <w:rPr/>
        <w:t>83</w:t>
      </w:r>
      <w:r>
        <w:rPr>
          <w:spacing w:val="-2"/>
        </w:rPr>
        <w:t> </w:t>
      </w:r>
      <w:r>
        <w:rPr/>
        <w:t>à 101</w:t>
      </w:r>
      <w:r>
        <w:rPr>
          <w:spacing w:val="1"/>
        </w:rPr>
        <w:t> </w:t>
      </w:r>
      <w:r>
        <w:rPr>
          <w:spacing w:val="-2"/>
        </w:rPr>
        <w:t>LCdir)</w:t>
      </w:r>
    </w:p>
    <w:p>
      <w:pPr>
        <w:pStyle w:val="BodyText"/>
        <w:spacing w:before="154"/>
      </w:pPr>
    </w:p>
    <w:p>
      <w:pPr>
        <w:pStyle w:val="Heading3"/>
        <w:spacing w:before="1"/>
        <w:jc w:val="both"/>
      </w:pPr>
      <w:bookmarkStart w:name="Détermination du bénéfice net imposable" w:id="48"/>
      <w:bookmarkEnd w:id="48"/>
      <w:r>
        <w:rPr>
          <w:b w:val="0"/>
        </w:rPr>
      </w:r>
      <w:r>
        <w:rPr>
          <w:color w:val="2D73B4"/>
        </w:rPr>
        <w:t>Détermination</w:t>
      </w:r>
      <w:r>
        <w:rPr>
          <w:color w:val="2D73B4"/>
          <w:spacing w:val="-8"/>
        </w:rPr>
        <w:t> </w:t>
      </w:r>
      <w:r>
        <w:rPr>
          <w:color w:val="2D73B4"/>
        </w:rPr>
        <w:t>du</w:t>
      </w:r>
      <w:r>
        <w:rPr>
          <w:color w:val="2D73B4"/>
          <w:spacing w:val="-10"/>
        </w:rPr>
        <w:t> </w:t>
      </w:r>
      <w:r>
        <w:rPr>
          <w:color w:val="2D73B4"/>
        </w:rPr>
        <w:t>bénéfice</w:t>
      </w:r>
      <w:r>
        <w:rPr>
          <w:color w:val="2D73B4"/>
          <w:spacing w:val="-8"/>
        </w:rPr>
        <w:t> </w:t>
      </w:r>
      <w:r>
        <w:rPr>
          <w:color w:val="2D73B4"/>
        </w:rPr>
        <w:t>net</w:t>
      </w:r>
      <w:r>
        <w:rPr>
          <w:color w:val="2D73B4"/>
          <w:spacing w:val="-10"/>
        </w:rPr>
        <w:t> </w:t>
      </w:r>
      <w:r>
        <w:rPr>
          <w:color w:val="2D73B4"/>
          <w:spacing w:val="-2"/>
        </w:rPr>
        <w:t>imposable</w:t>
      </w:r>
    </w:p>
    <w:p>
      <w:pPr>
        <w:pStyle w:val="BodyText"/>
        <w:spacing w:before="56"/>
        <w:ind w:left="851"/>
        <w:jc w:val="both"/>
      </w:pPr>
      <w:r>
        <w:rPr/>
        <w:t>(Art. 84</w:t>
      </w:r>
      <w:r>
        <w:rPr>
          <w:spacing w:val="-2"/>
        </w:rPr>
        <w:t> </w:t>
      </w:r>
      <w:r>
        <w:rPr/>
        <w:t>à</w:t>
      </w:r>
      <w:r>
        <w:rPr>
          <w:spacing w:val="1"/>
        </w:rPr>
        <w:t> </w:t>
      </w:r>
      <w:r>
        <w:rPr/>
        <w:t>93</w:t>
      </w:r>
      <w:r>
        <w:rPr>
          <w:spacing w:val="-2"/>
        </w:rPr>
        <w:t> LCdir)</w:t>
      </w:r>
    </w:p>
    <w:p>
      <w:pPr>
        <w:pStyle w:val="Heading7"/>
        <w:spacing w:line="249" w:lineRule="auto" w:before="12"/>
        <w:ind w:left="851" w:right="138"/>
        <w:jc w:val="both"/>
      </w:pPr>
      <w:r>
        <w:rPr/>
        <w:t>Pour la détermination du bénéfice net imposable, sont rajoutés au solde du compte de résultat les charges non</w:t>
      </w:r>
      <w:r>
        <w:rPr>
          <w:spacing w:val="-2"/>
        </w:rPr>
        <w:t> </w:t>
      </w:r>
      <w:r>
        <w:rPr/>
        <w:t>justifiées par</w:t>
      </w:r>
      <w:r>
        <w:rPr>
          <w:spacing w:val="-1"/>
        </w:rPr>
        <w:t> </w:t>
      </w:r>
      <w:r>
        <w:rPr/>
        <w:t>l’usage</w:t>
      </w:r>
      <w:r>
        <w:rPr>
          <w:spacing w:val="-2"/>
        </w:rPr>
        <w:t> </w:t>
      </w:r>
      <w:r>
        <w:rPr/>
        <w:t>commercial,</w:t>
      </w:r>
      <w:r>
        <w:rPr>
          <w:spacing w:val="-1"/>
        </w:rPr>
        <w:t> </w:t>
      </w:r>
      <w:r>
        <w:rPr/>
        <w:t>les produits et</w:t>
      </w:r>
      <w:r>
        <w:rPr>
          <w:spacing w:val="-1"/>
        </w:rPr>
        <w:t> </w:t>
      </w:r>
      <w:r>
        <w:rPr/>
        <w:t>les bénéfices en</w:t>
      </w:r>
      <w:r>
        <w:rPr>
          <w:spacing w:val="-2"/>
        </w:rPr>
        <w:t> </w:t>
      </w:r>
      <w:r>
        <w:rPr/>
        <w:t>capital,</w:t>
      </w:r>
      <w:r>
        <w:rPr>
          <w:spacing w:val="-1"/>
        </w:rPr>
        <w:t> </w:t>
      </w:r>
      <w:r>
        <w:rPr/>
        <w:t>de</w:t>
      </w:r>
      <w:r>
        <w:rPr>
          <w:spacing w:val="-2"/>
        </w:rPr>
        <w:t> </w:t>
      </w:r>
      <w:r>
        <w:rPr/>
        <w:t>liquidation</w:t>
      </w:r>
      <w:r>
        <w:rPr>
          <w:spacing w:val="-2"/>
        </w:rPr>
        <w:t> </w:t>
      </w:r>
      <w:r>
        <w:rPr/>
        <w:t>et de</w:t>
      </w:r>
      <w:r>
        <w:rPr>
          <w:spacing w:val="-14"/>
        </w:rPr>
        <w:t> </w:t>
      </w:r>
      <w:r>
        <w:rPr/>
        <w:t>réévaluation</w:t>
      </w:r>
      <w:r>
        <w:rPr>
          <w:spacing w:val="-11"/>
        </w:rPr>
        <w:t> </w:t>
      </w:r>
      <w:r>
        <w:rPr/>
        <w:t>qui</w:t>
      </w:r>
      <w:r>
        <w:rPr>
          <w:spacing w:val="-12"/>
        </w:rPr>
        <w:t> </w:t>
      </w:r>
      <w:r>
        <w:rPr/>
        <w:t>n’ont</w:t>
      </w:r>
      <w:r>
        <w:rPr>
          <w:spacing w:val="-13"/>
        </w:rPr>
        <w:t> </w:t>
      </w:r>
      <w:r>
        <w:rPr/>
        <w:t>pas</w:t>
      </w:r>
      <w:r>
        <w:rPr>
          <w:spacing w:val="-12"/>
        </w:rPr>
        <w:t> </w:t>
      </w:r>
      <w:r>
        <w:rPr/>
        <w:t>été</w:t>
      </w:r>
      <w:r>
        <w:rPr>
          <w:spacing w:val="-14"/>
        </w:rPr>
        <w:t> </w:t>
      </w:r>
      <w:r>
        <w:rPr/>
        <w:t>portés</w:t>
      </w:r>
      <w:r>
        <w:rPr>
          <w:spacing w:val="-12"/>
        </w:rPr>
        <w:t> </w:t>
      </w:r>
      <w:r>
        <w:rPr/>
        <w:t>au</w:t>
      </w:r>
      <w:r>
        <w:rPr>
          <w:spacing w:val="-14"/>
        </w:rPr>
        <w:t> </w:t>
      </w:r>
      <w:r>
        <w:rPr/>
        <w:t>crédit</w:t>
      </w:r>
      <w:r>
        <w:rPr>
          <w:spacing w:val="-14"/>
        </w:rPr>
        <w:t> </w:t>
      </w:r>
      <w:r>
        <w:rPr/>
        <w:t>de</w:t>
      </w:r>
      <w:r>
        <w:rPr>
          <w:spacing w:val="-14"/>
        </w:rPr>
        <w:t> </w:t>
      </w:r>
      <w:r>
        <w:rPr/>
        <w:t>ce</w:t>
      </w:r>
      <w:r>
        <w:rPr>
          <w:spacing w:val="-11"/>
        </w:rPr>
        <w:t> </w:t>
      </w:r>
      <w:r>
        <w:rPr/>
        <w:t>compte</w:t>
      </w:r>
      <w:r>
        <w:rPr>
          <w:spacing w:val="-14"/>
        </w:rPr>
        <w:t> </w:t>
      </w:r>
      <w:r>
        <w:rPr/>
        <w:t>ainsi</w:t>
      </w:r>
      <w:r>
        <w:rPr>
          <w:spacing w:val="-12"/>
        </w:rPr>
        <w:t> </w:t>
      </w:r>
      <w:r>
        <w:rPr/>
        <w:t>que</w:t>
      </w:r>
      <w:r>
        <w:rPr>
          <w:spacing w:val="-14"/>
        </w:rPr>
        <w:t> </w:t>
      </w:r>
      <w:r>
        <w:rPr/>
        <w:t>les</w:t>
      </w:r>
      <w:r>
        <w:rPr>
          <w:spacing w:val="-12"/>
        </w:rPr>
        <w:t> </w:t>
      </w:r>
      <w:r>
        <w:rPr/>
        <w:t>intérêts</w:t>
      </w:r>
      <w:r>
        <w:rPr>
          <w:spacing w:val="-12"/>
        </w:rPr>
        <w:t> </w:t>
      </w:r>
      <w:r>
        <w:rPr/>
        <w:t>sur</w:t>
      </w:r>
      <w:r>
        <w:rPr>
          <w:spacing w:val="-13"/>
        </w:rPr>
        <w:t> </w:t>
      </w:r>
      <w:r>
        <w:rPr/>
        <w:t>le</w:t>
      </w:r>
      <w:r>
        <w:rPr>
          <w:spacing w:val="-14"/>
        </w:rPr>
        <w:t> </w:t>
      </w:r>
      <w:r>
        <w:rPr/>
        <w:t>capital</w:t>
      </w:r>
      <w:r>
        <w:rPr>
          <w:spacing w:val="-12"/>
        </w:rPr>
        <w:t> </w:t>
      </w:r>
      <w:r>
        <w:rPr/>
        <w:t>propre dissimulé.</w:t>
      </w:r>
      <w:r>
        <w:rPr>
          <w:spacing w:val="-14"/>
        </w:rPr>
        <w:t> </w:t>
      </w:r>
      <w:r>
        <w:rPr/>
        <w:t>Sont</w:t>
      </w:r>
      <w:r>
        <w:rPr>
          <w:spacing w:val="-14"/>
        </w:rPr>
        <w:t> </w:t>
      </w:r>
      <w:r>
        <w:rPr/>
        <w:t>déduites</w:t>
      </w:r>
      <w:r>
        <w:rPr>
          <w:spacing w:val="-13"/>
        </w:rPr>
        <w:t> </w:t>
      </w:r>
      <w:r>
        <w:rPr/>
        <w:t>les</w:t>
      </w:r>
      <w:r>
        <w:rPr>
          <w:spacing w:val="-11"/>
        </w:rPr>
        <w:t> </w:t>
      </w:r>
      <w:r>
        <w:rPr/>
        <w:t>charges</w:t>
      </w:r>
      <w:r>
        <w:rPr>
          <w:spacing w:val="-13"/>
        </w:rPr>
        <w:t> </w:t>
      </w:r>
      <w:r>
        <w:rPr/>
        <w:t>justifiées</w:t>
      </w:r>
      <w:r>
        <w:rPr>
          <w:spacing w:val="-13"/>
        </w:rPr>
        <w:t> </w:t>
      </w:r>
      <w:r>
        <w:rPr/>
        <w:t>par</w:t>
      </w:r>
      <w:r>
        <w:rPr>
          <w:spacing w:val="-14"/>
        </w:rPr>
        <w:t> </w:t>
      </w:r>
      <w:r>
        <w:rPr/>
        <w:t>l’usage</w:t>
      </w:r>
      <w:r>
        <w:rPr>
          <w:spacing w:val="-14"/>
        </w:rPr>
        <w:t> </w:t>
      </w:r>
      <w:r>
        <w:rPr/>
        <w:t>commercial</w:t>
      </w:r>
      <w:r>
        <w:rPr>
          <w:spacing w:val="-14"/>
        </w:rPr>
        <w:t> </w:t>
      </w:r>
      <w:r>
        <w:rPr/>
        <w:t>et</w:t>
      </w:r>
      <w:r>
        <w:rPr>
          <w:spacing w:val="-13"/>
        </w:rPr>
        <w:t> </w:t>
      </w:r>
      <w:r>
        <w:rPr/>
        <w:t>les</w:t>
      </w:r>
      <w:r>
        <w:rPr>
          <w:spacing w:val="-13"/>
        </w:rPr>
        <w:t> </w:t>
      </w:r>
      <w:r>
        <w:rPr/>
        <w:t>pertes</w:t>
      </w:r>
      <w:r>
        <w:rPr>
          <w:spacing w:val="-11"/>
        </w:rPr>
        <w:t> </w:t>
      </w:r>
      <w:r>
        <w:rPr/>
        <w:t>éventuelles</w:t>
      </w:r>
      <w:r>
        <w:rPr>
          <w:spacing w:val="-13"/>
        </w:rPr>
        <w:t> </w:t>
      </w:r>
      <w:r>
        <w:rPr/>
        <w:t>des</w:t>
      </w:r>
      <w:r>
        <w:rPr>
          <w:spacing w:val="-13"/>
        </w:rPr>
        <w:t> </w:t>
      </w:r>
      <w:r>
        <w:rPr/>
        <w:t>sept exercices précédant la période fiscale.</w:t>
      </w:r>
    </w:p>
    <w:p>
      <w:pPr>
        <w:pStyle w:val="Heading7"/>
        <w:spacing w:line="249" w:lineRule="auto" w:before="204"/>
        <w:ind w:left="851" w:right="137"/>
        <w:jc w:val="both"/>
      </w:pPr>
      <w:r>
        <w:rPr/>
        <w:t>Les</w:t>
      </w:r>
      <w:r>
        <w:rPr>
          <w:spacing w:val="-1"/>
        </w:rPr>
        <w:t> </w:t>
      </w:r>
      <w:r>
        <w:rPr/>
        <w:t>cotisations</w:t>
      </w:r>
      <w:r>
        <w:rPr>
          <w:spacing w:val="-1"/>
        </w:rPr>
        <w:t> </w:t>
      </w:r>
      <w:r>
        <w:rPr/>
        <w:t>versées</w:t>
      </w:r>
      <w:r>
        <w:rPr>
          <w:spacing w:val="-1"/>
        </w:rPr>
        <w:t> </w:t>
      </w:r>
      <w:r>
        <w:rPr/>
        <w:t>aux</w:t>
      </w:r>
      <w:r>
        <w:rPr>
          <w:spacing w:val="-1"/>
        </w:rPr>
        <w:t> </w:t>
      </w:r>
      <w:r>
        <w:rPr/>
        <w:t>associations</w:t>
      </w:r>
      <w:r>
        <w:rPr>
          <w:spacing w:val="-1"/>
        </w:rPr>
        <w:t> </w:t>
      </w:r>
      <w:r>
        <w:rPr/>
        <w:t>par</w:t>
      </w:r>
      <w:r>
        <w:rPr>
          <w:spacing w:val="-2"/>
        </w:rPr>
        <w:t> </w:t>
      </w:r>
      <w:r>
        <w:rPr/>
        <w:t>leurs</w:t>
      </w:r>
      <w:r>
        <w:rPr>
          <w:spacing w:val="-1"/>
        </w:rPr>
        <w:t> </w:t>
      </w:r>
      <w:r>
        <w:rPr/>
        <w:t>membres</w:t>
      </w:r>
      <w:r>
        <w:rPr>
          <w:spacing w:val="-1"/>
        </w:rPr>
        <w:t> </w:t>
      </w:r>
      <w:r>
        <w:rPr/>
        <w:t>ne</w:t>
      </w:r>
      <w:r>
        <w:rPr>
          <w:spacing w:val="-3"/>
        </w:rPr>
        <w:t> </w:t>
      </w:r>
      <w:r>
        <w:rPr/>
        <w:t>font</w:t>
      </w:r>
      <w:r>
        <w:rPr>
          <w:spacing w:val="-2"/>
        </w:rPr>
        <w:t> </w:t>
      </w:r>
      <w:r>
        <w:rPr/>
        <w:t>pas</w:t>
      </w:r>
      <w:r>
        <w:rPr>
          <w:spacing w:val="-1"/>
        </w:rPr>
        <w:t> </w:t>
      </w:r>
      <w:r>
        <w:rPr/>
        <w:t>partie</w:t>
      </w:r>
      <w:r>
        <w:rPr>
          <w:spacing w:val="-3"/>
        </w:rPr>
        <w:t> </w:t>
      </w:r>
      <w:r>
        <w:rPr/>
        <w:t>du bénéfice</w:t>
      </w:r>
      <w:r>
        <w:rPr>
          <w:spacing w:val="-3"/>
        </w:rPr>
        <w:t> </w:t>
      </w:r>
      <w:r>
        <w:rPr/>
        <w:t>imposable. Les dépenses liées à l’acquisition des recettes imposables des associations peuvent être entièrement déduites</w:t>
      </w:r>
      <w:r>
        <w:rPr>
          <w:spacing w:val="-3"/>
        </w:rPr>
        <w:t> </w:t>
      </w:r>
      <w:r>
        <w:rPr/>
        <w:t>de</w:t>
      </w:r>
      <w:r>
        <w:rPr>
          <w:spacing w:val="-4"/>
        </w:rPr>
        <w:t> </w:t>
      </w:r>
      <w:r>
        <w:rPr/>
        <w:t>ces</w:t>
      </w:r>
      <w:r>
        <w:rPr>
          <w:spacing w:val="-5"/>
        </w:rPr>
        <w:t> </w:t>
      </w:r>
      <w:r>
        <w:rPr/>
        <w:t>recettes.</w:t>
      </w:r>
      <w:r>
        <w:rPr>
          <w:spacing w:val="-4"/>
        </w:rPr>
        <w:t> </w:t>
      </w:r>
      <w:r>
        <w:rPr/>
        <w:t>Les</w:t>
      </w:r>
      <w:r>
        <w:rPr>
          <w:spacing w:val="-5"/>
        </w:rPr>
        <w:t> </w:t>
      </w:r>
      <w:r>
        <w:rPr/>
        <w:t>autres</w:t>
      </w:r>
      <w:r>
        <w:rPr>
          <w:spacing w:val="-5"/>
        </w:rPr>
        <w:t> </w:t>
      </w:r>
      <w:r>
        <w:rPr/>
        <w:t>dépenses</w:t>
      </w:r>
      <w:r>
        <w:rPr>
          <w:spacing w:val="-3"/>
        </w:rPr>
        <w:t> </w:t>
      </w:r>
      <w:r>
        <w:rPr/>
        <w:t>ne</w:t>
      </w:r>
      <w:r>
        <w:rPr>
          <w:spacing w:val="-4"/>
        </w:rPr>
        <w:t> </w:t>
      </w:r>
      <w:r>
        <w:rPr/>
        <w:t>peuvent</w:t>
      </w:r>
      <w:r>
        <w:rPr>
          <w:spacing w:val="-4"/>
        </w:rPr>
        <w:t> </w:t>
      </w:r>
      <w:r>
        <w:rPr/>
        <w:t>l’être</w:t>
      </w:r>
      <w:r>
        <w:rPr>
          <w:spacing w:val="-4"/>
        </w:rPr>
        <w:t> </w:t>
      </w:r>
      <w:r>
        <w:rPr/>
        <w:t>que</w:t>
      </w:r>
      <w:r>
        <w:rPr>
          <w:spacing w:val="-4"/>
        </w:rPr>
        <w:t> </w:t>
      </w:r>
      <w:r>
        <w:rPr/>
        <w:t>dans</w:t>
      </w:r>
      <w:r>
        <w:rPr>
          <w:spacing w:val="-2"/>
        </w:rPr>
        <w:t> </w:t>
      </w:r>
      <w:r>
        <w:rPr/>
        <w:t>la</w:t>
      </w:r>
      <w:r>
        <w:rPr>
          <w:spacing w:val="-4"/>
        </w:rPr>
        <w:t> </w:t>
      </w:r>
      <w:r>
        <w:rPr/>
        <w:t>mesure</w:t>
      </w:r>
      <w:r>
        <w:rPr>
          <w:spacing w:val="-7"/>
        </w:rPr>
        <w:t> </w:t>
      </w:r>
      <w:r>
        <w:rPr/>
        <w:t>où</w:t>
      </w:r>
      <w:r>
        <w:rPr>
          <w:spacing w:val="-4"/>
        </w:rPr>
        <w:t> </w:t>
      </w:r>
      <w:r>
        <w:rPr/>
        <w:t>elles</w:t>
      </w:r>
      <w:r>
        <w:rPr>
          <w:spacing w:val="-2"/>
        </w:rPr>
        <w:t> </w:t>
      </w:r>
      <w:r>
        <w:rPr/>
        <w:t>excédent les cotisations des membres.</w:t>
      </w:r>
    </w:p>
    <w:p>
      <w:pPr>
        <w:pStyle w:val="Heading7"/>
        <w:spacing w:before="202"/>
        <w:ind w:left="851"/>
        <w:jc w:val="both"/>
      </w:pPr>
      <w:r>
        <w:rPr/>
        <w:t>Les</w:t>
      </w:r>
      <w:r>
        <w:rPr>
          <w:spacing w:val="-5"/>
        </w:rPr>
        <w:t> </w:t>
      </w:r>
      <w:r>
        <w:rPr/>
        <w:t>apports</w:t>
      </w:r>
      <w:r>
        <w:rPr>
          <w:spacing w:val="-4"/>
        </w:rPr>
        <w:t> </w:t>
      </w:r>
      <w:r>
        <w:rPr/>
        <w:t>à</w:t>
      </w:r>
      <w:r>
        <w:rPr>
          <w:spacing w:val="-4"/>
        </w:rPr>
        <w:t> </w:t>
      </w:r>
      <w:r>
        <w:rPr/>
        <w:t>la</w:t>
      </w:r>
      <w:r>
        <w:rPr>
          <w:spacing w:val="-5"/>
        </w:rPr>
        <w:t> </w:t>
      </w:r>
      <w:r>
        <w:rPr/>
        <w:t>fortune</w:t>
      </w:r>
      <w:r>
        <w:rPr>
          <w:spacing w:val="-6"/>
        </w:rPr>
        <w:t> </w:t>
      </w:r>
      <w:r>
        <w:rPr/>
        <w:t>des</w:t>
      </w:r>
      <w:r>
        <w:rPr>
          <w:spacing w:val="-4"/>
        </w:rPr>
        <w:t> </w:t>
      </w:r>
      <w:r>
        <w:rPr/>
        <w:t>fondations</w:t>
      </w:r>
      <w:r>
        <w:rPr>
          <w:spacing w:val="-4"/>
        </w:rPr>
        <w:t> </w:t>
      </w:r>
      <w:r>
        <w:rPr/>
        <w:t>ne</w:t>
      </w:r>
      <w:r>
        <w:rPr>
          <w:spacing w:val="-4"/>
        </w:rPr>
        <w:t> </w:t>
      </w:r>
      <w:r>
        <w:rPr/>
        <w:t>font</w:t>
      </w:r>
      <w:r>
        <w:rPr>
          <w:spacing w:val="-4"/>
        </w:rPr>
        <w:t> </w:t>
      </w:r>
      <w:r>
        <w:rPr/>
        <w:t>pas</w:t>
      </w:r>
      <w:r>
        <w:rPr>
          <w:spacing w:val="-4"/>
        </w:rPr>
        <w:t> </w:t>
      </w:r>
      <w:r>
        <w:rPr/>
        <w:t>partie</w:t>
      </w:r>
      <w:r>
        <w:rPr>
          <w:spacing w:val="-5"/>
        </w:rPr>
        <w:t> </w:t>
      </w:r>
      <w:r>
        <w:rPr/>
        <w:t>du</w:t>
      </w:r>
      <w:r>
        <w:rPr>
          <w:spacing w:val="-6"/>
        </w:rPr>
        <w:t> </w:t>
      </w:r>
      <w:r>
        <w:rPr/>
        <w:t>bénéfice</w:t>
      </w:r>
      <w:r>
        <w:rPr>
          <w:spacing w:val="-4"/>
        </w:rPr>
        <w:t> </w:t>
      </w:r>
      <w:r>
        <w:rPr>
          <w:spacing w:val="-2"/>
        </w:rPr>
        <w:t>imposable.</w:t>
      </w:r>
    </w:p>
    <w:p>
      <w:pPr>
        <w:pStyle w:val="Heading7"/>
        <w:spacing w:before="202"/>
        <w:ind w:left="851" w:right="138"/>
        <w:jc w:val="both"/>
      </w:pPr>
      <w:r>
        <w:rPr/>
        <w:t>Les placements collectifs qui possèdent des immeubles en propriété directe sont soumis à l’impôt sur le bénéfice pour le rendement de ces immeubles.</w:t>
      </w:r>
    </w:p>
    <w:p>
      <w:pPr>
        <w:pStyle w:val="BodyText"/>
        <w:spacing w:before="138"/>
        <w:rPr>
          <w:sz w:val="20"/>
        </w:rPr>
      </w:pPr>
    </w:p>
    <w:p>
      <w:pPr>
        <w:pStyle w:val="Heading6"/>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30"/>
        <w:rPr>
          <w:rFonts w:ascii="Arial"/>
          <w:b/>
          <w:sz w:val="20"/>
        </w:rPr>
      </w:pPr>
    </w:p>
    <w:p>
      <w:pPr>
        <w:pStyle w:val="Heading7"/>
        <w:spacing w:before="1"/>
      </w:pPr>
      <w:r>
        <w:rPr>
          <w:color w:val="950000"/>
          <w:spacing w:val="-4"/>
        </w:rPr>
        <w:t>Dons</w:t>
      </w:r>
    </w:p>
    <w:p>
      <w:pPr>
        <w:pStyle w:val="Heading8"/>
        <w:spacing w:before="93"/>
      </w:pPr>
      <w:r>
        <w:rPr/>
        <w:t>Art.</w:t>
      </w:r>
      <w:r>
        <w:rPr>
          <w:spacing w:val="-4"/>
        </w:rPr>
        <w:t> </w:t>
      </w:r>
      <w:r>
        <w:rPr/>
        <w:t>85,</w:t>
      </w:r>
      <w:r>
        <w:rPr>
          <w:spacing w:val="-1"/>
        </w:rPr>
        <w:t> </w:t>
      </w:r>
      <w:r>
        <w:rPr/>
        <w:t>let.</w:t>
      </w:r>
      <w:r>
        <w:rPr>
          <w:spacing w:val="-1"/>
        </w:rPr>
        <w:t> </w:t>
      </w:r>
      <w:r>
        <w:rPr/>
        <w:t>c </w:t>
      </w:r>
      <w:r>
        <w:rPr>
          <w:spacing w:val="-2"/>
        </w:rPr>
        <w:t>LCdir</w:t>
      </w:r>
    </w:p>
    <w:p>
      <w:pPr>
        <w:pStyle w:val="BodyText"/>
        <w:spacing w:before="60"/>
        <w:ind w:left="1134"/>
        <w:jc w:val="both"/>
      </w:pPr>
      <w:r>
        <w:rPr/>
        <w:t>Les</w:t>
      </w:r>
      <w:r>
        <w:rPr>
          <w:spacing w:val="-5"/>
        </w:rPr>
        <w:t> </w:t>
      </w:r>
      <w:r>
        <w:rPr/>
        <w:t>charges</w:t>
      </w:r>
      <w:r>
        <w:rPr>
          <w:spacing w:val="-4"/>
        </w:rPr>
        <w:t> </w:t>
      </w:r>
      <w:r>
        <w:rPr/>
        <w:t>justifiées</w:t>
      </w:r>
      <w:r>
        <w:rPr>
          <w:spacing w:val="-2"/>
        </w:rPr>
        <w:t> </w:t>
      </w:r>
      <w:r>
        <w:rPr/>
        <w:t>par</w:t>
      </w:r>
      <w:r>
        <w:rPr>
          <w:spacing w:val="-5"/>
        </w:rPr>
        <w:t> </w:t>
      </w:r>
      <w:r>
        <w:rPr/>
        <w:t>l'usage</w:t>
      </w:r>
      <w:r>
        <w:rPr>
          <w:spacing w:val="-2"/>
        </w:rPr>
        <w:t> </w:t>
      </w:r>
      <w:r>
        <w:rPr/>
        <w:t>commercial</w:t>
      </w:r>
      <w:r>
        <w:rPr>
          <w:spacing w:val="-5"/>
        </w:rPr>
        <w:t> </w:t>
      </w:r>
      <w:r>
        <w:rPr/>
        <w:t>comprennent</w:t>
      </w:r>
      <w:r>
        <w:rPr>
          <w:spacing w:val="-3"/>
        </w:rPr>
        <w:t> </w:t>
      </w:r>
      <w:r>
        <w:rPr/>
        <w:t>également</w:t>
      </w:r>
      <w:r>
        <w:rPr>
          <w:spacing w:val="-5"/>
        </w:rPr>
        <w:t> </w:t>
      </w:r>
      <w:r>
        <w:rPr>
          <w:spacing w:val="-10"/>
        </w:rPr>
        <w:t>:</w:t>
      </w:r>
    </w:p>
    <w:p>
      <w:pPr>
        <w:pStyle w:val="BodyText"/>
        <w:spacing w:before="40"/>
        <w:ind w:left="1559" w:right="703" w:hanging="425"/>
        <w:jc w:val="both"/>
      </w:pPr>
      <w:r>
        <w:rPr/>
        <w:t>c)</w:t>
      </w:r>
      <w:r>
        <w:rPr>
          <w:spacing w:val="40"/>
        </w:rPr>
        <w:t>  </w:t>
      </w:r>
      <w:r>
        <w:rPr/>
        <w:t>les</w:t>
      </w:r>
      <w:r>
        <w:rPr>
          <w:spacing w:val="-6"/>
        </w:rPr>
        <w:t> </w:t>
      </w:r>
      <w:r>
        <w:rPr/>
        <w:t>dons</w:t>
      </w:r>
      <w:r>
        <w:rPr>
          <w:spacing w:val="-6"/>
        </w:rPr>
        <w:t> </w:t>
      </w:r>
      <w:r>
        <w:rPr/>
        <w:t>en</w:t>
      </w:r>
      <w:r>
        <w:rPr>
          <w:spacing w:val="-6"/>
        </w:rPr>
        <w:t> </w:t>
      </w:r>
      <w:r>
        <w:rPr/>
        <w:t>espèces</w:t>
      </w:r>
      <w:r>
        <w:rPr>
          <w:spacing w:val="-3"/>
        </w:rPr>
        <w:t> </w:t>
      </w:r>
      <w:r>
        <w:rPr/>
        <w:t>et</w:t>
      </w:r>
      <w:r>
        <w:rPr>
          <w:spacing w:val="-7"/>
        </w:rPr>
        <w:t> </w:t>
      </w:r>
      <w:r>
        <w:rPr/>
        <w:t>sous</w:t>
      </w:r>
      <w:r>
        <w:rPr>
          <w:spacing w:val="-6"/>
        </w:rPr>
        <w:t> </w:t>
      </w:r>
      <w:r>
        <w:rPr/>
        <w:t>forme</w:t>
      </w:r>
      <w:r>
        <w:rPr>
          <w:spacing w:val="-6"/>
        </w:rPr>
        <w:t> </w:t>
      </w:r>
      <w:r>
        <w:rPr/>
        <w:t>d’autres</w:t>
      </w:r>
      <w:r>
        <w:rPr>
          <w:spacing w:val="-6"/>
        </w:rPr>
        <w:t> </w:t>
      </w:r>
      <w:r>
        <w:rPr/>
        <w:t>valeurs</w:t>
      </w:r>
      <w:r>
        <w:rPr>
          <w:spacing w:val="-6"/>
        </w:rPr>
        <w:t> </w:t>
      </w:r>
      <w:r>
        <w:rPr/>
        <w:t>patrimoniales,</w:t>
      </w:r>
      <w:r>
        <w:rPr>
          <w:spacing w:val="-7"/>
        </w:rPr>
        <w:t> </w:t>
      </w:r>
      <w:r>
        <w:rPr/>
        <w:t>jusqu’à</w:t>
      </w:r>
      <w:r>
        <w:rPr>
          <w:spacing w:val="-6"/>
        </w:rPr>
        <w:t> </w:t>
      </w:r>
      <w:r>
        <w:rPr/>
        <w:t>concurrence</w:t>
      </w:r>
      <w:r>
        <w:rPr>
          <w:spacing w:val="-6"/>
        </w:rPr>
        <w:t> </w:t>
      </w:r>
      <w:r>
        <w:rPr/>
        <w:t>de</w:t>
      </w:r>
      <w:r>
        <w:rPr>
          <w:spacing w:val="-6"/>
        </w:rPr>
        <w:t> </w:t>
      </w:r>
      <w:r>
        <w:rPr/>
        <w:t>10%</w:t>
      </w:r>
      <w:r>
        <w:rPr>
          <w:spacing w:val="-6"/>
        </w:rPr>
        <w:t> </w:t>
      </w:r>
      <w:r>
        <w:rPr/>
        <w:t>du bénéfice net, en faveur de personnes morales qui ont leur siège en Suisse et sont exonérées de l’impôt</w:t>
      </w:r>
      <w:r>
        <w:rPr>
          <w:spacing w:val="-13"/>
        </w:rPr>
        <w:t> </w:t>
      </w:r>
      <w:r>
        <w:rPr/>
        <w:t>en</w:t>
      </w:r>
      <w:r>
        <w:rPr>
          <w:spacing w:val="-12"/>
        </w:rPr>
        <w:t> </w:t>
      </w:r>
      <w:r>
        <w:rPr/>
        <w:t>raison</w:t>
      </w:r>
      <w:r>
        <w:rPr>
          <w:spacing w:val="-10"/>
        </w:rPr>
        <w:t> </w:t>
      </w:r>
      <w:r>
        <w:rPr/>
        <w:t>de</w:t>
      </w:r>
      <w:r>
        <w:rPr>
          <w:spacing w:val="-13"/>
        </w:rPr>
        <w:t> </w:t>
      </w:r>
      <w:r>
        <w:rPr/>
        <w:t>leurs</w:t>
      </w:r>
      <w:r>
        <w:rPr>
          <w:spacing w:val="-9"/>
        </w:rPr>
        <w:t> </w:t>
      </w:r>
      <w:r>
        <w:rPr/>
        <w:t>buts</w:t>
      </w:r>
      <w:r>
        <w:rPr>
          <w:spacing w:val="-13"/>
        </w:rPr>
        <w:t> </w:t>
      </w:r>
      <w:r>
        <w:rPr/>
        <w:t>de</w:t>
      </w:r>
      <w:r>
        <w:rPr>
          <w:spacing w:val="-10"/>
        </w:rPr>
        <w:t> </w:t>
      </w:r>
      <w:r>
        <w:rPr/>
        <w:t>service</w:t>
      </w:r>
      <w:r>
        <w:rPr>
          <w:spacing w:val="-11"/>
        </w:rPr>
        <w:t> </w:t>
      </w:r>
      <w:r>
        <w:rPr/>
        <w:t>public</w:t>
      </w:r>
      <w:r>
        <w:rPr>
          <w:spacing w:val="-13"/>
        </w:rPr>
        <w:t> </w:t>
      </w:r>
      <w:r>
        <w:rPr/>
        <w:t>ou</w:t>
      </w:r>
      <w:r>
        <w:rPr>
          <w:spacing w:val="-10"/>
        </w:rPr>
        <w:t> </w:t>
      </w:r>
      <w:r>
        <w:rPr/>
        <w:t>d’utilité</w:t>
      </w:r>
      <w:r>
        <w:rPr>
          <w:spacing w:val="-11"/>
        </w:rPr>
        <w:t> </w:t>
      </w:r>
      <w:r>
        <w:rPr/>
        <w:t>publique</w:t>
      </w:r>
      <w:r>
        <w:rPr>
          <w:spacing w:val="-11"/>
        </w:rPr>
        <w:t> </w:t>
      </w:r>
      <w:r>
        <w:rPr/>
        <w:t>(art.</w:t>
      </w:r>
      <w:r>
        <w:rPr>
          <w:spacing w:val="-11"/>
        </w:rPr>
        <w:t> </w:t>
      </w:r>
      <w:r>
        <w:rPr/>
        <w:t>81,</w:t>
      </w:r>
      <w:r>
        <w:rPr>
          <w:spacing w:val="-13"/>
        </w:rPr>
        <w:t> </w:t>
      </w:r>
      <w:r>
        <w:rPr/>
        <w:t>al.</w:t>
      </w:r>
      <w:r>
        <w:rPr>
          <w:spacing w:val="-12"/>
        </w:rPr>
        <w:t> </w:t>
      </w:r>
      <w:r>
        <w:rPr/>
        <w:t>1,</w:t>
      </w:r>
      <w:r>
        <w:rPr>
          <w:spacing w:val="-11"/>
        </w:rPr>
        <w:t> </w:t>
      </w:r>
      <w:r>
        <w:rPr/>
        <w:t>let.</w:t>
      </w:r>
      <w:r>
        <w:rPr>
          <w:spacing w:val="-11"/>
        </w:rPr>
        <w:t> </w:t>
      </w:r>
      <w:r>
        <w:rPr/>
        <w:t>f)</w:t>
      </w:r>
      <w:r>
        <w:rPr>
          <w:spacing w:val="-13"/>
        </w:rPr>
        <w:t> </w:t>
      </w:r>
      <w:r>
        <w:rPr/>
        <w:t>ou</w:t>
      </w:r>
      <w:r>
        <w:rPr>
          <w:spacing w:val="-10"/>
        </w:rPr>
        <w:t> </w:t>
      </w:r>
      <w:r>
        <w:rPr/>
        <w:t>en</w:t>
      </w:r>
      <w:r>
        <w:rPr>
          <w:spacing w:val="-11"/>
        </w:rPr>
        <w:t> </w:t>
      </w:r>
      <w:r>
        <w:rPr/>
        <w:t>faveur de</w:t>
      </w:r>
      <w:r>
        <w:rPr>
          <w:spacing w:val="-1"/>
        </w:rPr>
        <w:t> </w:t>
      </w:r>
      <w:r>
        <w:rPr/>
        <w:t>la</w:t>
      </w:r>
      <w:r>
        <w:rPr>
          <w:spacing w:val="-1"/>
        </w:rPr>
        <w:t> </w:t>
      </w:r>
      <w:r>
        <w:rPr/>
        <w:t>Confédération,</w:t>
      </w:r>
      <w:r>
        <w:rPr>
          <w:spacing w:val="-4"/>
        </w:rPr>
        <w:t> </w:t>
      </w:r>
      <w:r>
        <w:rPr/>
        <w:t>des</w:t>
      </w:r>
      <w:r>
        <w:rPr>
          <w:spacing w:val="-3"/>
        </w:rPr>
        <w:t> </w:t>
      </w:r>
      <w:r>
        <w:rPr/>
        <w:t>cantons,</w:t>
      </w:r>
      <w:r>
        <w:rPr>
          <w:spacing w:val="-4"/>
        </w:rPr>
        <w:t> </w:t>
      </w:r>
      <w:r>
        <w:rPr/>
        <w:t>des</w:t>
      </w:r>
      <w:r>
        <w:rPr>
          <w:spacing w:val="-3"/>
        </w:rPr>
        <w:t> </w:t>
      </w:r>
      <w:r>
        <w:rPr/>
        <w:t>communes</w:t>
      </w:r>
      <w:r>
        <w:rPr>
          <w:spacing w:val="-3"/>
        </w:rPr>
        <w:t> </w:t>
      </w:r>
      <w:r>
        <w:rPr/>
        <w:t>et</w:t>
      </w:r>
      <w:r>
        <w:rPr>
          <w:spacing w:val="-2"/>
        </w:rPr>
        <w:t> </w:t>
      </w:r>
      <w:r>
        <w:rPr/>
        <w:t>de</w:t>
      </w:r>
      <w:r>
        <w:rPr>
          <w:spacing w:val="-1"/>
        </w:rPr>
        <w:t> </w:t>
      </w:r>
      <w:r>
        <w:rPr/>
        <w:t>leurs</w:t>
      </w:r>
      <w:r>
        <w:rPr>
          <w:spacing w:val="-3"/>
        </w:rPr>
        <w:t> </w:t>
      </w:r>
      <w:r>
        <w:rPr/>
        <w:t>établissements</w:t>
      </w:r>
      <w:r>
        <w:rPr>
          <w:spacing w:val="-1"/>
        </w:rPr>
        <w:t> </w:t>
      </w:r>
      <w:r>
        <w:rPr/>
        <w:t>(art.</w:t>
      </w:r>
      <w:r>
        <w:rPr>
          <w:spacing w:val="-2"/>
        </w:rPr>
        <w:t> </w:t>
      </w:r>
      <w:r>
        <w:rPr/>
        <w:t>81,</w:t>
      </w:r>
      <w:r>
        <w:rPr>
          <w:spacing w:val="-4"/>
        </w:rPr>
        <w:t> </w:t>
      </w:r>
      <w:r>
        <w:rPr/>
        <w:t>al.</w:t>
      </w:r>
      <w:r>
        <w:rPr>
          <w:spacing w:val="-4"/>
        </w:rPr>
        <w:t> </w:t>
      </w:r>
      <w:r>
        <w:rPr/>
        <w:t>1,</w:t>
      </w:r>
      <w:r>
        <w:rPr>
          <w:spacing w:val="-4"/>
        </w:rPr>
        <w:t> </w:t>
      </w:r>
      <w:r>
        <w:rPr/>
        <w:t>let.</w:t>
      </w:r>
      <w:r>
        <w:rPr>
          <w:spacing w:val="-2"/>
        </w:rPr>
        <w:t> </w:t>
      </w:r>
      <w:r>
        <w:rPr/>
        <w:t>a</w:t>
      </w:r>
      <w:r>
        <w:rPr>
          <w:spacing w:val="-4"/>
        </w:rPr>
        <w:t> </w:t>
      </w:r>
      <w:r>
        <w:rPr/>
        <w:t>à </w:t>
      </w:r>
      <w:r>
        <w:rPr>
          <w:spacing w:val="-4"/>
        </w:rPr>
        <w:t>c);</w:t>
      </w:r>
    </w:p>
    <w:p>
      <w:pPr>
        <w:pStyle w:val="BodyText"/>
        <w:spacing w:before="154"/>
      </w:pPr>
    </w:p>
    <w:p>
      <w:pPr>
        <w:pStyle w:val="Heading7"/>
        <w:jc w:val="both"/>
      </w:pPr>
      <w:r>
        <w:rPr>
          <w:color w:val="950000"/>
        </w:rPr>
        <w:t>Déduction supplémentaire des dépenses de recherche et de développement</w:t>
      </w:r>
      <w:r>
        <w:rPr>
          <w:color w:val="950000"/>
          <w:spacing w:val="80"/>
          <w:w w:val="150"/>
        </w:rPr>
        <w:t> </w:t>
      </w:r>
      <w:r>
        <w:rPr>
          <w:color w:val="950000"/>
          <w:spacing w:val="2"/>
        </w:rPr>
        <w:drawing>
          <wp:inline distT="0" distB="0" distL="0" distR="0">
            <wp:extent cx="201235" cy="114892"/>
            <wp:effectExtent l="0" t="0" r="0" b="0"/>
            <wp:docPr id="73" name="Image 73" descr="">
              <a:hlinkClick r:id="rId85"/>
            </wp:docPr>
            <wp:cNvGraphicFramePr>
              <a:graphicFrameLocks/>
            </wp:cNvGraphicFramePr>
            <a:graphic>
              <a:graphicData uri="http://schemas.openxmlformats.org/drawingml/2006/picture">
                <pic:pic>
                  <pic:nvPicPr>
                    <pic:cNvPr id="73" name="Image 73" descr="">
                      <a:hlinkClick r:id="rId85"/>
                    </pic:cNvPr>
                    <pic:cNvPicPr/>
                  </pic:nvPicPr>
                  <pic:blipFill>
                    <a:blip r:embed="rId11" cstate="print"/>
                    <a:stretch>
                      <a:fillRect/>
                    </a:stretch>
                  </pic:blipFill>
                  <pic:spPr>
                    <a:xfrm>
                      <a:off x="0" y="0"/>
                      <a:ext cx="201235" cy="114892"/>
                    </a:xfrm>
                    <a:prstGeom prst="rect">
                      <a:avLst/>
                    </a:prstGeom>
                  </pic:spPr>
                </pic:pic>
              </a:graphicData>
            </a:graphic>
          </wp:inline>
        </w:drawing>
      </w:r>
      <w:r>
        <w:rPr>
          <w:color w:val="950000"/>
          <w:spacing w:val="2"/>
        </w:rPr>
      </w:r>
    </w:p>
    <w:p>
      <w:pPr>
        <w:pStyle w:val="Heading8"/>
      </w:pPr>
      <w:r>
        <w:rPr/>
        <w:t>Art.</w:t>
      </w:r>
      <w:r>
        <w:rPr>
          <w:spacing w:val="-3"/>
        </w:rPr>
        <w:t> </w:t>
      </w:r>
      <w:r>
        <w:rPr/>
        <w:t>85a,</w:t>
      </w:r>
      <w:r>
        <w:rPr>
          <w:spacing w:val="-1"/>
        </w:rPr>
        <w:t> </w:t>
      </w:r>
      <w:r>
        <w:rPr/>
        <w:t>al. 1</w:t>
      </w:r>
      <w:r>
        <w:rPr>
          <w:spacing w:val="-3"/>
        </w:rPr>
        <w:t> </w:t>
      </w:r>
      <w:r>
        <w:rPr/>
        <w:t>et</w:t>
      </w:r>
      <w:r>
        <w:rPr>
          <w:spacing w:val="-1"/>
        </w:rPr>
        <w:t> </w:t>
      </w:r>
      <w:r>
        <w:rPr/>
        <w:t>4</w:t>
      </w:r>
      <w:r>
        <w:rPr>
          <w:spacing w:val="1"/>
        </w:rPr>
        <w:t> </w:t>
      </w:r>
      <w:r>
        <w:rPr>
          <w:spacing w:val="-4"/>
        </w:rPr>
        <w:t>LCdir</w:t>
      </w:r>
    </w:p>
    <w:p>
      <w:pPr>
        <w:pStyle w:val="BodyText"/>
        <w:spacing w:before="56"/>
        <w:ind w:left="1134" w:right="700"/>
        <w:jc w:val="both"/>
      </w:pPr>
      <w:r>
        <w:rPr>
          <w:position w:val="6"/>
          <w:sz w:val="12"/>
        </w:rPr>
        <w:t>1</w:t>
      </w:r>
      <w:r>
        <w:rPr>
          <w:spacing w:val="36"/>
          <w:position w:val="6"/>
          <w:sz w:val="12"/>
        </w:rPr>
        <w:t> </w:t>
      </w:r>
      <w:r>
        <w:rPr/>
        <w:t>Sur demande avec justificatif fondé, le contribuable peut faire valoir la déduction des dépenses de recherche et développement engagées en Suisse, directement ou par l’intermédiaire de tiers, à raison d’un</w:t>
      </w:r>
      <w:r>
        <w:rPr>
          <w:spacing w:val="-4"/>
        </w:rPr>
        <w:t> </w:t>
      </w:r>
      <w:r>
        <w:rPr/>
        <w:t>montant</w:t>
      </w:r>
      <w:r>
        <w:rPr>
          <w:spacing w:val="-4"/>
        </w:rPr>
        <w:t> </w:t>
      </w:r>
      <w:r>
        <w:rPr/>
        <w:t>dépassant</w:t>
      </w:r>
      <w:r>
        <w:rPr>
          <w:spacing w:val="-2"/>
        </w:rPr>
        <w:t> </w:t>
      </w:r>
      <w:r>
        <w:rPr/>
        <w:t>de</w:t>
      </w:r>
      <w:r>
        <w:rPr>
          <w:spacing w:val="-1"/>
        </w:rPr>
        <w:t> </w:t>
      </w:r>
      <w:r>
        <w:rPr/>
        <w:t>50%</w:t>
      </w:r>
      <w:r>
        <w:rPr>
          <w:spacing w:val="-1"/>
        </w:rPr>
        <w:t> </w:t>
      </w:r>
      <w:r>
        <w:rPr/>
        <w:t>au</w:t>
      </w:r>
      <w:r>
        <w:rPr>
          <w:spacing w:val="-1"/>
        </w:rPr>
        <w:t> </w:t>
      </w:r>
      <w:r>
        <w:rPr/>
        <w:t>plus</w:t>
      </w:r>
      <w:r>
        <w:rPr>
          <w:spacing w:val="-3"/>
        </w:rPr>
        <w:t> </w:t>
      </w:r>
      <w:r>
        <w:rPr/>
        <w:t>les</w:t>
      </w:r>
      <w:r>
        <w:rPr>
          <w:spacing w:val="-1"/>
        </w:rPr>
        <w:t> </w:t>
      </w:r>
      <w:r>
        <w:rPr/>
        <w:t>dépenses</w:t>
      </w:r>
      <w:r>
        <w:rPr>
          <w:spacing w:val="-3"/>
        </w:rPr>
        <w:t> </w:t>
      </w:r>
      <w:r>
        <w:rPr/>
        <w:t>de</w:t>
      </w:r>
      <w:r>
        <w:rPr>
          <w:spacing w:val="-1"/>
        </w:rPr>
        <w:t> </w:t>
      </w:r>
      <w:r>
        <w:rPr/>
        <w:t>recherche</w:t>
      </w:r>
      <w:r>
        <w:rPr>
          <w:spacing w:val="-1"/>
        </w:rPr>
        <w:t> </w:t>
      </w:r>
      <w:r>
        <w:rPr/>
        <w:t>et</w:t>
      </w:r>
      <w:r>
        <w:rPr>
          <w:spacing w:val="-2"/>
        </w:rPr>
        <w:t> </w:t>
      </w:r>
      <w:r>
        <w:rPr/>
        <w:t>de</w:t>
      </w:r>
      <w:r>
        <w:rPr>
          <w:spacing w:val="-1"/>
        </w:rPr>
        <w:t> </w:t>
      </w:r>
      <w:r>
        <w:rPr/>
        <w:t>développement</w:t>
      </w:r>
      <w:r>
        <w:rPr>
          <w:spacing w:val="-2"/>
        </w:rPr>
        <w:t> </w:t>
      </w:r>
      <w:r>
        <w:rPr/>
        <w:t>justifiées</w:t>
      </w:r>
      <w:r>
        <w:rPr>
          <w:spacing w:val="-1"/>
        </w:rPr>
        <w:t> </w:t>
      </w:r>
      <w:r>
        <w:rPr/>
        <w:t>par l’usage commercial.</w:t>
      </w:r>
    </w:p>
    <w:p>
      <w:pPr>
        <w:pStyle w:val="BodyText"/>
        <w:spacing w:before="37"/>
        <w:ind w:left="1134" w:right="703"/>
        <w:jc w:val="both"/>
      </w:pPr>
      <w:r>
        <w:rPr>
          <w:position w:val="6"/>
          <w:sz w:val="12"/>
        </w:rPr>
        <w:t>4</w:t>
      </w:r>
      <w:r>
        <w:rPr>
          <w:spacing w:val="22"/>
          <w:position w:val="6"/>
          <w:sz w:val="12"/>
        </w:rPr>
        <w:t> </w:t>
      </w:r>
      <w:r>
        <w:rPr/>
        <w:t>Si le mandant des travaux de recherche et de développement est habilité à effectuer la déduction, le mandataire n’a droit à aucune déduction à ce titre.</w:t>
      </w:r>
    </w:p>
    <w:p>
      <w:pPr>
        <w:pStyle w:val="BodyText"/>
        <w:spacing w:after="0"/>
        <w:jc w:val="both"/>
        <w:sectPr>
          <w:headerReference w:type="default" r:id="rId82"/>
          <w:footerReference w:type="default" r:id="rId83"/>
          <w:pgSz w:w="11910" w:h="16840"/>
          <w:pgMar w:header="724" w:footer="687" w:top="960" w:bottom="880" w:left="850" w:right="992"/>
        </w:sectPr>
      </w:pPr>
    </w:p>
    <w:p>
      <w:pPr>
        <w:pStyle w:val="BodyText"/>
        <w:spacing w:before="211"/>
        <w:rPr>
          <w:sz w:val="20"/>
        </w:rPr>
      </w:pPr>
    </w:p>
    <w:p>
      <w:pPr>
        <w:pStyle w:val="Heading7"/>
        <w:jc w:val="both"/>
      </w:pPr>
      <w:r>
        <w:rPr>
          <w:color w:val="950000"/>
        </w:rPr>
        <w:t>Bénéfices provenant de brevets et droits comparables</w:t>
      </w:r>
      <w:r>
        <w:rPr>
          <w:color w:val="950000"/>
          <w:spacing w:val="80"/>
          <w:w w:val="150"/>
        </w:rPr>
        <w:t> </w:t>
      </w:r>
      <w:r>
        <w:rPr>
          <w:color w:val="950000"/>
          <w:spacing w:val="2"/>
        </w:rPr>
        <w:drawing>
          <wp:inline distT="0" distB="0" distL="0" distR="0">
            <wp:extent cx="201282" cy="114902"/>
            <wp:effectExtent l="0" t="0" r="0" b="0"/>
            <wp:docPr id="74" name="Image 74" descr="">
              <a:hlinkClick r:id="rId86"/>
            </wp:docPr>
            <wp:cNvGraphicFramePr>
              <a:graphicFrameLocks/>
            </wp:cNvGraphicFramePr>
            <a:graphic>
              <a:graphicData uri="http://schemas.openxmlformats.org/drawingml/2006/picture">
                <pic:pic>
                  <pic:nvPicPr>
                    <pic:cNvPr id="74" name="Image 74" descr="">
                      <a:hlinkClick r:id="rId86"/>
                    </pic:cNvPr>
                    <pic:cNvPicPr/>
                  </pic:nvPicPr>
                  <pic:blipFill>
                    <a:blip r:embed="rId11" cstate="print"/>
                    <a:stretch>
                      <a:fillRect/>
                    </a:stretch>
                  </pic:blipFill>
                  <pic:spPr>
                    <a:xfrm>
                      <a:off x="0" y="0"/>
                      <a:ext cx="201282" cy="114902"/>
                    </a:xfrm>
                    <a:prstGeom prst="rect">
                      <a:avLst/>
                    </a:prstGeom>
                  </pic:spPr>
                </pic:pic>
              </a:graphicData>
            </a:graphic>
          </wp:inline>
        </w:drawing>
      </w:r>
      <w:r>
        <w:rPr>
          <w:color w:val="950000"/>
          <w:spacing w:val="2"/>
        </w:rPr>
      </w:r>
    </w:p>
    <w:p>
      <w:pPr>
        <w:pStyle w:val="Heading8"/>
        <w:spacing w:before="94"/>
      </w:pPr>
      <w:r>
        <w:rPr/>
        <w:t>Art.</w:t>
      </w:r>
      <w:r>
        <w:rPr>
          <w:spacing w:val="-3"/>
        </w:rPr>
        <w:t> </w:t>
      </w:r>
      <w:r>
        <w:rPr/>
        <w:t>87b,</w:t>
      </w:r>
      <w:r>
        <w:rPr>
          <w:spacing w:val="-1"/>
        </w:rPr>
        <w:t> </w:t>
      </w:r>
      <w:r>
        <w:rPr/>
        <w:t>al. 1</w:t>
      </w:r>
      <w:r>
        <w:rPr>
          <w:spacing w:val="-3"/>
        </w:rPr>
        <w:t> </w:t>
      </w:r>
      <w:r>
        <w:rPr/>
        <w:t>et</w:t>
      </w:r>
      <w:r>
        <w:rPr>
          <w:spacing w:val="-1"/>
        </w:rPr>
        <w:t> </w:t>
      </w:r>
      <w:r>
        <w:rPr/>
        <w:t>3</w:t>
      </w:r>
      <w:r>
        <w:rPr>
          <w:spacing w:val="1"/>
        </w:rPr>
        <w:t> </w:t>
      </w:r>
      <w:r>
        <w:rPr>
          <w:spacing w:val="-4"/>
        </w:rPr>
        <w:t>LCdir</w:t>
      </w:r>
    </w:p>
    <w:p>
      <w:pPr>
        <w:pStyle w:val="BodyText"/>
        <w:spacing w:before="55"/>
        <w:ind w:left="1134" w:right="702"/>
        <w:jc w:val="both"/>
      </w:pPr>
      <w:r>
        <w:rPr>
          <w:position w:val="6"/>
          <w:sz w:val="12"/>
        </w:rPr>
        <w:t>1</w:t>
      </w:r>
      <w:r>
        <w:rPr>
          <w:spacing w:val="17"/>
          <w:position w:val="6"/>
          <w:sz w:val="12"/>
        </w:rPr>
        <w:t> </w:t>
      </w:r>
      <w:r>
        <w:rPr/>
        <w:t>Sur</w:t>
      </w:r>
      <w:r>
        <w:rPr>
          <w:spacing w:val="-2"/>
        </w:rPr>
        <w:t> </w:t>
      </w:r>
      <w:r>
        <w:rPr/>
        <w:t>demande,</w:t>
      </w:r>
      <w:r>
        <w:rPr>
          <w:spacing w:val="-2"/>
        </w:rPr>
        <w:t> </w:t>
      </w:r>
      <w:r>
        <w:rPr/>
        <w:t>le</w:t>
      </w:r>
      <w:r>
        <w:rPr>
          <w:spacing w:val="-1"/>
        </w:rPr>
        <w:t> </w:t>
      </w:r>
      <w:r>
        <w:rPr/>
        <w:t>bénéfice</w:t>
      </w:r>
      <w:r>
        <w:rPr>
          <w:spacing w:val="-1"/>
        </w:rPr>
        <w:t> </w:t>
      </w:r>
      <w:r>
        <w:rPr/>
        <w:t>net provenant</w:t>
      </w:r>
      <w:r>
        <w:rPr>
          <w:spacing w:val="-2"/>
        </w:rPr>
        <w:t> </w:t>
      </w:r>
      <w:r>
        <w:rPr/>
        <w:t>de</w:t>
      </w:r>
      <w:r>
        <w:rPr>
          <w:spacing w:val="-1"/>
        </w:rPr>
        <w:t> </w:t>
      </w:r>
      <w:r>
        <w:rPr/>
        <w:t>brevets et</w:t>
      </w:r>
      <w:r>
        <w:rPr>
          <w:spacing w:val="-2"/>
        </w:rPr>
        <w:t> </w:t>
      </w:r>
      <w:r>
        <w:rPr/>
        <w:t>de</w:t>
      </w:r>
      <w:r>
        <w:rPr>
          <w:spacing w:val="-1"/>
        </w:rPr>
        <w:t> </w:t>
      </w:r>
      <w:r>
        <w:rPr/>
        <w:t>droits</w:t>
      </w:r>
      <w:r>
        <w:rPr>
          <w:spacing w:val="-1"/>
        </w:rPr>
        <w:t> </w:t>
      </w:r>
      <w:r>
        <w:rPr/>
        <w:t>comparables</w:t>
      </w:r>
      <w:r>
        <w:rPr>
          <w:spacing w:val="-1"/>
        </w:rPr>
        <w:t> </w:t>
      </w:r>
      <w:r>
        <w:rPr/>
        <w:t>est</w:t>
      </w:r>
      <w:r>
        <w:rPr>
          <w:spacing w:val="-2"/>
        </w:rPr>
        <w:t> </w:t>
      </w:r>
      <w:r>
        <w:rPr/>
        <w:t>pris</w:t>
      </w:r>
      <w:r>
        <w:rPr>
          <w:spacing w:val="-1"/>
        </w:rPr>
        <w:t> </w:t>
      </w:r>
      <w:r>
        <w:rPr/>
        <w:t>en</w:t>
      </w:r>
      <w:r>
        <w:rPr>
          <w:spacing w:val="-1"/>
        </w:rPr>
        <w:t> </w:t>
      </w:r>
      <w:r>
        <w:rPr/>
        <w:t>compte dans le calcul du bénéfice net imposable en proportion des dépenses de recherche et de développement éligibles par rapport aux dépenses totales de recherche et de développement par brevet ou droit com-parable (quotient Nexus) avec une réduction de 20%.</w:t>
      </w:r>
    </w:p>
    <w:p>
      <w:pPr>
        <w:pStyle w:val="BodyText"/>
        <w:spacing w:before="35"/>
        <w:ind w:left="1134" w:right="700"/>
        <w:jc w:val="both"/>
      </w:pPr>
      <w:r>
        <w:rPr>
          <w:position w:val="6"/>
          <w:sz w:val="12"/>
        </w:rPr>
        <w:t>3</w:t>
      </w:r>
      <w:r>
        <w:rPr>
          <w:spacing w:val="27"/>
          <w:position w:val="6"/>
          <w:sz w:val="12"/>
        </w:rPr>
        <w:t> </w:t>
      </w:r>
      <w:r>
        <w:rPr/>
        <w:t>Lorsque le bénéfice net provenant de brevets et de droits comparables est imposé pour la première fois</w:t>
      </w:r>
      <w:r>
        <w:rPr>
          <w:spacing w:val="-8"/>
        </w:rPr>
        <w:t> </w:t>
      </w:r>
      <w:r>
        <w:rPr/>
        <w:t>de</w:t>
      </w:r>
      <w:r>
        <w:rPr>
          <w:spacing w:val="-9"/>
        </w:rPr>
        <w:t> </w:t>
      </w:r>
      <w:r>
        <w:rPr/>
        <w:t>façon</w:t>
      </w:r>
      <w:r>
        <w:rPr>
          <w:spacing w:val="-9"/>
        </w:rPr>
        <w:t> </w:t>
      </w:r>
      <w:r>
        <w:rPr/>
        <w:t>réduite,</w:t>
      </w:r>
      <w:r>
        <w:rPr>
          <w:spacing w:val="-9"/>
        </w:rPr>
        <w:t> </w:t>
      </w:r>
      <w:r>
        <w:rPr/>
        <w:t>les</w:t>
      </w:r>
      <w:r>
        <w:rPr>
          <w:spacing w:val="-8"/>
        </w:rPr>
        <w:t> </w:t>
      </w:r>
      <w:r>
        <w:rPr/>
        <w:t>dépenses</w:t>
      </w:r>
      <w:r>
        <w:rPr>
          <w:spacing w:val="-6"/>
        </w:rPr>
        <w:t> </w:t>
      </w:r>
      <w:r>
        <w:rPr/>
        <w:t>de</w:t>
      </w:r>
      <w:r>
        <w:rPr>
          <w:spacing w:val="-6"/>
        </w:rPr>
        <w:t> </w:t>
      </w:r>
      <w:r>
        <w:rPr/>
        <w:t>recherche</w:t>
      </w:r>
      <w:r>
        <w:rPr>
          <w:spacing w:val="-6"/>
        </w:rPr>
        <w:t> </w:t>
      </w:r>
      <w:r>
        <w:rPr/>
        <w:t>et</w:t>
      </w:r>
      <w:r>
        <w:rPr>
          <w:spacing w:val="-7"/>
        </w:rPr>
        <w:t> </w:t>
      </w:r>
      <w:r>
        <w:rPr/>
        <w:t>de</w:t>
      </w:r>
      <w:r>
        <w:rPr>
          <w:spacing w:val="-6"/>
        </w:rPr>
        <w:t> </w:t>
      </w:r>
      <w:r>
        <w:rPr/>
        <w:t>développement</w:t>
      </w:r>
      <w:r>
        <w:rPr>
          <w:spacing w:val="-9"/>
        </w:rPr>
        <w:t> </w:t>
      </w:r>
      <w:r>
        <w:rPr/>
        <w:t>qui</w:t>
      </w:r>
      <w:r>
        <w:rPr>
          <w:spacing w:val="-8"/>
        </w:rPr>
        <w:t> </w:t>
      </w:r>
      <w:r>
        <w:rPr/>
        <w:t>ont</w:t>
      </w:r>
      <w:r>
        <w:rPr>
          <w:spacing w:val="-9"/>
        </w:rPr>
        <w:t> </w:t>
      </w:r>
      <w:r>
        <w:rPr/>
        <w:t>déjà</w:t>
      </w:r>
      <w:r>
        <w:rPr>
          <w:spacing w:val="-9"/>
        </w:rPr>
        <w:t> </w:t>
      </w:r>
      <w:r>
        <w:rPr/>
        <w:t>été</w:t>
      </w:r>
      <w:r>
        <w:rPr>
          <w:spacing w:val="-9"/>
        </w:rPr>
        <w:t> </w:t>
      </w:r>
      <w:r>
        <w:rPr/>
        <w:t>prises</w:t>
      </w:r>
      <w:r>
        <w:rPr>
          <w:spacing w:val="-8"/>
        </w:rPr>
        <w:t> </w:t>
      </w:r>
      <w:r>
        <w:rPr/>
        <w:t>en</w:t>
      </w:r>
      <w:r>
        <w:rPr>
          <w:spacing w:val="-9"/>
        </w:rPr>
        <w:t> </w:t>
      </w:r>
      <w:r>
        <w:rPr/>
        <w:t>compte lors</w:t>
      </w:r>
      <w:r>
        <w:rPr>
          <w:spacing w:val="-1"/>
        </w:rPr>
        <w:t> </w:t>
      </w:r>
      <w:r>
        <w:rPr/>
        <w:t>de</w:t>
      </w:r>
      <w:r>
        <w:rPr>
          <w:spacing w:val="-1"/>
        </w:rPr>
        <w:t> </w:t>
      </w:r>
      <w:r>
        <w:rPr/>
        <w:t>périodes</w:t>
      </w:r>
      <w:r>
        <w:rPr>
          <w:spacing w:val="-1"/>
        </w:rPr>
        <w:t> </w:t>
      </w:r>
      <w:r>
        <w:rPr/>
        <w:t>fiscales</w:t>
      </w:r>
      <w:r>
        <w:rPr>
          <w:spacing w:val="-1"/>
        </w:rPr>
        <w:t> </w:t>
      </w:r>
      <w:r>
        <w:rPr/>
        <w:t>antérieures,</w:t>
      </w:r>
      <w:r>
        <w:rPr>
          <w:spacing w:val="-2"/>
        </w:rPr>
        <w:t> </w:t>
      </w:r>
      <w:r>
        <w:rPr/>
        <w:t>ainsi</w:t>
      </w:r>
      <w:r>
        <w:rPr>
          <w:spacing w:val="-1"/>
        </w:rPr>
        <w:t> </w:t>
      </w:r>
      <w:r>
        <w:rPr/>
        <w:t>qu’une</w:t>
      </w:r>
      <w:r>
        <w:rPr>
          <w:spacing w:val="-1"/>
        </w:rPr>
        <w:t> </w:t>
      </w:r>
      <w:r>
        <w:rPr/>
        <w:t>éventuelle</w:t>
      </w:r>
      <w:r>
        <w:rPr>
          <w:spacing w:val="-4"/>
        </w:rPr>
        <w:t> </w:t>
      </w:r>
      <w:r>
        <w:rPr/>
        <w:t>déduction</w:t>
      </w:r>
      <w:r>
        <w:rPr>
          <w:spacing w:val="-1"/>
        </w:rPr>
        <w:t> </w:t>
      </w:r>
      <w:r>
        <w:rPr/>
        <w:t>au</w:t>
      </w:r>
      <w:r>
        <w:rPr>
          <w:spacing w:val="-1"/>
        </w:rPr>
        <w:t> </w:t>
      </w:r>
      <w:r>
        <w:rPr/>
        <w:t>sens</w:t>
      </w:r>
      <w:r>
        <w:rPr>
          <w:spacing w:val="-1"/>
        </w:rPr>
        <w:t> </w:t>
      </w:r>
      <w:r>
        <w:rPr/>
        <w:t>de</w:t>
      </w:r>
      <w:r>
        <w:rPr>
          <w:spacing w:val="-1"/>
        </w:rPr>
        <w:t> </w:t>
      </w:r>
      <w:r>
        <w:rPr/>
        <w:t>l’art.</w:t>
      </w:r>
      <w:r>
        <w:rPr>
          <w:spacing w:val="-2"/>
        </w:rPr>
        <w:t> </w:t>
      </w:r>
      <w:r>
        <w:rPr/>
        <w:t>85a,</w:t>
      </w:r>
      <w:r>
        <w:rPr>
          <w:spacing w:val="-2"/>
        </w:rPr>
        <w:t> </w:t>
      </w:r>
      <w:r>
        <w:rPr/>
        <w:t>sont</w:t>
      </w:r>
      <w:r>
        <w:rPr>
          <w:spacing w:val="-2"/>
        </w:rPr>
        <w:t> </w:t>
      </w:r>
      <w:r>
        <w:rPr/>
        <w:t>ajou-tées au bénéfice net imposable. Une réserve latente imposée doit être constituée dans la mesure du montant ajouté.</w:t>
      </w:r>
    </w:p>
    <w:p>
      <w:pPr>
        <w:pStyle w:val="BodyText"/>
        <w:spacing w:before="154"/>
      </w:pPr>
    </w:p>
    <w:p>
      <w:pPr>
        <w:pStyle w:val="Heading7"/>
        <w:jc w:val="both"/>
      </w:pPr>
      <w:r>
        <w:rPr>
          <w:color w:val="950000"/>
        </w:rPr>
        <w:t>Limitation de la réduction fiscale</w:t>
      </w:r>
      <w:r>
        <w:rPr>
          <w:color w:val="950000"/>
          <w:spacing w:val="80"/>
        </w:rPr>
        <w:t> </w:t>
      </w:r>
      <w:r>
        <w:rPr>
          <w:color w:val="950000"/>
        </w:rPr>
        <w:drawing>
          <wp:inline distT="0" distB="0" distL="0" distR="0">
            <wp:extent cx="201234" cy="114886"/>
            <wp:effectExtent l="0" t="0" r="0" b="0"/>
            <wp:docPr id="75" name="Image 75" descr="">
              <a:hlinkClick r:id="rId87"/>
            </wp:docPr>
            <wp:cNvGraphicFramePr>
              <a:graphicFrameLocks/>
            </wp:cNvGraphicFramePr>
            <a:graphic>
              <a:graphicData uri="http://schemas.openxmlformats.org/drawingml/2006/picture">
                <pic:pic>
                  <pic:nvPicPr>
                    <pic:cNvPr id="75" name="Image 75" descr="">
                      <a:hlinkClick r:id="rId87"/>
                    </pic:cNvPr>
                    <pic:cNvPicPr/>
                  </pic:nvPicPr>
                  <pic:blipFill>
                    <a:blip r:embed="rId11" cstate="print"/>
                    <a:stretch>
                      <a:fillRect/>
                    </a:stretch>
                  </pic:blipFill>
                  <pic:spPr>
                    <a:xfrm>
                      <a:off x="0" y="0"/>
                      <a:ext cx="201234" cy="114886"/>
                    </a:xfrm>
                    <a:prstGeom prst="rect">
                      <a:avLst/>
                    </a:prstGeom>
                  </pic:spPr>
                </pic:pic>
              </a:graphicData>
            </a:graphic>
          </wp:inline>
        </w:drawing>
      </w:r>
      <w:r>
        <w:rPr>
          <w:color w:val="950000"/>
        </w:rPr>
      </w:r>
    </w:p>
    <w:p>
      <w:pPr>
        <w:pStyle w:val="Heading8"/>
      </w:pPr>
      <w:r>
        <w:rPr/>
        <w:t>Art.</w:t>
      </w:r>
      <w:r>
        <w:rPr>
          <w:spacing w:val="-3"/>
        </w:rPr>
        <w:t> </w:t>
      </w:r>
      <w:r>
        <w:rPr/>
        <w:t>87e </w:t>
      </w:r>
      <w:r>
        <w:rPr>
          <w:spacing w:val="-4"/>
        </w:rPr>
        <w:t>LCdir</w:t>
      </w:r>
    </w:p>
    <w:p>
      <w:pPr>
        <w:pStyle w:val="BodyText"/>
        <w:spacing w:before="56"/>
        <w:ind w:left="1134" w:right="703"/>
        <w:jc w:val="both"/>
      </w:pPr>
      <w:r>
        <w:rPr>
          <w:position w:val="6"/>
          <w:sz w:val="12"/>
        </w:rPr>
        <w:t>1</w:t>
      </w:r>
      <w:r>
        <w:rPr>
          <w:spacing w:val="30"/>
          <w:position w:val="6"/>
          <w:sz w:val="12"/>
        </w:rPr>
        <w:t> </w:t>
      </w:r>
      <w:r>
        <w:rPr/>
        <w:t>La réduction fiscale fondée sur les articles 85a et 87b, alinéas 1 et 2 ne doit pas dépasser 40% du bénéfice imposable avant compensation des pertes, à l’exclusion du rendement net des participations au sens des articles 95 et 96, et avant déduction des réductions effectuées.</w:t>
      </w:r>
    </w:p>
    <w:p>
      <w:pPr>
        <w:pStyle w:val="BodyText"/>
        <w:spacing w:before="38"/>
        <w:ind w:left="1134"/>
        <w:jc w:val="both"/>
      </w:pPr>
      <w:r>
        <w:rPr>
          <w:position w:val="6"/>
          <w:sz w:val="12"/>
        </w:rPr>
        <w:t>2</w:t>
      </w:r>
      <w:r>
        <w:rPr>
          <w:spacing w:val="14"/>
          <w:position w:val="6"/>
          <w:sz w:val="12"/>
        </w:rPr>
        <w:t> </w:t>
      </w:r>
      <w:r>
        <w:rPr/>
        <w:t>Ni</w:t>
      </w:r>
      <w:r>
        <w:rPr>
          <w:spacing w:val="-2"/>
        </w:rPr>
        <w:t> </w:t>
      </w:r>
      <w:r>
        <w:rPr/>
        <w:t>les</w:t>
      </w:r>
      <w:r>
        <w:rPr>
          <w:spacing w:val="-2"/>
        </w:rPr>
        <w:t> </w:t>
      </w:r>
      <w:r>
        <w:rPr/>
        <w:t>diverses</w:t>
      </w:r>
      <w:r>
        <w:rPr>
          <w:spacing w:val="-2"/>
        </w:rPr>
        <w:t> </w:t>
      </w:r>
      <w:r>
        <w:rPr/>
        <w:t>réductions</w:t>
      </w:r>
      <w:r>
        <w:rPr>
          <w:spacing w:val="-1"/>
        </w:rPr>
        <w:t> </w:t>
      </w:r>
      <w:r>
        <w:rPr/>
        <w:t>ni</w:t>
      </w:r>
      <w:r>
        <w:rPr>
          <w:spacing w:val="-2"/>
        </w:rPr>
        <w:t> </w:t>
      </w:r>
      <w:r>
        <w:rPr/>
        <w:t>la</w:t>
      </w:r>
      <w:r>
        <w:rPr>
          <w:spacing w:val="-2"/>
        </w:rPr>
        <w:t> </w:t>
      </w:r>
      <w:r>
        <w:rPr/>
        <w:t>réduction</w:t>
      </w:r>
      <w:r>
        <w:rPr>
          <w:spacing w:val="-2"/>
        </w:rPr>
        <w:t> </w:t>
      </w:r>
      <w:r>
        <w:rPr/>
        <w:t>fiscale</w:t>
      </w:r>
      <w:r>
        <w:rPr>
          <w:spacing w:val="-4"/>
        </w:rPr>
        <w:t> </w:t>
      </w:r>
      <w:r>
        <w:rPr/>
        <w:t>totale</w:t>
      </w:r>
      <w:r>
        <w:rPr>
          <w:spacing w:val="-5"/>
        </w:rPr>
        <w:t> </w:t>
      </w:r>
      <w:r>
        <w:rPr/>
        <w:t>ne</w:t>
      </w:r>
      <w:r>
        <w:rPr>
          <w:spacing w:val="-2"/>
        </w:rPr>
        <w:t> </w:t>
      </w:r>
      <w:r>
        <w:rPr/>
        <w:t>doivent</w:t>
      </w:r>
      <w:r>
        <w:rPr>
          <w:spacing w:val="-2"/>
        </w:rPr>
        <w:t> </w:t>
      </w:r>
      <w:r>
        <w:rPr/>
        <w:t>entraîner</w:t>
      </w:r>
      <w:r>
        <w:rPr>
          <w:spacing w:val="-3"/>
        </w:rPr>
        <w:t> </w:t>
      </w:r>
      <w:r>
        <w:rPr/>
        <w:t>de</w:t>
      </w:r>
      <w:r>
        <w:rPr>
          <w:spacing w:val="-2"/>
        </w:rPr>
        <w:t> </w:t>
      </w:r>
      <w:r>
        <w:rPr/>
        <w:t>reports</w:t>
      </w:r>
      <w:r>
        <w:rPr>
          <w:spacing w:val="-2"/>
        </w:rPr>
        <w:t> </w:t>
      </w:r>
      <w:r>
        <w:rPr/>
        <w:t>de</w:t>
      </w:r>
      <w:r>
        <w:rPr>
          <w:spacing w:val="-1"/>
        </w:rPr>
        <w:t> </w:t>
      </w:r>
      <w:r>
        <w:rPr>
          <w:spacing w:val="-2"/>
        </w:rPr>
        <w:t>pertes.</w:t>
      </w:r>
    </w:p>
    <w:p>
      <w:pPr>
        <w:pStyle w:val="BodyText"/>
        <w:spacing w:before="153"/>
      </w:pPr>
    </w:p>
    <w:p>
      <w:pPr>
        <w:pStyle w:val="Heading7"/>
        <w:jc w:val="both"/>
      </w:pPr>
      <w:r>
        <w:rPr>
          <w:color w:val="950000"/>
        </w:rPr>
        <w:t>Provision</w:t>
      </w:r>
      <w:r>
        <w:rPr>
          <w:color w:val="950000"/>
          <w:spacing w:val="-9"/>
        </w:rPr>
        <w:t> </w:t>
      </w:r>
      <w:r>
        <w:rPr>
          <w:color w:val="950000"/>
        </w:rPr>
        <w:t>pour</w:t>
      </w:r>
      <w:r>
        <w:rPr>
          <w:color w:val="950000"/>
          <w:spacing w:val="-7"/>
        </w:rPr>
        <w:t> </w:t>
      </w:r>
      <w:r>
        <w:rPr>
          <w:color w:val="950000"/>
          <w:spacing w:val="-2"/>
        </w:rPr>
        <w:t>remploi</w:t>
      </w:r>
    </w:p>
    <w:p>
      <w:pPr>
        <w:pStyle w:val="Heading8"/>
        <w:spacing w:before="93"/>
      </w:pPr>
      <w:r>
        <w:rPr/>
        <w:t>Art.</w:t>
      </w:r>
      <w:r>
        <w:rPr>
          <w:spacing w:val="-1"/>
        </w:rPr>
        <w:t> </w:t>
      </w:r>
      <w:r>
        <w:rPr/>
        <w:t>90, al.</w:t>
      </w:r>
      <w:r>
        <w:rPr>
          <w:spacing w:val="-2"/>
        </w:rPr>
        <w:t> </w:t>
      </w:r>
      <w:r>
        <w:rPr/>
        <w:t>1 et</w:t>
      </w:r>
      <w:r>
        <w:rPr>
          <w:spacing w:val="-2"/>
        </w:rPr>
        <w:t> </w:t>
      </w:r>
      <w:r>
        <w:rPr/>
        <w:t>2</w:t>
      </w:r>
      <w:r>
        <w:rPr>
          <w:spacing w:val="1"/>
        </w:rPr>
        <w:t> </w:t>
      </w:r>
      <w:r>
        <w:rPr>
          <w:spacing w:val="-4"/>
        </w:rPr>
        <w:t>LCdir</w:t>
      </w:r>
    </w:p>
    <w:p>
      <w:pPr>
        <w:pStyle w:val="BodyText"/>
        <w:spacing w:before="56"/>
        <w:ind w:left="1134" w:right="700"/>
        <w:jc w:val="both"/>
      </w:pPr>
      <w:r>
        <w:rPr>
          <w:position w:val="6"/>
          <w:sz w:val="12"/>
        </w:rPr>
        <w:t>1</w:t>
      </w:r>
      <w:r>
        <w:rPr>
          <w:spacing w:val="27"/>
          <w:position w:val="6"/>
          <w:sz w:val="12"/>
        </w:rPr>
        <w:t> </w:t>
      </w:r>
      <w:r>
        <w:rPr/>
        <w:t>Lorsque des biens immobilisés nécessaires à l’exploitation sont remplacés, les réserves latentes de ces biens peuvent être reportées sur les biens immobilisés acquis en remploi, si ces biens sont égale-ment nécessaires à l’exploitation et se trouvent en Suisse. L’imposition en cas de remplacement d’im-meubles par des biens mobiliers est réservée.</w:t>
      </w:r>
    </w:p>
    <w:p>
      <w:pPr>
        <w:pStyle w:val="BodyText"/>
        <w:spacing w:before="35"/>
        <w:ind w:left="1134" w:right="700"/>
        <w:jc w:val="both"/>
      </w:pPr>
      <w:r>
        <w:rPr>
          <w:position w:val="6"/>
          <w:sz w:val="12"/>
        </w:rPr>
        <w:t>2</w:t>
      </w:r>
      <w:r>
        <w:rPr>
          <w:spacing w:val="31"/>
          <w:position w:val="6"/>
          <w:sz w:val="12"/>
        </w:rPr>
        <w:t> </w:t>
      </w:r>
      <w:r>
        <w:rPr/>
        <w:t>Lorsque le remploi n'intervient pas pendant le même exercice, une provision correspondant aux ré-serves latentes peut être constituée. Cette provision doit être dissoute et utilisée pour l'amortissement de l'élément acquis en remploi ou portée au crédit du compte de résultats dans un délai raisonnable.</w:t>
      </w:r>
    </w:p>
    <w:p>
      <w:pPr>
        <w:pStyle w:val="BodyText"/>
        <w:spacing w:before="154"/>
      </w:pPr>
    </w:p>
    <w:p>
      <w:pPr>
        <w:pStyle w:val="Heading7"/>
        <w:spacing w:before="1"/>
        <w:jc w:val="both"/>
      </w:pPr>
      <w:r>
        <w:rPr>
          <w:color w:val="950000"/>
        </w:rPr>
        <w:t>Exonération des personnes morales poursuivant des buts idéaux</w:t>
      </w:r>
      <w:r>
        <w:rPr>
          <w:color w:val="950000"/>
          <w:spacing w:val="80"/>
        </w:rPr>
        <w:t> </w:t>
      </w:r>
      <w:r>
        <w:rPr>
          <w:color w:val="950000"/>
          <w:spacing w:val="-1"/>
        </w:rPr>
        <w:drawing>
          <wp:inline distT="0" distB="0" distL="0" distR="0">
            <wp:extent cx="201255" cy="114904"/>
            <wp:effectExtent l="0" t="0" r="0" b="0"/>
            <wp:docPr id="76" name="Image 76" descr="">
              <a:hlinkClick r:id="rId88"/>
            </wp:docPr>
            <wp:cNvGraphicFramePr>
              <a:graphicFrameLocks/>
            </wp:cNvGraphicFramePr>
            <a:graphic>
              <a:graphicData uri="http://schemas.openxmlformats.org/drawingml/2006/picture">
                <pic:pic>
                  <pic:nvPicPr>
                    <pic:cNvPr id="76" name="Image 76" descr="">
                      <a:hlinkClick r:id="rId88"/>
                    </pic:cNvPr>
                    <pic:cNvPicPr/>
                  </pic:nvPicPr>
                  <pic:blipFill>
                    <a:blip r:embed="rId11" cstate="print"/>
                    <a:stretch>
                      <a:fillRect/>
                    </a:stretch>
                  </pic:blipFill>
                  <pic:spPr>
                    <a:xfrm>
                      <a:off x="0" y="0"/>
                      <a:ext cx="201255" cy="114904"/>
                    </a:xfrm>
                    <a:prstGeom prst="rect">
                      <a:avLst/>
                    </a:prstGeom>
                  </pic:spPr>
                </pic:pic>
              </a:graphicData>
            </a:graphic>
          </wp:inline>
        </w:drawing>
      </w:r>
      <w:r>
        <w:rPr>
          <w:color w:val="950000"/>
          <w:spacing w:val="-1"/>
        </w:rPr>
      </w:r>
    </w:p>
    <w:p>
      <w:pPr>
        <w:pStyle w:val="Heading8"/>
        <w:spacing w:before="93"/>
      </w:pPr>
      <w:r>
        <w:rPr/>
        <w:t>Art.</w:t>
      </w:r>
      <w:r>
        <w:rPr>
          <w:spacing w:val="-3"/>
        </w:rPr>
        <w:t> </w:t>
      </w:r>
      <w:r>
        <w:rPr/>
        <w:t>92a </w:t>
      </w:r>
      <w:r>
        <w:rPr>
          <w:spacing w:val="-4"/>
        </w:rPr>
        <w:t>LCdir</w:t>
      </w:r>
    </w:p>
    <w:p>
      <w:pPr>
        <w:pStyle w:val="BodyText"/>
        <w:spacing w:before="55"/>
        <w:ind w:left="1134" w:right="702"/>
        <w:jc w:val="both"/>
      </w:pPr>
      <w:r>
        <w:rPr>
          <w:position w:val="6"/>
          <w:sz w:val="12"/>
        </w:rPr>
        <w:t>1</w:t>
      </w:r>
      <w:r>
        <w:rPr>
          <w:spacing w:val="22"/>
          <w:position w:val="6"/>
          <w:sz w:val="12"/>
        </w:rPr>
        <w:t> </w:t>
      </w:r>
      <w:r>
        <w:rPr/>
        <w:t>Sont exonérés de l’impôt les bénéfices des personnes morales qui poursuivent des buts idéaux pour autant qu’ils n’excèdent pas 20’000 francs et qu’ils soient affectés exclusivement et irrévocablement à ces buts.</w:t>
      </w:r>
    </w:p>
    <w:p>
      <w:pPr>
        <w:pStyle w:val="BodyText"/>
        <w:spacing w:before="153"/>
      </w:pPr>
    </w:p>
    <w:p>
      <w:pPr>
        <w:pStyle w:val="Heading3"/>
        <w:ind w:left="940"/>
      </w:pPr>
      <w:r>
        <w:rPr/>
        <w:drawing>
          <wp:anchor distT="0" distB="0" distL="0" distR="0" allowOverlap="1" layoutInCell="1" locked="0" behindDoc="0" simplePos="0" relativeHeight="15732224">
            <wp:simplePos x="0" y="0"/>
            <wp:positionH relativeFrom="page">
              <wp:posOffset>756287</wp:posOffset>
            </wp:positionH>
            <wp:positionV relativeFrom="paragraph">
              <wp:posOffset>-29627</wp:posOffset>
            </wp:positionV>
            <wp:extent cx="259077" cy="313679"/>
            <wp:effectExtent l="0" t="0" r="0" b="0"/>
            <wp:wrapNone/>
            <wp:docPr id="77" name="Image 77" descr="Simulateur fiscal cantonal">
              <a:hlinkClick r:id="rId89"/>
            </wp:docPr>
            <wp:cNvGraphicFramePr>
              <a:graphicFrameLocks/>
            </wp:cNvGraphicFramePr>
            <a:graphic>
              <a:graphicData uri="http://schemas.openxmlformats.org/drawingml/2006/picture">
                <pic:pic>
                  <pic:nvPicPr>
                    <pic:cNvPr id="77" name="Image 77" descr="Simulateur fiscal cantonal">
                      <a:hlinkClick r:id="rId89"/>
                    </pic:cNvPr>
                    <pic:cNvPicPr/>
                  </pic:nvPicPr>
                  <pic:blipFill>
                    <a:blip r:embed="rId12" cstate="print"/>
                    <a:stretch>
                      <a:fillRect/>
                    </a:stretch>
                  </pic:blipFill>
                  <pic:spPr>
                    <a:xfrm>
                      <a:off x="0" y="0"/>
                      <a:ext cx="259077" cy="313679"/>
                    </a:xfrm>
                    <a:prstGeom prst="rect">
                      <a:avLst/>
                    </a:prstGeom>
                  </pic:spPr>
                </pic:pic>
              </a:graphicData>
            </a:graphic>
          </wp:anchor>
        </w:drawing>
      </w:r>
      <w:bookmarkStart w:name="Calcul de l’impôt" w:id="49"/>
      <w:bookmarkEnd w:id="49"/>
      <w:r>
        <w:rPr>
          <w:b w:val="0"/>
        </w:rPr>
      </w:r>
      <w:bookmarkStart w:name="_bookmark21" w:id="50"/>
      <w:bookmarkEnd w:id="50"/>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940"/>
      </w:pPr>
      <w:r>
        <w:rPr/>
        <w:t>(Art.</w:t>
      </w:r>
      <w:r>
        <w:rPr>
          <w:spacing w:val="-1"/>
        </w:rPr>
        <w:t> </w:t>
      </w:r>
      <w:r>
        <w:rPr/>
        <w:t>94</w:t>
      </w:r>
      <w:r>
        <w:rPr>
          <w:spacing w:val="-2"/>
        </w:rPr>
        <w:t> </w:t>
      </w:r>
      <w:r>
        <w:rPr/>
        <w:t>à 101</w:t>
      </w:r>
      <w:r>
        <w:rPr>
          <w:spacing w:val="1"/>
        </w:rPr>
        <w:t> </w:t>
      </w:r>
      <w:r>
        <w:rPr>
          <w:spacing w:val="-2"/>
        </w:rPr>
        <w:t>LCdir)</w:t>
      </w:r>
    </w:p>
    <w:p>
      <w:pPr>
        <w:pStyle w:val="BodyText"/>
        <w:spacing w:before="155"/>
      </w:pPr>
    </w:p>
    <w:p>
      <w:pPr>
        <w:pStyle w:val="Heading7"/>
        <w:jc w:val="both"/>
      </w:pPr>
      <w:r>
        <w:rPr>
          <w:color w:val="950000"/>
        </w:rPr>
        <w:t>Sociétés de capitaux et coopératives</w:t>
      </w:r>
      <w:r>
        <w:rPr>
          <w:color w:val="950000"/>
          <w:spacing w:val="80"/>
        </w:rPr>
        <w:t> </w:t>
      </w:r>
      <w:r>
        <w:rPr>
          <w:color w:val="950000"/>
          <w:spacing w:val="3"/>
        </w:rPr>
        <w:drawing>
          <wp:inline distT="0" distB="0" distL="0" distR="0">
            <wp:extent cx="201277" cy="114894"/>
            <wp:effectExtent l="0" t="0" r="0" b="0"/>
            <wp:docPr id="78" name="Image 78" descr="">
              <a:hlinkClick r:id="rId90"/>
            </wp:docPr>
            <wp:cNvGraphicFramePr>
              <a:graphicFrameLocks/>
            </wp:cNvGraphicFramePr>
            <a:graphic>
              <a:graphicData uri="http://schemas.openxmlformats.org/drawingml/2006/picture">
                <pic:pic>
                  <pic:nvPicPr>
                    <pic:cNvPr id="78" name="Image 78" descr="">
                      <a:hlinkClick r:id="rId90"/>
                    </pic:cNvPr>
                    <pic:cNvPicPr/>
                  </pic:nvPicPr>
                  <pic:blipFill>
                    <a:blip r:embed="rId11" cstate="print"/>
                    <a:stretch>
                      <a:fillRect/>
                    </a:stretch>
                  </pic:blipFill>
                  <pic:spPr>
                    <a:xfrm>
                      <a:off x="0" y="0"/>
                      <a:ext cx="201277" cy="114894"/>
                    </a:xfrm>
                    <a:prstGeom prst="rect">
                      <a:avLst/>
                    </a:prstGeom>
                  </pic:spPr>
                </pic:pic>
              </a:graphicData>
            </a:graphic>
          </wp:inline>
        </w:drawing>
      </w:r>
      <w:r>
        <w:rPr>
          <w:color w:val="950000"/>
          <w:spacing w:val="3"/>
        </w:rPr>
      </w:r>
    </w:p>
    <w:p>
      <w:pPr>
        <w:pStyle w:val="Heading8"/>
      </w:pPr>
      <w:r>
        <w:rPr/>
        <w:t>Art.</w:t>
      </w:r>
      <w:r>
        <w:rPr>
          <w:spacing w:val="-1"/>
        </w:rPr>
        <w:t> </w:t>
      </w:r>
      <w:r>
        <w:rPr/>
        <w:t>94 </w:t>
      </w:r>
      <w:r>
        <w:rPr>
          <w:spacing w:val="-2"/>
        </w:rPr>
        <w:t>LCdir</w:t>
      </w:r>
    </w:p>
    <w:p>
      <w:pPr>
        <w:pStyle w:val="BodyText"/>
        <w:spacing w:before="56"/>
        <w:ind w:left="1134" w:right="703"/>
        <w:jc w:val="both"/>
      </w:pPr>
      <w:r>
        <w:rPr>
          <w:position w:val="6"/>
          <w:sz w:val="12"/>
        </w:rPr>
        <w:t>1</w:t>
      </w:r>
      <w:r>
        <w:rPr>
          <w:spacing w:val="-1"/>
          <w:position w:val="6"/>
          <w:sz w:val="12"/>
        </w:rPr>
        <w:t> </w:t>
      </w:r>
      <w:r>
        <w:rPr/>
        <w:t>L'impôt</w:t>
      </w:r>
      <w:r>
        <w:rPr>
          <w:spacing w:val="-2"/>
        </w:rPr>
        <w:t> </w:t>
      </w:r>
      <w:r>
        <w:rPr/>
        <w:t>sur</w:t>
      </w:r>
      <w:r>
        <w:rPr>
          <w:spacing w:val="-2"/>
        </w:rPr>
        <w:t> </w:t>
      </w:r>
      <w:r>
        <w:rPr/>
        <w:t>le</w:t>
      </w:r>
      <w:r>
        <w:rPr>
          <w:spacing w:val="-1"/>
        </w:rPr>
        <w:t> </w:t>
      </w:r>
      <w:r>
        <w:rPr/>
        <w:t>bénéfice</w:t>
      </w:r>
      <w:r>
        <w:rPr>
          <w:spacing w:val="-1"/>
        </w:rPr>
        <w:t> </w:t>
      </w:r>
      <w:r>
        <w:rPr/>
        <w:t>des</w:t>
      </w:r>
      <w:r>
        <w:rPr>
          <w:spacing w:val="-3"/>
        </w:rPr>
        <w:t> </w:t>
      </w:r>
      <w:r>
        <w:rPr/>
        <w:t>sociétés</w:t>
      </w:r>
      <w:r>
        <w:rPr>
          <w:spacing w:val="-1"/>
        </w:rPr>
        <w:t> </w:t>
      </w:r>
      <w:r>
        <w:rPr/>
        <w:t>de</w:t>
      </w:r>
      <w:r>
        <w:rPr>
          <w:spacing w:val="-1"/>
        </w:rPr>
        <w:t> </w:t>
      </w:r>
      <w:r>
        <w:rPr/>
        <w:t>capitaux</w:t>
      </w:r>
      <w:r>
        <w:rPr>
          <w:spacing w:val="-1"/>
        </w:rPr>
        <w:t> </w:t>
      </w:r>
      <w:r>
        <w:rPr/>
        <w:t>et</w:t>
      </w:r>
      <w:r>
        <w:rPr>
          <w:spacing w:val="-2"/>
        </w:rPr>
        <w:t> </w:t>
      </w:r>
      <w:r>
        <w:rPr/>
        <w:t>des</w:t>
      </w:r>
      <w:r>
        <w:rPr>
          <w:spacing w:val="-1"/>
        </w:rPr>
        <w:t> </w:t>
      </w:r>
      <w:r>
        <w:rPr/>
        <w:t>sociétés</w:t>
      </w:r>
      <w:r>
        <w:rPr>
          <w:spacing w:val="-1"/>
        </w:rPr>
        <w:t> </w:t>
      </w:r>
      <w:r>
        <w:rPr/>
        <w:t>coopératives</w:t>
      </w:r>
      <w:r>
        <w:rPr>
          <w:spacing w:val="-1"/>
        </w:rPr>
        <w:t> </w:t>
      </w:r>
      <w:r>
        <w:rPr/>
        <w:t>est</w:t>
      </w:r>
      <w:r>
        <w:rPr>
          <w:spacing w:val="-2"/>
        </w:rPr>
        <w:t> </w:t>
      </w:r>
      <w:r>
        <w:rPr/>
        <w:t>déterminé</w:t>
      </w:r>
      <w:r>
        <w:rPr>
          <w:spacing w:val="-1"/>
        </w:rPr>
        <w:t> </w:t>
      </w:r>
      <w:r>
        <w:rPr/>
        <w:t>d'après</w:t>
      </w:r>
      <w:r>
        <w:rPr>
          <w:spacing w:val="-1"/>
        </w:rPr>
        <w:t> </w:t>
      </w:r>
      <w:r>
        <w:rPr/>
        <w:t>le système progressif par catégories, selon le barème suivant :</w:t>
      </w:r>
    </w:p>
    <w:p>
      <w:pPr>
        <w:pStyle w:val="BodyText"/>
        <w:spacing w:before="62"/>
        <w:rPr>
          <w:sz w:val="20"/>
        </w:rPr>
      </w:pPr>
    </w:p>
    <w:tbl>
      <w:tblPr>
        <w:tblW w:w="0" w:type="auto"/>
        <w:jc w:val="left"/>
        <w:tblInd w:w="1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6"/>
        <w:gridCol w:w="768"/>
        <w:gridCol w:w="1447"/>
        <w:gridCol w:w="1012"/>
        <w:gridCol w:w="1482"/>
        <w:gridCol w:w="1190"/>
      </w:tblGrid>
      <w:tr>
        <w:trPr>
          <w:trHeight w:val="885" w:hRule="atLeast"/>
        </w:trPr>
        <w:tc>
          <w:tcPr>
            <w:tcW w:w="2084" w:type="dxa"/>
            <w:gridSpan w:val="2"/>
          </w:tcPr>
          <w:p>
            <w:pPr>
              <w:pStyle w:val="TableParagraph"/>
              <w:spacing w:line="240" w:lineRule="auto" w:before="115"/>
              <w:jc w:val="left"/>
              <w:rPr>
                <w:sz w:val="18"/>
              </w:rPr>
            </w:pPr>
          </w:p>
          <w:p>
            <w:pPr>
              <w:pStyle w:val="TableParagraph"/>
              <w:spacing w:line="240" w:lineRule="auto" w:before="1"/>
              <w:ind w:left="1096"/>
              <w:jc w:val="left"/>
              <w:rPr>
                <w:rFonts w:ascii="Arial" w:hAnsi="Arial"/>
                <w:i/>
                <w:sz w:val="18"/>
              </w:rPr>
            </w:pPr>
            <w:r>
              <w:rPr>
                <w:rFonts w:ascii="Arial" w:hAnsi="Arial"/>
                <w:i/>
                <w:spacing w:val="-2"/>
                <w:sz w:val="18"/>
              </w:rPr>
              <w:t>Catégories</w:t>
            </w:r>
          </w:p>
        </w:tc>
        <w:tc>
          <w:tcPr>
            <w:tcW w:w="1447" w:type="dxa"/>
          </w:tcPr>
          <w:p>
            <w:pPr>
              <w:pStyle w:val="TableParagraph"/>
              <w:spacing w:line="240" w:lineRule="auto"/>
              <w:jc w:val="left"/>
              <w:rPr>
                <w:rFonts w:ascii="Times New Roman"/>
                <w:sz w:val="18"/>
              </w:rPr>
            </w:pPr>
          </w:p>
        </w:tc>
        <w:tc>
          <w:tcPr>
            <w:tcW w:w="1012" w:type="dxa"/>
          </w:tcPr>
          <w:p>
            <w:pPr>
              <w:pStyle w:val="TableParagraph"/>
              <w:spacing w:line="240" w:lineRule="auto"/>
              <w:ind w:left="83" w:right="183" w:firstLine="43"/>
              <w:jc w:val="both"/>
              <w:rPr>
                <w:rFonts w:ascii="Arial" w:hAnsi="Arial"/>
                <w:i/>
                <w:sz w:val="18"/>
              </w:rPr>
            </w:pPr>
            <w:r>
              <w:rPr>
                <w:rFonts w:ascii="Arial" w:hAnsi="Arial"/>
                <w:i/>
                <w:sz w:val="18"/>
              </w:rPr>
              <w:t>Taux de </w:t>
            </w:r>
            <w:r>
              <w:rPr>
                <w:rFonts w:ascii="Arial" w:hAnsi="Arial"/>
                <w:i/>
                <w:spacing w:val="-2"/>
                <w:sz w:val="18"/>
              </w:rPr>
              <w:t>chaque catégorie</w:t>
            </w:r>
          </w:p>
        </w:tc>
        <w:tc>
          <w:tcPr>
            <w:tcW w:w="1482" w:type="dxa"/>
          </w:tcPr>
          <w:p>
            <w:pPr>
              <w:pStyle w:val="TableParagraph"/>
              <w:spacing w:line="240" w:lineRule="auto"/>
              <w:ind w:left="182" w:right="114" w:hanging="3"/>
              <w:jc w:val="center"/>
              <w:rPr>
                <w:rFonts w:ascii="Arial" w:hAnsi="Arial"/>
                <w:i/>
                <w:sz w:val="18"/>
              </w:rPr>
            </w:pPr>
            <w:r>
              <w:rPr>
                <w:rFonts w:ascii="Arial" w:hAnsi="Arial"/>
                <w:i/>
                <w:sz w:val="18"/>
              </w:rPr>
              <w:t>Impôt dû pour le gain maxi-mal</w:t>
            </w:r>
            <w:r>
              <w:rPr>
                <w:rFonts w:ascii="Arial" w:hAnsi="Arial"/>
                <w:i/>
                <w:spacing w:val="-12"/>
                <w:sz w:val="18"/>
              </w:rPr>
              <w:t> </w:t>
            </w:r>
            <w:r>
              <w:rPr>
                <w:rFonts w:ascii="Arial" w:hAnsi="Arial"/>
                <w:i/>
                <w:sz w:val="18"/>
              </w:rPr>
              <w:t>de</w:t>
            </w:r>
            <w:r>
              <w:rPr>
                <w:rFonts w:ascii="Arial" w:hAnsi="Arial"/>
                <w:i/>
                <w:spacing w:val="-12"/>
                <w:sz w:val="18"/>
              </w:rPr>
              <w:t> </w:t>
            </w:r>
            <w:r>
              <w:rPr>
                <w:rFonts w:ascii="Arial" w:hAnsi="Arial"/>
                <w:i/>
                <w:sz w:val="18"/>
              </w:rPr>
              <w:t>la</w:t>
            </w:r>
            <w:r>
              <w:rPr>
                <w:rFonts w:ascii="Arial" w:hAnsi="Arial"/>
                <w:i/>
                <w:spacing w:val="-12"/>
                <w:sz w:val="18"/>
              </w:rPr>
              <w:t> </w:t>
            </w:r>
            <w:r>
              <w:rPr>
                <w:rFonts w:ascii="Arial" w:hAnsi="Arial"/>
                <w:i/>
                <w:sz w:val="18"/>
              </w:rPr>
              <w:t>caté-</w:t>
            </w:r>
            <w:r>
              <w:rPr>
                <w:rFonts w:ascii="Arial" w:hAnsi="Arial"/>
                <w:i/>
                <w:spacing w:val="-4"/>
                <w:sz w:val="18"/>
              </w:rPr>
              <w:t>gorie</w:t>
            </w:r>
          </w:p>
        </w:tc>
        <w:tc>
          <w:tcPr>
            <w:tcW w:w="1190" w:type="dxa"/>
          </w:tcPr>
          <w:p>
            <w:pPr>
              <w:pStyle w:val="TableParagraph"/>
              <w:spacing w:line="240" w:lineRule="auto"/>
              <w:ind w:left="106" w:right="50" w:firstLine="14"/>
              <w:jc w:val="both"/>
              <w:rPr>
                <w:rFonts w:ascii="Arial" w:hAnsi="Arial"/>
                <w:i/>
                <w:sz w:val="18"/>
              </w:rPr>
            </w:pPr>
            <w:r>
              <w:rPr>
                <w:rFonts w:ascii="Arial" w:hAnsi="Arial"/>
                <w:i/>
                <w:sz w:val="18"/>
              </w:rPr>
              <w:t>Taux</w:t>
            </w:r>
            <w:r>
              <w:rPr>
                <w:rFonts w:ascii="Arial" w:hAnsi="Arial"/>
                <w:i/>
                <w:spacing w:val="-10"/>
                <w:sz w:val="18"/>
              </w:rPr>
              <w:t> </w:t>
            </w:r>
            <w:r>
              <w:rPr>
                <w:rFonts w:ascii="Arial" w:hAnsi="Arial"/>
                <w:i/>
                <w:sz w:val="18"/>
              </w:rPr>
              <w:t>réel</w:t>
            </w:r>
            <w:r>
              <w:rPr>
                <w:rFonts w:ascii="Arial" w:hAnsi="Arial"/>
                <w:i/>
                <w:spacing w:val="-12"/>
                <w:sz w:val="18"/>
              </w:rPr>
              <w:t> </w:t>
            </w:r>
            <w:r>
              <w:rPr>
                <w:rFonts w:ascii="Arial" w:hAnsi="Arial"/>
                <w:i/>
                <w:sz w:val="18"/>
              </w:rPr>
              <w:t>du maximum</w:t>
            </w:r>
            <w:r>
              <w:rPr>
                <w:rFonts w:ascii="Arial" w:hAnsi="Arial"/>
                <w:i/>
                <w:spacing w:val="-13"/>
                <w:sz w:val="18"/>
              </w:rPr>
              <w:t> </w:t>
            </w:r>
            <w:r>
              <w:rPr>
                <w:rFonts w:ascii="Arial" w:hAnsi="Arial"/>
                <w:i/>
                <w:sz w:val="18"/>
              </w:rPr>
              <w:t>de la catégorie</w:t>
            </w:r>
          </w:p>
        </w:tc>
      </w:tr>
      <w:tr>
        <w:trPr>
          <w:trHeight w:val="327" w:hRule="atLeast"/>
        </w:trPr>
        <w:tc>
          <w:tcPr>
            <w:tcW w:w="1316" w:type="dxa"/>
          </w:tcPr>
          <w:p>
            <w:pPr>
              <w:pStyle w:val="TableParagraph"/>
              <w:spacing w:line="240" w:lineRule="auto" w:before="56"/>
              <w:ind w:left="347"/>
              <w:jc w:val="left"/>
              <w:rPr>
                <w:rFonts w:ascii="Arial"/>
                <w:i/>
                <w:sz w:val="18"/>
              </w:rPr>
            </w:pPr>
            <w:r>
              <w:rPr>
                <w:rFonts w:ascii="Arial"/>
                <w:i/>
                <w:spacing w:val="-5"/>
                <w:sz w:val="18"/>
              </w:rPr>
              <w:t>Fr.</w:t>
            </w:r>
          </w:p>
        </w:tc>
        <w:tc>
          <w:tcPr>
            <w:tcW w:w="768" w:type="dxa"/>
          </w:tcPr>
          <w:p>
            <w:pPr>
              <w:pStyle w:val="TableParagraph"/>
              <w:spacing w:line="240" w:lineRule="auto"/>
              <w:jc w:val="left"/>
              <w:rPr>
                <w:rFonts w:ascii="Times New Roman"/>
                <w:sz w:val="18"/>
              </w:rPr>
            </w:pPr>
          </w:p>
        </w:tc>
        <w:tc>
          <w:tcPr>
            <w:tcW w:w="1447" w:type="dxa"/>
          </w:tcPr>
          <w:p>
            <w:pPr>
              <w:pStyle w:val="TableParagraph"/>
              <w:spacing w:line="240" w:lineRule="auto" w:before="56"/>
              <w:ind w:left="457"/>
              <w:jc w:val="left"/>
              <w:rPr>
                <w:rFonts w:ascii="Arial"/>
                <w:i/>
                <w:sz w:val="18"/>
              </w:rPr>
            </w:pPr>
            <w:r>
              <w:rPr>
                <w:rFonts w:ascii="Arial"/>
                <w:i/>
                <w:spacing w:val="-5"/>
                <w:sz w:val="18"/>
              </w:rPr>
              <w:t>Fr.</w:t>
            </w:r>
          </w:p>
        </w:tc>
        <w:tc>
          <w:tcPr>
            <w:tcW w:w="1012" w:type="dxa"/>
          </w:tcPr>
          <w:p>
            <w:pPr>
              <w:pStyle w:val="TableParagraph"/>
              <w:spacing w:line="240" w:lineRule="auto" w:before="56"/>
              <w:ind w:right="103"/>
              <w:jc w:val="center"/>
              <w:rPr>
                <w:rFonts w:ascii="Arial"/>
                <w:i/>
                <w:sz w:val="18"/>
              </w:rPr>
            </w:pPr>
            <w:r>
              <w:rPr>
                <w:rFonts w:ascii="Arial"/>
                <w:i/>
                <w:spacing w:val="-10"/>
                <w:sz w:val="18"/>
              </w:rPr>
              <w:t>%</w:t>
            </w:r>
          </w:p>
        </w:tc>
        <w:tc>
          <w:tcPr>
            <w:tcW w:w="1482" w:type="dxa"/>
          </w:tcPr>
          <w:p>
            <w:pPr>
              <w:pStyle w:val="TableParagraph"/>
              <w:spacing w:line="240" w:lineRule="auto" w:before="56"/>
              <w:ind w:left="62"/>
              <w:jc w:val="center"/>
              <w:rPr>
                <w:rFonts w:ascii="Arial"/>
                <w:i/>
                <w:sz w:val="18"/>
              </w:rPr>
            </w:pPr>
            <w:r>
              <w:rPr>
                <w:rFonts w:ascii="Arial"/>
                <w:i/>
                <w:spacing w:val="-5"/>
                <w:sz w:val="18"/>
              </w:rPr>
              <w:t>Fr.</w:t>
            </w:r>
          </w:p>
        </w:tc>
        <w:tc>
          <w:tcPr>
            <w:tcW w:w="1190" w:type="dxa"/>
          </w:tcPr>
          <w:p>
            <w:pPr>
              <w:pStyle w:val="TableParagraph"/>
              <w:spacing w:line="240" w:lineRule="auto" w:before="56"/>
              <w:ind w:left="56"/>
              <w:jc w:val="center"/>
              <w:rPr>
                <w:rFonts w:ascii="Arial"/>
                <w:i/>
                <w:sz w:val="18"/>
              </w:rPr>
            </w:pPr>
            <w:r>
              <w:rPr>
                <w:rFonts w:ascii="Arial"/>
                <w:i/>
                <w:spacing w:val="-10"/>
                <w:sz w:val="18"/>
              </w:rPr>
              <w:t>%</w:t>
            </w:r>
          </w:p>
        </w:tc>
      </w:tr>
      <w:tr>
        <w:trPr>
          <w:trHeight w:val="267" w:hRule="atLeast"/>
        </w:trPr>
        <w:tc>
          <w:tcPr>
            <w:tcW w:w="1316" w:type="dxa"/>
          </w:tcPr>
          <w:p>
            <w:pPr>
              <w:pStyle w:val="TableParagraph"/>
              <w:spacing w:line="190" w:lineRule="exact" w:before="58"/>
              <w:ind w:right="211"/>
              <w:rPr>
                <w:sz w:val="18"/>
              </w:rPr>
            </w:pPr>
            <w:r>
              <w:rPr>
                <w:sz w:val="18"/>
              </w:rPr>
              <w:t>0.–</w:t>
            </w:r>
          </w:p>
        </w:tc>
        <w:tc>
          <w:tcPr>
            <w:tcW w:w="768" w:type="dxa"/>
          </w:tcPr>
          <w:p>
            <w:pPr>
              <w:pStyle w:val="TableParagraph"/>
              <w:spacing w:line="190" w:lineRule="exact" w:before="58"/>
              <w:ind w:left="212"/>
              <w:jc w:val="left"/>
              <w:rPr>
                <w:sz w:val="18"/>
              </w:rPr>
            </w:pPr>
            <w:r>
              <w:rPr>
                <w:spacing w:val="-10"/>
                <w:sz w:val="18"/>
              </w:rPr>
              <w:t>à</w:t>
            </w:r>
          </w:p>
        </w:tc>
        <w:tc>
          <w:tcPr>
            <w:tcW w:w="1447" w:type="dxa"/>
          </w:tcPr>
          <w:p>
            <w:pPr>
              <w:pStyle w:val="TableParagraph"/>
              <w:spacing w:line="190" w:lineRule="exact" w:before="58"/>
              <w:ind w:right="278"/>
              <w:rPr>
                <w:sz w:val="18"/>
              </w:rPr>
            </w:pPr>
            <w:r>
              <w:rPr>
                <w:sz w:val="18"/>
              </w:rPr>
              <w:t>5.000.000.–</w:t>
            </w:r>
          </w:p>
        </w:tc>
        <w:tc>
          <w:tcPr>
            <w:tcW w:w="1012" w:type="dxa"/>
          </w:tcPr>
          <w:p>
            <w:pPr>
              <w:pStyle w:val="TableParagraph"/>
              <w:spacing w:line="190" w:lineRule="exact" w:before="58"/>
              <w:ind w:right="103"/>
              <w:jc w:val="center"/>
              <w:rPr>
                <w:sz w:val="18"/>
              </w:rPr>
            </w:pPr>
            <w:r>
              <w:rPr>
                <w:spacing w:val="-4"/>
                <w:sz w:val="18"/>
              </w:rPr>
              <w:t>3,60</w:t>
            </w:r>
          </w:p>
        </w:tc>
        <w:tc>
          <w:tcPr>
            <w:tcW w:w="1482" w:type="dxa"/>
          </w:tcPr>
          <w:p>
            <w:pPr>
              <w:pStyle w:val="TableParagraph"/>
              <w:spacing w:line="190" w:lineRule="exact" w:before="58"/>
              <w:ind w:right="108"/>
              <w:rPr>
                <w:sz w:val="18"/>
              </w:rPr>
            </w:pPr>
            <w:r>
              <w:rPr>
                <w:sz w:val="18"/>
              </w:rPr>
              <w:t>180.000.–</w:t>
            </w:r>
          </w:p>
        </w:tc>
        <w:tc>
          <w:tcPr>
            <w:tcW w:w="1190" w:type="dxa"/>
          </w:tcPr>
          <w:p>
            <w:pPr>
              <w:pStyle w:val="TableParagraph"/>
              <w:spacing w:line="190" w:lineRule="exact" w:before="58"/>
              <w:ind w:left="56"/>
              <w:jc w:val="center"/>
              <w:rPr>
                <w:sz w:val="18"/>
              </w:rPr>
            </w:pPr>
            <w:r>
              <w:rPr>
                <w:spacing w:val="-2"/>
                <w:sz w:val="18"/>
              </w:rPr>
              <w:t>3,600</w:t>
            </w:r>
          </w:p>
        </w:tc>
      </w:tr>
      <w:tr>
        <w:trPr>
          <w:trHeight w:val="206" w:hRule="atLeast"/>
        </w:trPr>
        <w:tc>
          <w:tcPr>
            <w:tcW w:w="1316" w:type="dxa"/>
          </w:tcPr>
          <w:p>
            <w:pPr>
              <w:pStyle w:val="TableParagraph"/>
              <w:ind w:right="211"/>
              <w:rPr>
                <w:sz w:val="18"/>
              </w:rPr>
            </w:pPr>
            <w:r>
              <w:rPr>
                <w:sz w:val="18"/>
              </w:rPr>
              <w:t>5.000.001.–</w:t>
            </w:r>
          </w:p>
        </w:tc>
        <w:tc>
          <w:tcPr>
            <w:tcW w:w="768" w:type="dxa"/>
          </w:tcPr>
          <w:p>
            <w:pPr>
              <w:pStyle w:val="TableParagraph"/>
              <w:ind w:left="212"/>
              <w:jc w:val="left"/>
              <w:rPr>
                <w:sz w:val="18"/>
              </w:rPr>
            </w:pPr>
            <w:r>
              <w:rPr>
                <w:spacing w:val="-10"/>
                <w:sz w:val="18"/>
              </w:rPr>
              <w:t>à</w:t>
            </w:r>
          </w:p>
        </w:tc>
        <w:tc>
          <w:tcPr>
            <w:tcW w:w="1447" w:type="dxa"/>
          </w:tcPr>
          <w:p>
            <w:pPr>
              <w:pStyle w:val="TableParagraph"/>
              <w:ind w:right="278"/>
              <w:rPr>
                <w:sz w:val="18"/>
              </w:rPr>
            </w:pPr>
            <w:r>
              <w:rPr>
                <w:sz w:val="18"/>
              </w:rPr>
              <w:t>25.000.000.–</w:t>
            </w:r>
          </w:p>
        </w:tc>
        <w:tc>
          <w:tcPr>
            <w:tcW w:w="1012" w:type="dxa"/>
          </w:tcPr>
          <w:p>
            <w:pPr>
              <w:pStyle w:val="TableParagraph"/>
              <w:ind w:right="103"/>
              <w:jc w:val="center"/>
              <w:rPr>
                <w:sz w:val="18"/>
              </w:rPr>
            </w:pPr>
            <w:r>
              <w:rPr>
                <w:spacing w:val="-4"/>
                <w:sz w:val="18"/>
              </w:rPr>
              <w:t>3,75</w:t>
            </w:r>
          </w:p>
        </w:tc>
        <w:tc>
          <w:tcPr>
            <w:tcW w:w="1482" w:type="dxa"/>
          </w:tcPr>
          <w:p>
            <w:pPr>
              <w:pStyle w:val="TableParagraph"/>
              <w:ind w:right="108"/>
              <w:rPr>
                <w:sz w:val="18"/>
              </w:rPr>
            </w:pPr>
            <w:r>
              <w:rPr>
                <w:sz w:val="18"/>
              </w:rPr>
              <w:t>930.000.–</w:t>
            </w:r>
          </w:p>
        </w:tc>
        <w:tc>
          <w:tcPr>
            <w:tcW w:w="1190" w:type="dxa"/>
          </w:tcPr>
          <w:p>
            <w:pPr>
              <w:pStyle w:val="TableParagraph"/>
              <w:ind w:left="56"/>
              <w:jc w:val="center"/>
              <w:rPr>
                <w:sz w:val="18"/>
              </w:rPr>
            </w:pPr>
            <w:r>
              <w:rPr>
                <w:spacing w:val="-2"/>
                <w:sz w:val="18"/>
              </w:rPr>
              <w:t>3,720</w:t>
            </w:r>
          </w:p>
        </w:tc>
      </w:tr>
      <w:tr>
        <w:trPr>
          <w:trHeight w:val="203" w:hRule="atLeast"/>
        </w:trPr>
        <w:tc>
          <w:tcPr>
            <w:tcW w:w="1316" w:type="dxa"/>
          </w:tcPr>
          <w:p>
            <w:pPr>
              <w:pStyle w:val="TableParagraph"/>
              <w:spacing w:line="184" w:lineRule="exact"/>
              <w:ind w:right="211"/>
              <w:rPr>
                <w:sz w:val="18"/>
              </w:rPr>
            </w:pPr>
            <w:r>
              <w:rPr>
                <w:sz w:val="18"/>
              </w:rPr>
              <w:t>25.000.001.–</w:t>
            </w:r>
          </w:p>
        </w:tc>
        <w:tc>
          <w:tcPr>
            <w:tcW w:w="768" w:type="dxa"/>
          </w:tcPr>
          <w:p>
            <w:pPr>
              <w:pStyle w:val="TableParagraph"/>
              <w:spacing w:line="184" w:lineRule="exact"/>
              <w:ind w:left="212"/>
              <w:jc w:val="left"/>
              <w:rPr>
                <w:sz w:val="18"/>
              </w:rPr>
            </w:pPr>
            <w:r>
              <w:rPr>
                <w:spacing w:val="-10"/>
                <w:sz w:val="18"/>
              </w:rPr>
              <w:t>à</w:t>
            </w:r>
          </w:p>
        </w:tc>
        <w:tc>
          <w:tcPr>
            <w:tcW w:w="1447" w:type="dxa"/>
          </w:tcPr>
          <w:p>
            <w:pPr>
              <w:pStyle w:val="TableParagraph"/>
              <w:spacing w:line="184" w:lineRule="exact"/>
              <w:ind w:right="278"/>
              <w:rPr>
                <w:sz w:val="18"/>
              </w:rPr>
            </w:pPr>
            <w:r>
              <w:rPr>
                <w:sz w:val="18"/>
              </w:rPr>
              <w:t>40.000.000.–</w:t>
            </w:r>
          </w:p>
        </w:tc>
        <w:tc>
          <w:tcPr>
            <w:tcW w:w="1012" w:type="dxa"/>
          </w:tcPr>
          <w:p>
            <w:pPr>
              <w:pStyle w:val="TableParagraph"/>
              <w:spacing w:line="184" w:lineRule="exact"/>
              <w:ind w:right="103"/>
              <w:jc w:val="center"/>
              <w:rPr>
                <w:sz w:val="18"/>
              </w:rPr>
            </w:pPr>
            <w:r>
              <w:rPr>
                <w:spacing w:val="-4"/>
                <w:sz w:val="18"/>
              </w:rPr>
              <w:t>4,00</w:t>
            </w:r>
          </w:p>
        </w:tc>
        <w:tc>
          <w:tcPr>
            <w:tcW w:w="1482" w:type="dxa"/>
          </w:tcPr>
          <w:p>
            <w:pPr>
              <w:pStyle w:val="TableParagraph"/>
              <w:spacing w:line="184" w:lineRule="exact"/>
              <w:ind w:right="108"/>
              <w:rPr>
                <w:sz w:val="18"/>
              </w:rPr>
            </w:pPr>
            <w:r>
              <w:rPr>
                <w:sz w:val="18"/>
              </w:rPr>
              <w:t>1.530.000.–</w:t>
            </w:r>
          </w:p>
        </w:tc>
        <w:tc>
          <w:tcPr>
            <w:tcW w:w="1190" w:type="dxa"/>
          </w:tcPr>
          <w:p>
            <w:pPr>
              <w:pStyle w:val="TableParagraph"/>
              <w:spacing w:line="184" w:lineRule="exact"/>
              <w:ind w:left="56"/>
              <w:jc w:val="center"/>
              <w:rPr>
                <w:sz w:val="18"/>
              </w:rPr>
            </w:pPr>
            <w:r>
              <w:rPr>
                <w:spacing w:val="-2"/>
                <w:sz w:val="18"/>
              </w:rPr>
              <w:t>3,825</w:t>
            </w:r>
          </w:p>
        </w:tc>
      </w:tr>
    </w:tbl>
    <w:p>
      <w:pPr>
        <w:pStyle w:val="BodyText"/>
        <w:spacing w:before="39"/>
        <w:ind w:left="1134"/>
        <w:jc w:val="both"/>
      </w:pPr>
      <w:r>
        <w:rPr>
          <w:position w:val="6"/>
          <w:sz w:val="12"/>
        </w:rPr>
        <w:t>2</w:t>
      </w:r>
      <w:r>
        <w:rPr>
          <w:spacing w:val="15"/>
          <w:position w:val="6"/>
          <w:sz w:val="12"/>
        </w:rPr>
        <w:t> </w:t>
      </w:r>
      <w:r>
        <w:rPr/>
        <w:t>Le</w:t>
      </w:r>
      <w:r>
        <w:rPr>
          <w:spacing w:val="-1"/>
        </w:rPr>
        <w:t> </w:t>
      </w:r>
      <w:r>
        <w:rPr/>
        <w:t>bénéfice</w:t>
      </w:r>
      <w:r>
        <w:rPr>
          <w:spacing w:val="-1"/>
        </w:rPr>
        <w:t> </w:t>
      </w:r>
      <w:r>
        <w:rPr/>
        <w:t>supérieur</w:t>
      </w:r>
      <w:r>
        <w:rPr>
          <w:spacing w:val="-2"/>
        </w:rPr>
        <w:t> </w:t>
      </w:r>
      <w:r>
        <w:rPr/>
        <w:t>à</w:t>
      </w:r>
      <w:r>
        <w:rPr>
          <w:spacing w:val="-4"/>
        </w:rPr>
        <w:t> </w:t>
      </w:r>
      <w:r>
        <w:rPr/>
        <w:t>40</w:t>
      </w:r>
      <w:r>
        <w:rPr>
          <w:spacing w:val="-3"/>
        </w:rPr>
        <w:t> </w:t>
      </w:r>
      <w:r>
        <w:rPr/>
        <w:t>millions</w:t>
      </w:r>
      <w:r>
        <w:rPr>
          <w:spacing w:val="-3"/>
        </w:rPr>
        <w:t> </w:t>
      </w:r>
      <w:r>
        <w:rPr/>
        <w:t>de</w:t>
      </w:r>
      <w:r>
        <w:rPr>
          <w:spacing w:val="-1"/>
        </w:rPr>
        <w:t> </w:t>
      </w:r>
      <w:r>
        <w:rPr/>
        <w:t>francs</w:t>
      </w:r>
      <w:r>
        <w:rPr>
          <w:spacing w:val="-1"/>
        </w:rPr>
        <w:t> </w:t>
      </w:r>
      <w:r>
        <w:rPr/>
        <w:t>est</w:t>
      </w:r>
      <w:r>
        <w:rPr>
          <w:spacing w:val="-4"/>
        </w:rPr>
        <w:t> </w:t>
      </w:r>
      <w:r>
        <w:rPr/>
        <w:t>imposé</w:t>
      </w:r>
      <w:r>
        <w:rPr>
          <w:spacing w:val="-1"/>
        </w:rPr>
        <w:t> </w:t>
      </w:r>
      <w:r>
        <w:rPr/>
        <w:t>à</w:t>
      </w:r>
      <w:r>
        <w:rPr>
          <w:spacing w:val="-3"/>
        </w:rPr>
        <w:t> </w:t>
      </w:r>
      <w:r>
        <w:rPr>
          <w:spacing w:val="-2"/>
        </w:rPr>
        <w:t>4,5%,</w:t>
      </w:r>
    </w:p>
    <w:p>
      <w:pPr>
        <w:pStyle w:val="BodyText"/>
        <w:spacing w:before="36"/>
        <w:ind w:left="1134"/>
        <w:jc w:val="both"/>
      </w:pPr>
      <w:r>
        <w:rPr>
          <w:position w:val="6"/>
          <w:sz w:val="12"/>
        </w:rPr>
        <w:t>3</w:t>
      </w:r>
      <w:r>
        <w:rPr>
          <w:spacing w:val="14"/>
          <w:position w:val="6"/>
          <w:sz w:val="12"/>
        </w:rPr>
        <w:t> </w:t>
      </w:r>
      <w:r>
        <w:rPr/>
        <w:t>Le</w:t>
      </w:r>
      <w:r>
        <w:rPr>
          <w:spacing w:val="-1"/>
        </w:rPr>
        <w:t> </w:t>
      </w:r>
      <w:r>
        <w:rPr/>
        <w:t>bénéfice</w:t>
      </w:r>
      <w:r>
        <w:rPr>
          <w:spacing w:val="-1"/>
        </w:rPr>
        <w:t> </w:t>
      </w:r>
      <w:r>
        <w:rPr/>
        <w:t>imposable</w:t>
      </w:r>
      <w:r>
        <w:rPr>
          <w:spacing w:val="-2"/>
        </w:rPr>
        <w:t> </w:t>
      </w:r>
      <w:r>
        <w:rPr/>
        <w:t>est</w:t>
      </w:r>
      <w:r>
        <w:rPr>
          <w:spacing w:val="-2"/>
        </w:rPr>
        <w:t> </w:t>
      </w:r>
      <w:r>
        <w:rPr/>
        <w:t>arrondi</w:t>
      </w:r>
      <w:r>
        <w:rPr>
          <w:spacing w:val="-4"/>
        </w:rPr>
        <w:t> </w:t>
      </w:r>
      <w:r>
        <w:rPr/>
        <w:t>à</w:t>
      </w:r>
      <w:r>
        <w:rPr>
          <w:spacing w:val="-1"/>
        </w:rPr>
        <w:t> </w:t>
      </w:r>
      <w:r>
        <w:rPr/>
        <w:t>la</w:t>
      </w:r>
      <w:r>
        <w:rPr>
          <w:spacing w:val="-5"/>
        </w:rPr>
        <w:t> </w:t>
      </w:r>
      <w:r>
        <w:rPr/>
        <w:t>centaine</w:t>
      </w:r>
      <w:r>
        <w:rPr>
          <w:spacing w:val="-1"/>
        </w:rPr>
        <w:t> </w:t>
      </w:r>
      <w:r>
        <w:rPr/>
        <w:t>de</w:t>
      </w:r>
      <w:r>
        <w:rPr>
          <w:spacing w:val="-1"/>
        </w:rPr>
        <w:t> </w:t>
      </w:r>
      <w:r>
        <w:rPr/>
        <w:t>francs</w:t>
      </w:r>
      <w:r>
        <w:rPr>
          <w:spacing w:val="-1"/>
        </w:rPr>
        <w:t> </w:t>
      </w:r>
      <w:r>
        <w:rPr>
          <w:spacing w:val="-2"/>
        </w:rPr>
        <w:t>inférieure.</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Associations, fondations et autres personnes morales</w:t>
      </w:r>
      <w:r>
        <w:rPr>
          <w:color w:val="950000"/>
          <w:spacing w:val="80"/>
        </w:rPr>
        <w:t> </w:t>
      </w:r>
      <w:r>
        <w:rPr>
          <w:color w:val="950000"/>
        </w:rPr>
        <w:drawing>
          <wp:inline distT="0" distB="0" distL="0" distR="0">
            <wp:extent cx="201283" cy="114902"/>
            <wp:effectExtent l="0" t="0" r="0" b="0"/>
            <wp:docPr id="79" name="Image 79" descr="">
              <a:hlinkClick r:id="rId91"/>
            </wp:docPr>
            <wp:cNvGraphicFramePr>
              <a:graphicFrameLocks/>
            </wp:cNvGraphicFramePr>
            <a:graphic>
              <a:graphicData uri="http://schemas.openxmlformats.org/drawingml/2006/picture">
                <pic:pic>
                  <pic:nvPicPr>
                    <pic:cNvPr id="79" name="Image 79" descr="">
                      <a:hlinkClick r:id="rId91"/>
                    </pic:cNvPr>
                    <pic:cNvPicPr/>
                  </pic:nvPicPr>
                  <pic:blipFill>
                    <a:blip r:embed="rId11" cstate="print"/>
                    <a:stretch>
                      <a:fillRect/>
                    </a:stretch>
                  </pic:blipFill>
                  <pic:spPr>
                    <a:xfrm>
                      <a:off x="0" y="0"/>
                      <a:ext cx="201283" cy="114902"/>
                    </a:xfrm>
                    <a:prstGeom prst="rect">
                      <a:avLst/>
                    </a:prstGeom>
                  </pic:spPr>
                </pic:pic>
              </a:graphicData>
            </a:graphic>
          </wp:inline>
        </w:drawing>
      </w:r>
      <w:r>
        <w:rPr>
          <w:color w:val="950000"/>
        </w:rPr>
      </w:r>
    </w:p>
    <w:p>
      <w:pPr>
        <w:pStyle w:val="Heading8"/>
        <w:spacing w:before="94"/>
      </w:pPr>
      <w:r>
        <w:rPr/>
        <w:t>Art.</w:t>
      </w:r>
      <w:r>
        <w:rPr>
          <w:spacing w:val="-3"/>
        </w:rPr>
        <w:t> </w:t>
      </w:r>
      <w:r>
        <w:rPr/>
        <w:t>100 </w:t>
      </w:r>
      <w:r>
        <w:rPr>
          <w:spacing w:val="-4"/>
        </w:rPr>
        <w:t>LCdir</w:t>
      </w:r>
    </w:p>
    <w:p>
      <w:pPr>
        <w:pStyle w:val="BodyText"/>
        <w:spacing w:before="59"/>
        <w:ind w:left="1134" w:right="700"/>
      </w:pPr>
      <w:r>
        <w:rPr/>
        <w:t>L'impôt</w:t>
      </w:r>
      <w:r>
        <w:rPr>
          <w:spacing w:val="-2"/>
        </w:rPr>
        <w:t> </w:t>
      </w:r>
      <w:r>
        <w:rPr/>
        <w:t>sur</w:t>
      </w:r>
      <w:r>
        <w:rPr>
          <w:spacing w:val="-2"/>
        </w:rPr>
        <w:t> </w:t>
      </w:r>
      <w:r>
        <w:rPr/>
        <w:t>le</w:t>
      </w:r>
      <w:r>
        <w:rPr>
          <w:spacing w:val="-1"/>
        </w:rPr>
        <w:t> </w:t>
      </w:r>
      <w:r>
        <w:rPr/>
        <w:t>bénéfice</w:t>
      </w:r>
      <w:r>
        <w:rPr>
          <w:spacing w:val="-1"/>
        </w:rPr>
        <w:t> </w:t>
      </w:r>
      <w:r>
        <w:rPr/>
        <w:t>des</w:t>
      </w:r>
      <w:r>
        <w:rPr>
          <w:spacing w:val="-1"/>
        </w:rPr>
        <w:t> </w:t>
      </w:r>
      <w:r>
        <w:rPr/>
        <w:t>associations, fondations</w:t>
      </w:r>
      <w:r>
        <w:rPr>
          <w:spacing w:val="-1"/>
        </w:rPr>
        <w:t> </w:t>
      </w:r>
      <w:r>
        <w:rPr/>
        <w:t>et</w:t>
      </w:r>
      <w:r>
        <w:rPr>
          <w:spacing w:val="-2"/>
        </w:rPr>
        <w:t> </w:t>
      </w:r>
      <w:r>
        <w:rPr/>
        <w:t>autres personnes</w:t>
      </w:r>
      <w:r>
        <w:rPr>
          <w:spacing w:val="-1"/>
        </w:rPr>
        <w:t> </w:t>
      </w:r>
      <w:r>
        <w:rPr/>
        <w:t>morales</w:t>
      </w:r>
      <w:r>
        <w:rPr>
          <w:spacing w:val="-1"/>
        </w:rPr>
        <w:t> </w:t>
      </w:r>
      <w:r>
        <w:rPr/>
        <w:t>est</w:t>
      </w:r>
      <w:r>
        <w:rPr>
          <w:spacing w:val="-2"/>
        </w:rPr>
        <w:t> </w:t>
      </w:r>
      <w:r>
        <w:rPr/>
        <w:t>calculé</w:t>
      </w:r>
      <w:r>
        <w:rPr>
          <w:spacing w:val="-1"/>
        </w:rPr>
        <w:t> </w:t>
      </w:r>
      <w:r>
        <w:rPr/>
        <w:t>conformé-ment à l'article 94 et suivants.</w:t>
      </w:r>
    </w:p>
    <w:p>
      <w:pPr>
        <w:pStyle w:val="BodyText"/>
        <w:spacing w:before="153"/>
      </w:pPr>
    </w:p>
    <w:p>
      <w:pPr>
        <w:pStyle w:val="Heading7"/>
      </w:pPr>
      <w:r>
        <w:rPr>
          <w:color w:val="950000"/>
        </w:rPr>
        <w:t>Placements collectifs de capitaux</w:t>
      </w:r>
      <w:r>
        <w:rPr>
          <w:color w:val="950000"/>
          <w:spacing w:val="80"/>
        </w:rPr>
        <w:t> </w:t>
      </w:r>
      <w:r>
        <w:rPr>
          <w:color w:val="950000"/>
          <w:spacing w:val="1"/>
        </w:rPr>
        <w:drawing>
          <wp:inline distT="0" distB="0" distL="0" distR="0">
            <wp:extent cx="201290" cy="114933"/>
            <wp:effectExtent l="0" t="0" r="0" b="0"/>
            <wp:docPr id="80" name="Image 80" descr="">
              <a:hlinkClick r:id="rId92"/>
            </wp:docPr>
            <wp:cNvGraphicFramePr>
              <a:graphicFrameLocks/>
            </wp:cNvGraphicFramePr>
            <a:graphic>
              <a:graphicData uri="http://schemas.openxmlformats.org/drawingml/2006/picture">
                <pic:pic>
                  <pic:nvPicPr>
                    <pic:cNvPr id="80" name="Image 80" descr="">
                      <a:hlinkClick r:id="rId92"/>
                    </pic:cNvPr>
                    <pic:cNvPicPr/>
                  </pic:nvPicPr>
                  <pic:blipFill>
                    <a:blip r:embed="rId11" cstate="print"/>
                    <a:stretch>
                      <a:fillRect/>
                    </a:stretch>
                  </pic:blipFill>
                  <pic:spPr>
                    <a:xfrm>
                      <a:off x="0" y="0"/>
                      <a:ext cx="201290" cy="114933"/>
                    </a:xfrm>
                    <a:prstGeom prst="rect">
                      <a:avLst/>
                    </a:prstGeom>
                  </pic:spPr>
                </pic:pic>
              </a:graphicData>
            </a:graphic>
          </wp:inline>
        </w:drawing>
      </w:r>
      <w:r>
        <w:rPr>
          <w:color w:val="950000"/>
          <w:spacing w:val="1"/>
        </w:rPr>
      </w:r>
    </w:p>
    <w:p>
      <w:pPr>
        <w:pStyle w:val="Heading8"/>
        <w:spacing w:before="93"/>
      </w:pPr>
      <w:r>
        <w:rPr/>
        <w:t>Art.</w:t>
      </w:r>
      <w:r>
        <w:rPr>
          <w:spacing w:val="-3"/>
        </w:rPr>
        <w:t> </w:t>
      </w:r>
      <w:r>
        <w:rPr/>
        <w:t>101 </w:t>
      </w:r>
      <w:r>
        <w:rPr>
          <w:spacing w:val="-4"/>
        </w:rPr>
        <w:t>LCdir</w:t>
      </w:r>
    </w:p>
    <w:p>
      <w:pPr>
        <w:pStyle w:val="BodyText"/>
        <w:spacing w:before="59"/>
        <w:ind w:left="1134" w:right="700"/>
      </w:pPr>
      <w:r>
        <w:rPr/>
        <w:t>L’impôt</w:t>
      </w:r>
      <w:r>
        <w:rPr>
          <w:spacing w:val="-6"/>
        </w:rPr>
        <w:t> </w:t>
      </w:r>
      <w:r>
        <w:rPr/>
        <w:t>sur</w:t>
      </w:r>
      <w:r>
        <w:rPr>
          <w:spacing w:val="-4"/>
        </w:rPr>
        <w:t> </w:t>
      </w:r>
      <w:r>
        <w:rPr/>
        <w:t>le</w:t>
      </w:r>
      <w:r>
        <w:rPr>
          <w:spacing w:val="-4"/>
        </w:rPr>
        <w:t> </w:t>
      </w:r>
      <w:r>
        <w:rPr/>
        <w:t>bénéfice</w:t>
      </w:r>
      <w:r>
        <w:rPr>
          <w:spacing w:val="-4"/>
        </w:rPr>
        <w:t> </w:t>
      </w:r>
      <w:r>
        <w:rPr/>
        <w:t>des</w:t>
      </w:r>
      <w:r>
        <w:rPr>
          <w:spacing w:val="-6"/>
        </w:rPr>
        <w:t> </w:t>
      </w:r>
      <w:r>
        <w:rPr/>
        <w:t>placements</w:t>
      </w:r>
      <w:r>
        <w:rPr>
          <w:spacing w:val="-6"/>
        </w:rPr>
        <w:t> </w:t>
      </w:r>
      <w:r>
        <w:rPr/>
        <w:t>collectifs</w:t>
      </w:r>
      <w:r>
        <w:rPr>
          <w:spacing w:val="-6"/>
        </w:rPr>
        <w:t> </w:t>
      </w:r>
      <w:r>
        <w:rPr/>
        <w:t>de</w:t>
      </w:r>
      <w:r>
        <w:rPr>
          <w:spacing w:val="-6"/>
        </w:rPr>
        <w:t> </w:t>
      </w:r>
      <w:r>
        <w:rPr/>
        <w:t>capitaux</w:t>
      </w:r>
      <w:r>
        <w:rPr>
          <w:spacing w:val="-6"/>
        </w:rPr>
        <w:t> </w:t>
      </w:r>
      <w:r>
        <w:rPr/>
        <w:t>qui</w:t>
      </w:r>
      <w:r>
        <w:rPr>
          <w:spacing w:val="-6"/>
        </w:rPr>
        <w:t> </w:t>
      </w:r>
      <w:r>
        <w:rPr/>
        <w:t>possèdent</w:t>
      </w:r>
      <w:r>
        <w:rPr>
          <w:spacing w:val="-6"/>
        </w:rPr>
        <w:t> </w:t>
      </w:r>
      <w:r>
        <w:rPr/>
        <w:t>des</w:t>
      </w:r>
      <w:r>
        <w:rPr>
          <w:spacing w:val="-6"/>
        </w:rPr>
        <w:t> </w:t>
      </w:r>
      <w:r>
        <w:rPr/>
        <w:t>immeubles</w:t>
      </w:r>
      <w:r>
        <w:rPr>
          <w:spacing w:val="-6"/>
        </w:rPr>
        <w:t> </w:t>
      </w:r>
      <w:r>
        <w:rPr/>
        <w:t>en</w:t>
      </w:r>
      <w:r>
        <w:rPr>
          <w:spacing w:val="-4"/>
        </w:rPr>
        <w:t> </w:t>
      </w:r>
      <w:r>
        <w:rPr/>
        <w:t>propriété directe est de 4% du bénéfice net.</w:t>
      </w:r>
    </w:p>
    <w:p>
      <w:pPr>
        <w:pStyle w:val="BodyText"/>
      </w:pPr>
    </w:p>
    <w:p>
      <w:pPr>
        <w:pStyle w:val="BodyText"/>
        <w:spacing w:before="68"/>
      </w:pPr>
    </w:p>
    <w:p>
      <w:pPr>
        <w:pStyle w:val="Heading2"/>
        <w:jc w:val="both"/>
      </w:pPr>
      <w:bookmarkStart w:name="Impôt sur le capital" w:id="51"/>
      <w:bookmarkEnd w:id="51"/>
      <w:r>
        <w:rPr>
          <w:b w:val="0"/>
        </w:rPr>
      </w:r>
      <w:bookmarkStart w:name="_bookmark22" w:id="52"/>
      <w:bookmarkEnd w:id="52"/>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capital</w:t>
      </w:r>
    </w:p>
    <w:p>
      <w:pPr>
        <w:pStyle w:val="BodyText"/>
        <w:spacing w:before="59"/>
        <w:ind w:left="851"/>
        <w:jc w:val="both"/>
      </w:pPr>
      <w:r>
        <w:rPr/>
        <w:t>(Art.</w:t>
      </w:r>
      <w:r>
        <w:rPr>
          <w:spacing w:val="-1"/>
        </w:rPr>
        <w:t> </w:t>
      </w:r>
      <w:r>
        <w:rPr/>
        <w:t>102</w:t>
      </w:r>
      <w:r>
        <w:rPr>
          <w:spacing w:val="-2"/>
        </w:rPr>
        <w:t> </w:t>
      </w:r>
      <w:r>
        <w:rPr/>
        <w:t>à 107</w:t>
      </w:r>
      <w:r>
        <w:rPr>
          <w:spacing w:val="1"/>
        </w:rPr>
        <w:t> </w:t>
      </w:r>
      <w:r>
        <w:rPr>
          <w:spacing w:val="-2"/>
        </w:rPr>
        <w:t>LCdir)</w:t>
      </w:r>
    </w:p>
    <w:p>
      <w:pPr>
        <w:pStyle w:val="BodyText"/>
        <w:spacing w:before="119"/>
        <w:ind w:left="851" w:right="134"/>
        <w:jc w:val="both"/>
      </w:pPr>
      <w:r>
        <w:rPr/>
        <w:t>L’impôt</w:t>
      </w:r>
      <w:r>
        <w:rPr>
          <w:spacing w:val="-8"/>
        </w:rPr>
        <w:t> </w:t>
      </w:r>
      <w:r>
        <w:rPr/>
        <w:t>sur</w:t>
      </w:r>
      <w:r>
        <w:rPr>
          <w:spacing w:val="-8"/>
        </w:rPr>
        <w:t> </w:t>
      </w:r>
      <w:r>
        <w:rPr/>
        <w:t>le</w:t>
      </w:r>
      <w:r>
        <w:rPr>
          <w:spacing w:val="-5"/>
        </w:rPr>
        <w:t> </w:t>
      </w:r>
      <w:r>
        <w:rPr/>
        <w:t>capital</w:t>
      </w:r>
      <w:r>
        <w:rPr>
          <w:spacing w:val="-8"/>
        </w:rPr>
        <w:t> </w:t>
      </w:r>
      <w:r>
        <w:rPr/>
        <w:t>a</w:t>
      </w:r>
      <w:r>
        <w:rPr>
          <w:spacing w:val="-8"/>
        </w:rPr>
        <w:t> </w:t>
      </w:r>
      <w:r>
        <w:rPr/>
        <w:t>pour</w:t>
      </w:r>
      <w:r>
        <w:rPr>
          <w:spacing w:val="-8"/>
        </w:rPr>
        <w:t> </w:t>
      </w:r>
      <w:r>
        <w:rPr/>
        <w:t>objet</w:t>
      </w:r>
      <w:r>
        <w:rPr>
          <w:spacing w:val="-8"/>
        </w:rPr>
        <w:t> </w:t>
      </w:r>
      <w:r>
        <w:rPr/>
        <w:t>le</w:t>
      </w:r>
      <w:r>
        <w:rPr>
          <w:spacing w:val="-8"/>
        </w:rPr>
        <w:t> </w:t>
      </w:r>
      <w:r>
        <w:rPr/>
        <w:t>capital</w:t>
      </w:r>
      <w:r>
        <w:rPr>
          <w:spacing w:val="-8"/>
        </w:rPr>
        <w:t> </w:t>
      </w:r>
      <w:r>
        <w:rPr/>
        <w:t>propre.</w:t>
      </w:r>
      <w:r>
        <w:rPr>
          <w:spacing w:val="-8"/>
        </w:rPr>
        <w:t> </w:t>
      </w:r>
      <w:r>
        <w:rPr/>
        <w:t>S’agissant</w:t>
      </w:r>
      <w:r>
        <w:rPr>
          <w:spacing w:val="-8"/>
        </w:rPr>
        <w:t> </w:t>
      </w:r>
      <w:r>
        <w:rPr/>
        <w:t>tout</w:t>
      </w:r>
      <w:r>
        <w:rPr>
          <w:spacing w:val="-8"/>
        </w:rPr>
        <w:t> </w:t>
      </w:r>
      <w:r>
        <w:rPr/>
        <w:t>d’abord</w:t>
      </w:r>
      <w:r>
        <w:rPr>
          <w:spacing w:val="-5"/>
        </w:rPr>
        <w:t> </w:t>
      </w:r>
      <w:r>
        <w:rPr/>
        <w:t>des</w:t>
      </w:r>
      <w:r>
        <w:rPr>
          <w:spacing w:val="-7"/>
        </w:rPr>
        <w:t> </w:t>
      </w:r>
      <w:r>
        <w:rPr/>
        <w:t>sociétés</w:t>
      </w:r>
      <w:r>
        <w:rPr>
          <w:spacing w:val="-7"/>
        </w:rPr>
        <w:t> </w:t>
      </w:r>
      <w:r>
        <w:rPr/>
        <w:t>de</w:t>
      </w:r>
      <w:r>
        <w:rPr>
          <w:spacing w:val="-8"/>
        </w:rPr>
        <w:t> </w:t>
      </w:r>
      <w:r>
        <w:rPr/>
        <w:t>capitaux</w:t>
      </w:r>
      <w:r>
        <w:rPr>
          <w:spacing w:val="-7"/>
        </w:rPr>
        <w:t> </w:t>
      </w:r>
      <w:r>
        <w:rPr/>
        <w:t>et</w:t>
      </w:r>
      <w:r>
        <w:rPr>
          <w:spacing w:val="-8"/>
        </w:rPr>
        <w:t> </w:t>
      </w:r>
      <w:r>
        <w:rPr/>
        <w:t>des</w:t>
      </w:r>
      <w:r>
        <w:rPr>
          <w:spacing w:val="-5"/>
        </w:rPr>
        <w:t> </w:t>
      </w:r>
      <w:r>
        <w:rPr/>
        <w:t>sociétés coopératives, le capital propre imposable comprend le capital-actions ou le capital social libéré, les réserves ou-vertes et les réserves latentes constituées au moyen de bénéfices imposés ainsi que le capital propre dissimulé.</w:t>
      </w:r>
    </w:p>
    <w:p>
      <w:pPr>
        <w:pStyle w:val="BodyText"/>
        <w:spacing w:before="121"/>
        <w:ind w:left="851" w:right="134"/>
        <w:jc w:val="both"/>
      </w:pPr>
      <w:r>
        <w:rPr/>
        <w:t>Le capital propre imposable pour les associations, les fondations et les autres personnes morales, comprend la fortune nette déterminée conformément aux dispositions applicables aux personnes physiques.</w:t>
      </w:r>
    </w:p>
    <w:p>
      <w:pPr>
        <w:pStyle w:val="BodyText"/>
        <w:spacing w:before="161"/>
      </w:pPr>
    </w:p>
    <w:p>
      <w:pPr>
        <w:pStyle w:val="Heading6"/>
        <w:spacing w:before="1"/>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31"/>
        <w:rPr>
          <w:rFonts w:ascii="Arial"/>
          <w:b/>
          <w:sz w:val="20"/>
        </w:rPr>
      </w:pPr>
    </w:p>
    <w:p>
      <w:pPr>
        <w:pStyle w:val="Heading7"/>
      </w:pPr>
      <w:r>
        <w:rPr>
          <w:color w:val="950000"/>
        </w:rPr>
        <w:t>Personnes morales à but idéal</w:t>
      </w:r>
      <w:r>
        <w:rPr>
          <w:color w:val="950000"/>
          <w:spacing w:val="80"/>
        </w:rPr>
        <w:t> </w:t>
      </w:r>
      <w:r>
        <w:rPr>
          <w:color w:val="950000"/>
          <w:spacing w:val="-1"/>
        </w:rPr>
        <w:drawing>
          <wp:inline distT="0" distB="0" distL="0" distR="0">
            <wp:extent cx="201251" cy="114928"/>
            <wp:effectExtent l="0" t="0" r="0" b="0"/>
            <wp:docPr id="81" name="Image 81" descr="">
              <a:hlinkClick r:id="rId88"/>
            </wp:docPr>
            <wp:cNvGraphicFramePr>
              <a:graphicFrameLocks/>
            </wp:cNvGraphicFramePr>
            <a:graphic>
              <a:graphicData uri="http://schemas.openxmlformats.org/drawingml/2006/picture">
                <pic:pic>
                  <pic:nvPicPr>
                    <pic:cNvPr id="81" name="Image 81" descr="">
                      <a:hlinkClick r:id="rId88"/>
                    </pic:cNvPr>
                    <pic:cNvPicPr/>
                  </pic:nvPicPr>
                  <pic:blipFill>
                    <a:blip r:embed="rId11" cstate="print"/>
                    <a:stretch>
                      <a:fillRect/>
                    </a:stretch>
                  </pic:blipFill>
                  <pic:spPr>
                    <a:xfrm>
                      <a:off x="0" y="0"/>
                      <a:ext cx="201251" cy="114928"/>
                    </a:xfrm>
                    <a:prstGeom prst="rect">
                      <a:avLst/>
                    </a:prstGeom>
                  </pic:spPr>
                </pic:pic>
              </a:graphicData>
            </a:graphic>
          </wp:inline>
        </w:drawing>
      </w:r>
      <w:r>
        <w:rPr>
          <w:color w:val="950000"/>
          <w:spacing w:val="-1"/>
        </w:rPr>
      </w:r>
    </w:p>
    <w:p>
      <w:pPr>
        <w:pStyle w:val="Heading8"/>
        <w:spacing w:before="93"/>
      </w:pPr>
      <w:r>
        <w:rPr/>
        <w:t>Art.</w:t>
      </w:r>
      <w:r>
        <w:rPr>
          <w:spacing w:val="-4"/>
        </w:rPr>
        <w:t> </w:t>
      </w:r>
      <w:r>
        <w:rPr/>
        <w:t>107,</w:t>
      </w:r>
      <w:r>
        <w:rPr>
          <w:spacing w:val="-1"/>
        </w:rPr>
        <w:t> </w:t>
      </w:r>
      <w:r>
        <w:rPr/>
        <w:t>al.</w:t>
      </w:r>
      <w:r>
        <w:rPr>
          <w:spacing w:val="-1"/>
        </w:rPr>
        <w:t> </w:t>
      </w:r>
      <w:r>
        <w:rPr/>
        <w:t>2</w:t>
      </w:r>
      <w:r>
        <w:rPr>
          <w:spacing w:val="-2"/>
        </w:rPr>
        <w:t> LCdir</w:t>
      </w:r>
    </w:p>
    <w:p>
      <w:pPr>
        <w:pStyle w:val="BodyText"/>
        <w:spacing w:line="210" w:lineRule="exact" w:before="55"/>
        <w:ind w:left="1134"/>
      </w:pPr>
      <w:r>
        <w:rPr>
          <w:position w:val="6"/>
          <w:sz w:val="12"/>
        </w:rPr>
        <w:t>2</w:t>
      </w:r>
      <w:r>
        <w:rPr>
          <w:spacing w:val="52"/>
          <w:position w:val="6"/>
          <w:sz w:val="12"/>
        </w:rPr>
        <w:t> </w:t>
      </w:r>
      <w:r>
        <w:rPr/>
        <w:t>Les</w:t>
      </w:r>
      <w:r>
        <w:rPr>
          <w:spacing w:val="34"/>
        </w:rPr>
        <w:t> </w:t>
      </w:r>
      <w:r>
        <w:rPr/>
        <w:t>personnes</w:t>
      </w:r>
      <w:r>
        <w:rPr>
          <w:spacing w:val="35"/>
        </w:rPr>
        <w:t> </w:t>
      </w:r>
      <w:r>
        <w:rPr/>
        <w:t>morales</w:t>
      </w:r>
      <w:r>
        <w:rPr>
          <w:spacing w:val="34"/>
        </w:rPr>
        <w:t> </w:t>
      </w:r>
      <w:r>
        <w:rPr/>
        <w:t>poursuivant</w:t>
      </w:r>
      <w:r>
        <w:rPr>
          <w:spacing w:val="34"/>
        </w:rPr>
        <w:t> </w:t>
      </w:r>
      <w:r>
        <w:rPr/>
        <w:t>un</w:t>
      </w:r>
      <w:r>
        <w:rPr>
          <w:spacing w:val="34"/>
        </w:rPr>
        <w:t> </w:t>
      </w:r>
      <w:r>
        <w:rPr/>
        <w:t>but</w:t>
      </w:r>
      <w:r>
        <w:rPr>
          <w:spacing w:val="34"/>
        </w:rPr>
        <w:t> </w:t>
      </w:r>
      <w:r>
        <w:rPr/>
        <w:t>idéal</w:t>
      </w:r>
      <w:r>
        <w:rPr>
          <w:spacing w:val="34"/>
        </w:rPr>
        <w:t> </w:t>
      </w:r>
      <w:r>
        <w:rPr/>
        <w:t>peuvent</w:t>
      </w:r>
      <w:r>
        <w:rPr>
          <w:spacing w:val="37"/>
        </w:rPr>
        <w:t> </w:t>
      </w:r>
      <w:r>
        <w:rPr/>
        <w:t>déduire</w:t>
      </w:r>
      <w:r>
        <w:rPr>
          <w:spacing w:val="34"/>
        </w:rPr>
        <w:t> </w:t>
      </w:r>
      <w:r>
        <w:rPr/>
        <w:t>de</w:t>
      </w:r>
      <w:r>
        <w:rPr>
          <w:spacing w:val="35"/>
        </w:rPr>
        <w:t> </w:t>
      </w:r>
      <w:r>
        <w:rPr/>
        <w:t>leur</w:t>
      </w:r>
      <w:r>
        <w:rPr>
          <w:spacing w:val="33"/>
        </w:rPr>
        <w:t> </w:t>
      </w:r>
      <w:r>
        <w:rPr/>
        <w:t>capital</w:t>
      </w:r>
      <w:r>
        <w:rPr>
          <w:spacing w:val="37"/>
        </w:rPr>
        <w:t> </w:t>
      </w:r>
      <w:r>
        <w:rPr/>
        <w:t>un</w:t>
      </w:r>
      <w:r>
        <w:rPr>
          <w:spacing w:val="34"/>
        </w:rPr>
        <w:t> </w:t>
      </w:r>
      <w:r>
        <w:rPr/>
        <w:t>montant</w:t>
      </w:r>
      <w:r>
        <w:rPr>
          <w:spacing w:val="34"/>
        </w:rPr>
        <w:t> </w:t>
      </w:r>
      <w:r>
        <w:rPr>
          <w:spacing w:val="-5"/>
        </w:rPr>
        <w:t>de</w:t>
      </w:r>
    </w:p>
    <w:p>
      <w:pPr>
        <w:pStyle w:val="BodyText"/>
        <w:spacing w:line="207" w:lineRule="exact"/>
        <w:ind w:left="1134"/>
      </w:pPr>
      <w:r>
        <w:rPr/>
        <w:t>100.000</w:t>
      </w:r>
      <w:r>
        <w:rPr>
          <w:spacing w:val="-3"/>
        </w:rPr>
        <w:t> </w:t>
      </w:r>
      <w:r>
        <w:rPr>
          <w:spacing w:val="-2"/>
        </w:rPr>
        <w:t>francs.</w:t>
      </w:r>
    </w:p>
    <w:p>
      <w:pPr>
        <w:pStyle w:val="BodyText"/>
        <w:spacing w:before="39"/>
      </w:pPr>
    </w:p>
    <w:p>
      <w:pPr>
        <w:pStyle w:val="Heading3"/>
        <w:spacing w:line="484" w:lineRule="exact"/>
        <w:ind w:left="261"/>
      </w:pPr>
      <w:r>
        <w:rPr>
          <w:b w:val="0"/>
          <w:position w:val="-12"/>
        </w:rPr>
        <w:drawing>
          <wp:inline distT="0" distB="0" distL="0" distR="0">
            <wp:extent cx="259077" cy="313664"/>
            <wp:effectExtent l="0" t="0" r="0" b="0"/>
            <wp:docPr id="82" name="Image 82" descr="Simulateur fiscal cantonal">
              <a:hlinkClick r:id="rId89"/>
            </wp:docPr>
            <wp:cNvGraphicFramePr>
              <a:graphicFrameLocks/>
            </wp:cNvGraphicFramePr>
            <a:graphic>
              <a:graphicData uri="http://schemas.openxmlformats.org/drawingml/2006/picture">
                <pic:pic>
                  <pic:nvPicPr>
                    <pic:cNvPr id="82" name="Image 82" descr="Simulateur fiscal cantonal">
                      <a:hlinkClick r:id="rId89"/>
                    </pic:cNvPr>
                    <pic:cNvPicPr/>
                  </pic:nvPicPr>
                  <pic:blipFill>
                    <a:blip r:embed="rId12" cstate="print"/>
                    <a:stretch>
                      <a:fillRect/>
                    </a:stretch>
                  </pic:blipFill>
                  <pic:spPr>
                    <a:xfrm>
                      <a:off x="0" y="0"/>
                      <a:ext cx="259077" cy="313664"/>
                    </a:xfrm>
                    <a:prstGeom prst="rect">
                      <a:avLst/>
                    </a:prstGeom>
                  </pic:spPr>
                </pic:pic>
              </a:graphicData>
            </a:graphic>
          </wp:inline>
        </w:drawing>
      </w:r>
      <w:r>
        <w:rPr>
          <w:b w:val="0"/>
          <w:position w:val="-12"/>
        </w:rPr>
      </w:r>
      <w:r>
        <w:rPr>
          <w:rFonts w:ascii="Times New Roman" w:hAnsi="Times New Roman"/>
          <w:b w:val="0"/>
          <w:spacing w:val="142"/>
          <w:sz w:val="20"/>
        </w:rPr>
        <w:t> </w:t>
      </w:r>
      <w:bookmarkStart w:name="Calcul de l’impôt" w:id="53"/>
      <w:bookmarkEnd w:id="53"/>
      <w:r>
        <w:rPr>
          <w:rFonts w:ascii="Times New Roman" w:hAnsi="Times New Roman"/>
          <w:b w:val="0"/>
          <w:spacing w:val="-8"/>
          <w:sz w:val="20"/>
        </w:rPr>
      </w:r>
      <w:bookmarkStart w:name="_bookmark23" w:id="54"/>
      <w:bookmarkEnd w:id="54"/>
      <w:r>
        <w:rPr>
          <w:rFonts w:ascii="Times New Roman" w:hAnsi="Times New Roman"/>
          <w:b w:val="0"/>
          <w:spacing w:val="-8"/>
          <w:sz w:val="20"/>
        </w:rPr>
      </w:r>
      <w:r>
        <w:rPr>
          <w:color w:val="2D73B4"/>
        </w:rPr>
        <w:t>Calcul de l’impôt</w:t>
      </w:r>
    </w:p>
    <w:p>
      <w:pPr>
        <w:pStyle w:val="BodyText"/>
        <w:spacing w:line="197" w:lineRule="exact"/>
        <w:ind w:left="861"/>
        <w:jc w:val="both"/>
      </w:pPr>
      <w:r>
        <w:rPr/>
        <w:t>(Art.</w:t>
      </w:r>
      <w:r>
        <w:rPr>
          <w:spacing w:val="-1"/>
        </w:rPr>
        <w:t> </w:t>
      </w:r>
      <w:r>
        <w:rPr/>
        <w:t>108</w:t>
      </w:r>
      <w:r>
        <w:rPr>
          <w:spacing w:val="-2"/>
        </w:rPr>
        <w:t> </w:t>
      </w:r>
      <w:r>
        <w:rPr/>
        <w:t>à 110</w:t>
      </w:r>
      <w:r>
        <w:rPr>
          <w:spacing w:val="1"/>
        </w:rPr>
        <w:t> </w:t>
      </w:r>
      <w:r>
        <w:rPr>
          <w:spacing w:val="-2"/>
        </w:rPr>
        <w:t>LCdir)</w:t>
      </w:r>
    </w:p>
    <w:p>
      <w:pPr>
        <w:pStyle w:val="BodyText"/>
        <w:spacing w:before="154"/>
      </w:pPr>
    </w:p>
    <w:p>
      <w:pPr>
        <w:pStyle w:val="Heading7"/>
      </w:pPr>
      <w:r>
        <w:rPr>
          <w:color w:val="950000"/>
        </w:rPr>
        <w:t>Sociétés de capitaux et coopératives</w:t>
      </w:r>
      <w:r>
        <w:rPr>
          <w:color w:val="950000"/>
          <w:spacing w:val="80"/>
        </w:rPr>
        <w:t> </w:t>
      </w:r>
      <w:r>
        <w:rPr>
          <w:color w:val="950000"/>
          <w:spacing w:val="3"/>
        </w:rPr>
        <w:drawing>
          <wp:inline distT="0" distB="0" distL="0" distR="0">
            <wp:extent cx="201277" cy="114880"/>
            <wp:effectExtent l="0" t="0" r="0" b="0"/>
            <wp:docPr id="83" name="Image 83" descr="">
              <a:hlinkClick r:id="rId93"/>
            </wp:docPr>
            <wp:cNvGraphicFramePr>
              <a:graphicFrameLocks/>
            </wp:cNvGraphicFramePr>
            <a:graphic>
              <a:graphicData uri="http://schemas.openxmlformats.org/drawingml/2006/picture">
                <pic:pic>
                  <pic:nvPicPr>
                    <pic:cNvPr id="83" name="Image 83" descr="">
                      <a:hlinkClick r:id="rId93"/>
                    </pic:cNvPr>
                    <pic:cNvPicPr/>
                  </pic:nvPicPr>
                  <pic:blipFill>
                    <a:blip r:embed="rId11" cstate="print"/>
                    <a:stretch>
                      <a:fillRect/>
                    </a:stretch>
                  </pic:blipFill>
                  <pic:spPr>
                    <a:xfrm>
                      <a:off x="0" y="0"/>
                      <a:ext cx="201277" cy="114880"/>
                    </a:xfrm>
                    <a:prstGeom prst="rect">
                      <a:avLst/>
                    </a:prstGeom>
                  </pic:spPr>
                </pic:pic>
              </a:graphicData>
            </a:graphic>
          </wp:inline>
        </w:drawing>
      </w:r>
      <w:r>
        <w:rPr>
          <w:color w:val="950000"/>
          <w:spacing w:val="3"/>
        </w:rPr>
      </w:r>
    </w:p>
    <w:p>
      <w:pPr>
        <w:pStyle w:val="Heading8"/>
      </w:pPr>
      <w:r>
        <w:rPr/>
        <w:t>Art.</w:t>
      </w:r>
      <w:r>
        <w:rPr>
          <w:spacing w:val="-3"/>
        </w:rPr>
        <w:t> </w:t>
      </w:r>
      <w:r>
        <w:rPr/>
        <w:t>108,</w:t>
      </w:r>
      <w:r>
        <w:rPr>
          <w:spacing w:val="-1"/>
        </w:rPr>
        <w:t> </w:t>
      </w:r>
      <w:r>
        <w:rPr/>
        <w:t>al. 1</w:t>
      </w:r>
      <w:r>
        <w:rPr>
          <w:spacing w:val="-3"/>
        </w:rPr>
        <w:t> </w:t>
      </w:r>
      <w:r>
        <w:rPr/>
        <w:t>et</w:t>
      </w:r>
      <w:r>
        <w:rPr>
          <w:spacing w:val="-1"/>
        </w:rPr>
        <w:t> </w:t>
      </w:r>
      <w:r>
        <w:rPr/>
        <w:t>3</w:t>
      </w:r>
      <w:r>
        <w:rPr>
          <w:spacing w:val="1"/>
        </w:rPr>
        <w:t> </w:t>
      </w:r>
      <w:r>
        <w:rPr>
          <w:spacing w:val="-4"/>
        </w:rPr>
        <w:t>LCdir</w:t>
      </w:r>
    </w:p>
    <w:p>
      <w:pPr>
        <w:pStyle w:val="BodyText"/>
        <w:spacing w:before="56"/>
        <w:ind w:left="1134" w:right="700"/>
      </w:pPr>
      <w:r>
        <w:rPr>
          <w:position w:val="6"/>
          <w:sz w:val="12"/>
        </w:rPr>
        <w:t>1</w:t>
      </w:r>
      <w:r>
        <w:rPr>
          <w:spacing w:val="25"/>
          <w:position w:val="6"/>
          <w:sz w:val="12"/>
        </w:rPr>
        <w:t> </w:t>
      </w:r>
      <w:r>
        <w:rPr/>
        <w:t>L'impôt de base sur le capital des sociétés de capitaux et des sociétés coopératives est de 2,5‰ du capital propre imposable.</w:t>
      </w:r>
    </w:p>
    <w:p>
      <w:pPr>
        <w:pStyle w:val="BodyText"/>
        <w:spacing w:before="36"/>
        <w:ind w:left="1134"/>
      </w:pPr>
      <w:r>
        <w:rPr>
          <w:position w:val="6"/>
          <w:sz w:val="12"/>
        </w:rPr>
        <w:t>3</w:t>
      </w:r>
      <w:r>
        <w:rPr>
          <w:spacing w:val="15"/>
          <w:position w:val="6"/>
          <w:sz w:val="12"/>
        </w:rPr>
        <w:t> </w:t>
      </w:r>
      <w:r>
        <w:rPr/>
        <w:t>L’impôt</w:t>
      </w:r>
      <w:r>
        <w:rPr>
          <w:spacing w:val="-2"/>
        </w:rPr>
        <w:t> </w:t>
      </w:r>
      <w:r>
        <w:rPr/>
        <w:t>sur</w:t>
      </w:r>
      <w:r>
        <w:rPr>
          <w:spacing w:val="-1"/>
        </w:rPr>
        <w:t> </w:t>
      </w:r>
      <w:r>
        <w:rPr/>
        <w:t>le</w:t>
      </w:r>
      <w:r>
        <w:rPr>
          <w:spacing w:val="-4"/>
        </w:rPr>
        <w:t> </w:t>
      </w:r>
      <w:r>
        <w:rPr/>
        <w:t>bénéfice est</w:t>
      </w:r>
      <w:r>
        <w:rPr>
          <w:spacing w:val="-2"/>
        </w:rPr>
        <w:t> </w:t>
      </w:r>
      <w:r>
        <w:rPr/>
        <w:t>imputé à</w:t>
      </w:r>
      <w:r>
        <w:rPr>
          <w:spacing w:val="-4"/>
        </w:rPr>
        <w:t> </w:t>
      </w:r>
      <w:r>
        <w:rPr/>
        <w:t>l’impôt</w:t>
      </w:r>
      <w:r>
        <w:rPr>
          <w:spacing w:val="-3"/>
        </w:rPr>
        <w:t> </w:t>
      </w:r>
      <w:r>
        <w:rPr/>
        <w:t>sur</w:t>
      </w:r>
      <w:r>
        <w:rPr>
          <w:spacing w:val="-2"/>
        </w:rPr>
        <w:t> </w:t>
      </w:r>
      <w:r>
        <w:rPr/>
        <w:t>le </w:t>
      </w:r>
      <w:r>
        <w:rPr>
          <w:spacing w:val="-2"/>
        </w:rPr>
        <w:t>capital.</w:t>
      </w:r>
    </w:p>
    <w:p>
      <w:pPr>
        <w:pStyle w:val="BodyText"/>
        <w:spacing w:before="154"/>
      </w:pPr>
    </w:p>
    <w:p>
      <w:pPr>
        <w:pStyle w:val="Heading7"/>
        <w:spacing w:before="1"/>
      </w:pPr>
      <w:r>
        <w:rPr>
          <w:color w:val="950000"/>
        </w:rPr>
        <w:t>Réduction d’impôt pour le capital propre afférent aux brevets et droits de participation</w:t>
      </w:r>
      <w:r>
        <w:rPr>
          <w:color w:val="950000"/>
          <w:spacing w:val="80"/>
          <w:w w:val="150"/>
        </w:rPr>
        <w:t> </w:t>
      </w:r>
      <w:r>
        <w:rPr>
          <w:color w:val="950000"/>
          <w:spacing w:val="-1"/>
        </w:rPr>
        <w:drawing>
          <wp:inline distT="0" distB="0" distL="0" distR="0">
            <wp:extent cx="201240" cy="114907"/>
            <wp:effectExtent l="0" t="0" r="0" b="0"/>
            <wp:docPr id="84" name="Image 84" descr="">
              <a:hlinkClick r:id="rId94"/>
            </wp:docPr>
            <wp:cNvGraphicFramePr>
              <a:graphicFrameLocks/>
            </wp:cNvGraphicFramePr>
            <a:graphic>
              <a:graphicData uri="http://schemas.openxmlformats.org/drawingml/2006/picture">
                <pic:pic>
                  <pic:nvPicPr>
                    <pic:cNvPr id="84" name="Image 84" descr="">
                      <a:hlinkClick r:id="rId94"/>
                    </pic:cNvPr>
                    <pic:cNvPicPr/>
                  </pic:nvPicPr>
                  <pic:blipFill>
                    <a:blip r:embed="rId11" cstate="print"/>
                    <a:stretch>
                      <a:fillRect/>
                    </a:stretch>
                  </pic:blipFill>
                  <pic:spPr>
                    <a:xfrm>
                      <a:off x="0" y="0"/>
                      <a:ext cx="201240" cy="114907"/>
                    </a:xfrm>
                    <a:prstGeom prst="rect">
                      <a:avLst/>
                    </a:prstGeom>
                  </pic:spPr>
                </pic:pic>
              </a:graphicData>
            </a:graphic>
          </wp:inline>
        </w:drawing>
      </w:r>
      <w:r>
        <w:rPr>
          <w:color w:val="950000"/>
          <w:spacing w:val="-1"/>
        </w:rPr>
      </w:r>
    </w:p>
    <w:p>
      <w:pPr>
        <w:pStyle w:val="Heading8"/>
      </w:pPr>
      <w:r>
        <w:rPr/>
        <w:t>Art.</w:t>
      </w:r>
      <w:r>
        <w:rPr>
          <w:spacing w:val="-4"/>
        </w:rPr>
        <w:t> </w:t>
      </w:r>
      <w:r>
        <w:rPr/>
        <w:t>108,</w:t>
      </w:r>
      <w:r>
        <w:rPr>
          <w:spacing w:val="-1"/>
        </w:rPr>
        <w:t> </w:t>
      </w:r>
      <w:r>
        <w:rPr/>
        <w:t>al.</w:t>
      </w:r>
      <w:r>
        <w:rPr>
          <w:spacing w:val="-1"/>
        </w:rPr>
        <w:t> </w:t>
      </w:r>
      <w:r>
        <w:rPr/>
        <w:t>2</w:t>
      </w:r>
      <w:r>
        <w:rPr>
          <w:spacing w:val="-2"/>
        </w:rPr>
        <w:t> LCdir</w:t>
      </w:r>
    </w:p>
    <w:p>
      <w:pPr>
        <w:pStyle w:val="BodyText"/>
        <w:spacing w:before="55"/>
        <w:ind w:left="1134" w:right="700"/>
      </w:pPr>
      <w:r>
        <w:rPr>
          <w:position w:val="6"/>
          <w:sz w:val="12"/>
        </w:rPr>
        <w:t>2</w:t>
      </w:r>
      <w:r>
        <w:rPr>
          <w:spacing w:val="-3"/>
          <w:position w:val="6"/>
          <w:sz w:val="12"/>
        </w:rPr>
        <w:t> </w:t>
      </w:r>
      <w:r>
        <w:rPr/>
        <w:t>L’impôt</w:t>
      </w:r>
      <w:r>
        <w:rPr>
          <w:spacing w:val="-12"/>
        </w:rPr>
        <w:t> </w:t>
      </w:r>
      <w:r>
        <w:rPr/>
        <w:t>de</w:t>
      </w:r>
      <w:r>
        <w:rPr>
          <w:spacing w:val="-13"/>
        </w:rPr>
        <w:t> </w:t>
      </w:r>
      <w:r>
        <w:rPr/>
        <w:t>base</w:t>
      </w:r>
      <w:r>
        <w:rPr>
          <w:spacing w:val="-12"/>
        </w:rPr>
        <w:t> </w:t>
      </w:r>
      <w:r>
        <w:rPr/>
        <w:t>est</w:t>
      </w:r>
      <w:r>
        <w:rPr>
          <w:spacing w:val="-13"/>
        </w:rPr>
        <w:t> </w:t>
      </w:r>
      <w:r>
        <w:rPr/>
        <w:t>de</w:t>
      </w:r>
      <w:r>
        <w:rPr>
          <w:spacing w:val="-12"/>
        </w:rPr>
        <w:t> </w:t>
      </w:r>
      <w:r>
        <w:rPr/>
        <w:t>0,005‰</w:t>
      </w:r>
      <w:r>
        <w:rPr>
          <w:spacing w:val="-12"/>
        </w:rPr>
        <w:t> </w:t>
      </w:r>
      <w:r>
        <w:rPr/>
        <w:t>pour</w:t>
      </w:r>
      <w:r>
        <w:rPr>
          <w:spacing w:val="-13"/>
        </w:rPr>
        <w:t> </w:t>
      </w:r>
      <w:r>
        <w:rPr/>
        <w:t>le</w:t>
      </w:r>
      <w:r>
        <w:rPr>
          <w:spacing w:val="-12"/>
        </w:rPr>
        <w:t> </w:t>
      </w:r>
      <w:r>
        <w:rPr/>
        <w:t>capital</w:t>
      </w:r>
      <w:r>
        <w:rPr>
          <w:spacing w:val="-13"/>
        </w:rPr>
        <w:t> </w:t>
      </w:r>
      <w:r>
        <w:rPr/>
        <w:t>propre</w:t>
      </w:r>
      <w:r>
        <w:rPr>
          <w:spacing w:val="-12"/>
        </w:rPr>
        <w:t> </w:t>
      </w:r>
      <w:r>
        <w:rPr/>
        <w:t>afférent</w:t>
      </w:r>
      <w:r>
        <w:rPr>
          <w:spacing w:val="-13"/>
        </w:rPr>
        <w:t> </w:t>
      </w:r>
      <w:r>
        <w:rPr/>
        <w:t>aux</w:t>
      </w:r>
      <w:r>
        <w:rPr>
          <w:spacing w:val="-12"/>
        </w:rPr>
        <w:t> </w:t>
      </w:r>
      <w:r>
        <w:rPr/>
        <w:t>droits</w:t>
      </w:r>
      <w:r>
        <w:rPr>
          <w:spacing w:val="-13"/>
        </w:rPr>
        <w:t> </w:t>
      </w:r>
      <w:r>
        <w:rPr/>
        <w:t>de</w:t>
      </w:r>
      <w:r>
        <w:rPr>
          <w:spacing w:val="-12"/>
        </w:rPr>
        <w:t> </w:t>
      </w:r>
      <w:r>
        <w:rPr/>
        <w:t>participations</w:t>
      </w:r>
      <w:r>
        <w:rPr>
          <w:spacing w:val="-13"/>
        </w:rPr>
        <w:t> </w:t>
      </w:r>
      <w:r>
        <w:rPr/>
        <w:t>visés</w:t>
      </w:r>
      <w:r>
        <w:rPr>
          <w:spacing w:val="-12"/>
        </w:rPr>
        <w:t> </w:t>
      </w:r>
      <w:r>
        <w:rPr/>
        <w:t>à</w:t>
      </w:r>
      <w:r>
        <w:rPr>
          <w:spacing w:val="-13"/>
        </w:rPr>
        <w:t> </w:t>
      </w:r>
      <w:r>
        <w:rPr/>
        <w:t>l’article 95, aux droits visés à l’article 87a ainsi qu’aux prêts consentis à des sociétés de groupe.</w:t>
      </w:r>
    </w:p>
    <w:p>
      <w:pPr>
        <w:pStyle w:val="BodyText"/>
        <w:spacing w:before="155"/>
      </w:pPr>
    </w:p>
    <w:p>
      <w:pPr>
        <w:pStyle w:val="Heading7"/>
      </w:pPr>
      <w:r>
        <w:rPr>
          <w:color w:val="950000"/>
        </w:rPr>
        <w:t>Associations, fondations et autres personnes morales</w:t>
      </w:r>
      <w:r>
        <w:rPr>
          <w:color w:val="950000"/>
          <w:spacing w:val="80"/>
        </w:rPr>
        <w:t> </w:t>
      </w:r>
      <w:r>
        <w:rPr>
          <w:color w:val="950000"/>
        </w:rPr>
        <w:drawing>
          <wp:inline distT="0" distB="0" distL="0" distR="0">
            <wp:extent cx="201283" cy="114929"/>
            <wp:effectExtent l="0" t="0" r="0" b="0"/>
            <wp:docPr id="85" name="Image 85" descr="">
              <a:hlinkClick r:id="rId95"/>
            </wp:docPr>
            <wp:cNvGraphicFramePr>
              <a:graphicFrameLocks/>
            </wp:cNvGraphicFramePr>
            <a:graphic>
              <a:graphicData uri="http://schemas.openxmlformats.org/drawingml/2006/picture">
                <pic:pic>
                  <pic:nvPicPr>
                    <pic:cNvPr id="85" name="Image 85" descr="">
                      <a:hlinkClick r:id="rId95"/>
                    </pic:cNvPr>
                    <pic:cNvPicPr/>
                  </pic:nvPicPr>
                  <pic:blipFill>
                    <a:blip r:embed="rId11" cstate="print"/>
                    <a:stretch>
                      <a:fillRect/>
                    </a:stretch>
                  </pic:blipFill>
                  <pic:spPr>
                    <a:xfrm>
                      <a:off x="0" y="0"/>
                      <a:ext cx="201283" cy="114929"/>
                    </a:xfrm>
                    <a:prstGeom prst="rect">
                      <a:avLst/>
                    </a:prstGeom>
                  </pic:spPr>
                </pic:pic>
              </a:graphicData>
            </a:graphic>
          </wp:inline>
        </w:drawing>
      </w:r>
      <w:r>
        <w:rPr>
          <w:color w:val="950000"/>
        </w:rPr>
      </w:r>
    </w:p>
    <w:p>
      <w:pPr>
        <w:pStyle w:val="Heading8"/>
        <w:spacing w:before="94"/>
      </w:pPr>
      <w:r>
        <w:rPr/>
        <w:t>Art.</w:t>
      </w:r>
      <w:r>
        <w:rPr>
          <w:spacing w:val="-3"/>
        </w:rPr>
        <w:t> </w:t>
      </w:r>
      <w:r>
        <w:rPr/>
        <w:t>109 </w:t>
      </w:r>
      <w:r>
        <w:rPr>
          <w:spacing w:val="-4"/>
        </w:rPr>
        <w:t>LCdir</w:t>
      </w:r>
    </w:p>
    <w:p>
      <w:pPr>
        <w:pStyle w:val="BodyText"/>
        <w:spacing w:before="59"/>
        <w:ind w:left="1134" w:right="700"/>
      </w:pPr>
      <w:r>
        <w:rPr/>
        <w:t>L'impôt</w:t>
      </w:r>
      <w:r>
        <w:rPr>
          <w:spacing w:val="-13"/>
        </w:rPr>
        <w:t> </w:t>
      </w:r>
      <w:r>
        <w:rPr/>
        <w:t>sur</w:t>
      </w:r>
      <w:r>
        <w:rPr>
          <w:spacing w:val="-12"/>
        </w:rPr>
        <w:t> </w:t>
      </w:r>
      <w:r>
        <w:rPr/>
        <w:t>le</w:t>
      </w:r>
      <w:r>
        <w:rPr>
          <w:spacing w:val="-14"/>
        </w:rPr>
        <w:t> </w:t>
      </w:r>
      <w:r>
        <w:rPr/>
        <w:t>capital</w:t>
      </w:r>
      <w:r>
        <w:rPr>
          <w:spacing w:val="-13"/>
        </w:rPr>
        <w:t> </w:t>
      </w:r>
      <w:r>
        <w:rPr/>
        <w:t>des</w:t>
      </w:r>
      <w:r>
        <w:rPr>
          <w:spacing w:val="-13"/>
        </w:rPr>
        <w:t> </w:t>
      </w:r>
      <w:r>
        <w:rPr/>
        <w:t>associations,</w:t>
      </w:r>
      <w:r>
        <w:rPr>
          <w:spacing w:val="-14"/>
        </w:rPr>
        <w:t> </w:t>
      </w:r>
      <w:r>
        <w:rPr/>
        <w:t>fondations</w:t>
      </w:r>
      <w:r>
        <w:rPr>
          <w:spacing w:val="-13"/>
        </w:rPr>
        <w:t> </w:t>
      </w:r>
      <w:r>
        <w:rPr/>
        <w:t>et</w:t>
      </w:r>
      <w:r>
        <w:rPr>
          <w:spacing w:val="-14"/>
        </w:rPr>
        <w:t> </w:t>
      </w:r>
      <w:r>
        <w:rPr/>
        <w:t>autres</w:t>
      </w:r>
      <w:r>
        <w:rPr>
          <w:spacing w:val="-12"/>
        </w:rPr>
        <w:t> </w:t>
      </w:r>
      <w:r>
        <w:rPr/>
        <w:t>personnes</w:t>
      </w:r>
      <w:r>
        <w:rPr>
          <w:spacing w:val="-13"/>
        </w:rPr>
        <w:t> </w:t>
      </w:r>
      <w:r>
        <w:rPr/>
        <w:t>morales</w:t>
      </w:r>
      <w:r>
        <w:rPr>
          <w:spacing w:val="-13"/>
        </w:rPr>
        <w:t> </w:t>
      </w:r>
      <w:r>
        <w:rPr/>
        <w:t>est</w:t>
      </w:r>
      <w:r>
        <w:rPr>
          <w:spacing w:val="-14"/>
        </w:rPr>
        <w:t> </w:t>
      </w:r>
      <w:r>
        <w:rPr/>
        <w:t>calculé</w:t>
      </w:r>
      <w:r>
        <w:rPr>
          <w:spacing w:val="-13"/>
        </w:rPr>
        <w:t> </w:t>
      </w:r>
      <w:r>
        <w:rPr/>
        <w:t>conformément à l'article 108 à l’exception de l’alinéa 3.</w:t>
      </w:r>
    </w:p>
    <w:p>
      <w:pPr>
        <w:pStyle w:val="BodyText"/>
        <w:spacing w:after="0"/>
        <w:sectPr>
          <w:pgSz w:w="11910" w:h="16840"/>
          <w:pgMar w:header="724" w:footer="687" w:top="960" w:bottom="880" w:left="850" w:right="992"/>
        </w:sectPr>
      </w:pPr>
    </w:p>
    <w:p>
      <w:pPr>
        <w:pStyle w:val="BodyText"/>
        <w:spacing w:before="211"/>
        <w:rPr>
          <w:sz w:val="20"/>
        </w:rPr>
      </w:pPr>
    </w:p>
    <w:p>
      <w:pPr>
        <w:pStyle w:val="Heading7"/>
      </w:pPr>
      <w:r>
        <w:rPr>
          <w:color w:val="950000"/>
        </w:rPr>
        <w:t>Placements collectifs de capitaux</w:t>
      </w:r>
      <w:r>
        <w:rPr>
          <w:color w:val="950000"/>
          <w:spacing w:val="80"/>
        </w:rPr>
        <w:t> </w:t>
      </w:r>
      <w:r>
        <w:rPr>
          <w:color w:val="950000"/>
          <w:spacing w:val="1"/>
        </w:rPr>
        <w:drawing>
          <wp:inline distT="0" distB="0" distL="0" distR="0">
            <wp:extent cx="201290" cy="114902"/>
            <wp:effectExtent l="0" t="0" r="0" b="0"/>
            <wp:docPr id="86" name="Image 86" descr="">
              <a:hlinkClick r:id="rId92"/>
            </wp:docPr>
            <wp:cNvGraphicFramePr>
              <a:graphicFrameLocks/>
            </wp:cNvGraphicFramePr>
            <a:graphic>
              <a:graphicData uri="http://schemas.openxmlformats.org/drawingml/2006/picture">
                <pic:pic>
                  <pic:nvPicPr>
                    <pic:cNvPr id="86" name="Image 86" descr="">
                      <a:hlinkClick r:id="rId92"/>
                    </pic:cNvPr>
                    <pic:cNvPicPr/>
                  </pic:nvPicPr>
                  <pic:blipFill>
                    <a:blip r:embed="rId11" cstate="print"/>
                    <a:stretch>
                      <a:fillRect/>
                    </a:stretch>
                  </pic:blipFill>
                  <pic:spPr>
                    <a:xfrm>
                      <a:off x="0" y="0"/>
                      <a:ext cx="201290" cy="114902"/>
                    </a:xfrm>
                    <a:prstGeom prst="rect">
                      <a:avLst/>
                    </a:prstGeom>
                  </pic:spPr>
                </pic:pic>
              </a:graphicData>
            </a:graphic>
          </wp:inline>
        </w:drawing>
      </w:r>
      <w:r>
        <w:rPr>
          <w:color w:val="950000"/>
          <w:spacing w:val="1"/>
        </w:rPr>
      </w:r>
    </w:p>
    <w:p>
      <w:pPr>
        <w:pStyle w:val="Heading8"/>
        <w:spacing w:before="94"/>
      </w:pPr>
      <w:r>
        <w:rPr/>
        <w:t>Art.</w:t>
      </w:r>
      <w:r>
        <w:rPr>
          <w:spacing w:val="-3"/>
        </w:rPr>
        <w:t> </w:t>
      </w:r>
      <w:r>
        <w:rPr/>
        <w:t>110 </w:t>
      </w:r>
      <w:r>
        <w:rPr>
          <w:spacing w:val="-4"/>
        </w:rPr>
        <w:t>LCdir</w:t>
      </w:r>
    </w:p>
    <w:p>
      <w:pPr>
        <w:pStyle w:val="BodyText"/>
        <w:spacing w:before="59"/>
        <w:ind w:left="1134" w:right="700"/>
      </w:pPr>
      <w:r>
        <w:rPr/>
        <w:t>L'impôt sur le capital des placements collectifs de capitaux qui possèdent des immeubles en propriété directe est de 1‰ du capital propre imposable.</w:t>
      </w:r>
    </w:p>
    <w:p>
      <w:pPr>
        <w:pStyle w:val="BodyText"/>
      </w:pPr>
    </w:p>
    <w:p>
      <w:pPr>
        <w:pStyle w:val="BodyText"/>
        <w:spacing w:before="72"/>
      </w:pPr>
    </w:p>
    <w:p>
      <w:pPr>
        <w:pStyle w:val="Heading2"/>
        <w:spacing w:before="1"/>
        <w:ind w:right="138"/>
      </w:pPr>
      <w:bookmarkStart w:name="Disposition transitoire concernant les h" w:id="55"/>
      <w:bookmarkEnd w:id="55"/>
      <w:r>
        <w:rPr>
          <w:b w:val="0"/>
        </w:rPr>
      </w:r>
      <w:bookmarkStart w:name="_bookmark24" w:id="56"/>
      <w:bookmarkEnd w:id="56"/>
      <w:r>
        <w:rPr>
          <w:b w:val="0"/>
        </w:rPr>
      </w:r>
      <w:r>
        <w:rPr>
          <w:color w:val="2D73B4"/>
        </w:rPr>
        <w:t>Disposition</w:t>
      </w:r>
      <w:r>
        <w:rPr>
          <w:color w:val="2D73B4"/>
          <w:spacing w:val="-6"/>
        </w:rPr>
        <w:t> </w:t>
      </w:r>
      <w:r>
        <w:rPr>
          <w:color w:val="2D73B4"/>
        </w:rPr>
        <w:t>transitoire</w:t>
      </w:r>
      <w:r>
        <w:rPr>
          <w:color w:val="2D73B4"/>
          <w:spacing w:val="-8"/>
        </w:rPr>
        <w:t> </w:t>
      </w:r>
      <w:r>
        <w:rPr>
          <w:color w:val="2D73B4"/>
        </w:rPr>
        <w:t>concernant</w:t>
      </w:r>
      <w:r>
        <w:rPr>
          <w:color w:val="2D73B4"/>
          <w:spacing w:val="-9"/>
        </w:rPr>
        <w:t> </w:t>
      </w:r>
      <w:r>
        <w:rPr>
          <w:color w:val="2D73B4"/>
        </w:rPr>
        <w:t>les</w:t>
      </w:r>
      <w:r>
        <w:rPr>
          <w:color w:val="2D73B4"/>
          <w:spacing w:val="-8"/>
        </w:rPr>
        <w:t> </w:t>
      </w:r>
      <w:r>
        <w:rPr>
          <w:color w:val="2D73B4"/>
        </w:rPr>
        <w:t>holdings</w:t>
      </w:r>
      <w:r>
        <w:rPr>
          <w:color w:val="2D73B4"/>
          <w:spacing w:val="-6"/>
        </w:rPr>
        <w:t> </w:t>
      </w:r>
      <w:r>
        <w:rPr>
          <w:color w:val="2D73B4"/>
        </w:rPr>
        <w:t>et</w:t>
      </w:r>
      <w:r>
        <w:rPr>
          <w:color w:val="2D73B4"/>
          <w:spacing w:val="-9"/>
        </w:rPr>
        <w:t> </w:t>
      </w:r>
      <w:r>
        <w:rPr>
          <w:color w:val="2D73B4"/>
        </w:rPr>
        <w:t>les</w:t>
      </w:r>
      <w:r>
        <w:rPr>
          <w:color w:val="2D73B4"/>
          <w:spacing w:val="-8"/>
        </w:rPr>
        <w:t> </w:t>
      </w:r>
      <w:r>
        <w:rPr>
          <w:color w:val="2D73B4"/>
        </w:rPr>
        <w:t>socié-tés de domicile (2020 – 2024)</w:t>
      </w:r>
    </w:p>
    <w:p>
      <w:pPr>
        <w:pStyle w:val="Heading7"/>
        <w:spacing w:before="360"/>
      </w:pPr>
      <w:r>
        <w:rPr>
          <w:color w:val="950000"/>
        </w:rPr>
        <w:t>Disposition transitoire à la modification du 27 mars 2019</w:t>
      </w:r>
      <w:r>
        <w:rPr>
          <w:color w:val="950000"/>
          <w:spacing w:val="80"/>
          <w:w w:val="150"/>
        </w:rPr>
        <w:t> </w:t>
      </w:r>
      <w:r>
        <w:rPr>
          <w:color w:val="950000"/>
          <w:spacing w:val="-1"/>
        </w:rPr>
        <w:drawing>
          <wp:inline distT="0" distB="0" distL="0" distR="0">
            <wp:extent cx="201262" cy="114883"/>
            <wp:effectExtent l="0" t="0" r="0" b="0"/>
            <wp:docPr id="87" name="Image 87" descr="">
              <a:hlinkClick r:id="rId96"/>
            </wp:docPr>
            <wp:cNvGraphicFramePr>
              <a:graphicFrameLocks/>
            </wp:cNvGraphicFramePr>
            <a:graphic>
              <a:graphicData uri="http://schemas.openxmlformats.org/drawingml/2006/picture">
                <pic:pic>
                  <pic:nvPicPr>
                    <pic:cNvPr id="87" name="Image 87" descr="">
                      <a:hlinkClick r:id="rId96"/>
                    </pic:cNvPr>
                    <pic:cNvPicPr/>
                  </pic:nvPicPr>
                  <pic:blipFill>
                    <a:blip r:embed="rId11" cstate="print"/>
                    <a:stretch>
                      <a:fillRect/>
                    </a:stretch>
                  </pic:blipFill>
                  <pic:spPr>
                    <a:xfrm>
                      <a:off x="0" y="0"/>
                      <a:ext cx="201262" cy="114883"/>
                    </a:xfrm>
                    <a:prstGeom prst="rect">
                      <a:avLst/>
                    </a:prstGeom>
                  </pic:spPr>
                </pic:pic>
              </a:graphicData>
            </a:graphic>
          </wp:inline>
        </w:drawing>
      </w:r>
      <w:r>
        <w:rPr>
          <w:color w:val="950000"/>
          <w:spacing w:val="-1"/>
        </w:rPr>
      </w:r>
    </w:p>
    <w:p>
      <w:pPr>
        <w:pStyle w:val="Heading8"/>
        <w:spacing w:before="94"/>
      </w:pPr>
      <w:r>
        <w:rPr/>
        <w:t>Al.</w:t>
      </w:r>
      <w:r>
        <w:rPr>
          <w:spacing w:val="-1"/>
        </w:rPr>
        <w:t> </w:t>
      </w:r>
      <w:r>
        <w:rPr/>
        <w:t>1</w:t>
      </w:r>
      <w:r>
        <w:rPr>
          <w:spacing w:val="1"/>
        </w:rPr>
        <w:t> </w:t>
      </w:r>
      <w:r>
        <w:rPr/>
        <w:t>et</w:t>
      </w:r>
      <w:r>
        <w:rPr>
          <w:spacing w:val="-2"/>
        </w:rPr>
        <w:t> </w:t>
      </w:r>
      <w:r>
        <w:rPr/>
        <w:t>2</w:t>
      </w:r>
      <w:r>
        <w:rPr>
          <w:spacing w:val="1"/>
        </w:rPr>
        <w:t> </w:t>
      </w:r>
      <w:r>
        <w:rPr>
          <w:spacing w:val="-2"/>
        </w:rPr>
        <w:t>LCdir</w:t>
      </w:r>
    </w:p>
    <w:p>
      <w:pPr>
        <w:pStyle w:val="BodyText"/>
        <w:spacing w:before="56"/>
        <w:ind w:left="1134" w:right="703"/>
        <w:jc w:val="both"/>
      </w:pPr>
      <w:r>
        <w:rPr>
          <w:position w:val="6"/>
          <w:sz w:val="12"/>
        </w:rPr>
        <w:t>1</w:t>
      </w:r>
      <w:r>
        <w:rPr>
          <w:spacing w:val="34"/>
          <w:position w:val="6"/>
          <w:sz w:val="12"/>
        </w:rPr>
        <w:t> </w:t>
      </w:r>
      <w:r>
        <w:rPr/>
        <w:t>Si des personnes morales ont été imposées sur la base des articles 97 et 98 de l’ancien droit, les réserves latentes existant à la fin de cette imposition, y compris la plus-value créée par le contribuable lui-même,</w:t>
      </w:r>
      <w:r>
        <w:rPr>
          <w:spacing w:val="-12"/>
        </w:rPr>
        <w:t> </w:t>
      </w:r>
      <w:r>
        <w:rPr/>
        <w:t>doivent,</w:t>
      </w:r>
      <w:r>
        <w:rPr>
          <w:spacing w:val="-11"/>
        </w:rPr>
        <w:t> </w:t>
      </w:r>
      <w:r>
        <w:rPr/>
        <w:t>lors</w:t>
      </w:r>
      <w:r>
        <w:rPr>
          <w:spacing w:val="-10"/>
        </w:rPr>
        <w:t> </w:t>
      </w:r>
      <w:r>
        <w:rPr/>
        <w:t>de</w:t>
      </w:r>
      <w:r>
        <w:rPr>
          <w:spacing w:val="-13"/>
        </w:rPr>
        <w:t> </w:t>
      </w:r>
      <w:r>
        <w:rPr/>
        <w:t>leur</w:t>
      </w:r>
      <w:r>
        <w:rPr>
          <w:spacing w:val="-12"/>
        </w:rPr>
        <w:t> </w:t>
      </w:r>
      <w:r>
        <w:rPr/>
        <w:t>réalisation,</w:t>
      </w:r>
      <w:r>
        <w:rPr>
          <w:spacing w:val="-11"/>
        </w:rPr>
        <w:t> </w:t>
      </w:r>
      <w:r>
        <w:rPr/>
        <w:t>être</w:t>
      </w:r>
      <w:r>
        <w:rPr>
          <w:spacing w:val="-11"/>
        </w:rPr>
        <w:t> </w:t>
      </w:r>
      <w:r>
        <w:rPr/>
        <w:t>imposées</w:t>
      </w:r>
      <w:r>
        <w:rPr>
          <w:spacing w:val="-10"/>
        </w:rPr>
        <w:t> </w:t>
      </w:r>
      <w:r>
        <w:rPr/>
        <w:t>séparément</w:t>
      </w:r>
      <w:r>
        <w:rPr>
          <w:spacing w:val="-11"/>
        </w:rPr>
        <w:t> </w:t>
      </w:r>
      <w:r>
        <w:rPr/>
        <w:t>dans</w:t>
      </w:r>
      <w:r>
        <w:rPr>
          <w:spacing w:val="-10"/>
        </w:rPr>
        <w:t> </w:t>
      </w:r>
      <w:r>
        <w:rPr/>
        <w:t>les</w:t>
      </w:r>
      <w:r>
        <w:rPr>
          <w:spacing w:val="-10"/>
        </w:rPr>
        <w:t> </w:t>
      </w:r>
      <w:r>
        <w:rPr/>
        <w:t>cinq</w:t>
      </w:r>
      <w:r>
        <w:rPr>
          <w:spacing w:val="-13"/>
        </w:rPr>
        <w:t> </w:t>
      </w:r>
      <w:r>
        <w:rPr/>
        <w:t>ans</w:t>
      </w:r>
      <w:r>
        <w:rPr>
          <w:spacing w:val="-12"/>
        </w:rPr>
        <w:t> </w:t>
      </w:r>
      <w:r>
        <w:rPr/>
        <w:t>qui</w:t>
      </w:r>
      <w:r>
        <w:rPr>
          <w:spacing w:val="-13"/>
        </w:rPr>
        <w:t> </w:t>
      </w:r>
      <w:r>
        <w:rPr/>
        <w:t>suivent,</w:t>
      </w:r>
      <w:r>
        <w:rPr>
          <w:spacing w:val="-10"/>
        </w:rPr>
        <w:t> </w:t>
      </w:r>
      <w:r>
        <w:rPr/>
        <w:t>dans la mesure où elles n’ont pas été imposables jusqu’alors. L’impôt de base sur le bénéfice est calculé au taux de 2,5%. L’article 3a, alinéas 2 à 4, est applicable par analogie.</w:t>
      </w:r>
    </w:p>
    <w:p>
      <w:pPr>
        <w:pStyle w:val="BodyText"/>
        <w:spacing w:before="34"/>
        <w:ind w:left="1134" w:right="703"/>
        <w:jc w:val="both"/>
      </w:pPr>
      <w:r>
        <w:rPr>
          <w:position w:val="6"/>
          <w:sz w:val="12"/>
        </w:rPr>
        <w:t>2</w:t>
      </w:r>
      <w:r>
        <w:rPr>
          <w:spacing w:val="24"/>
          <w:position w:val="6"/>
          <w:sz w:val="12"/>
        </w:rPr>
        <w:t> </w:t>
      </w:r>
      <w:r>
        <w:rPr/>
        <w:t>Le montant des réserves latentes que le contribuable fait valoir, y compris la plus-value qu’il a créée lui-même, est fixé par une décision de l’autorité de taxation.</w:t>
      </w:r>
    </w:p>
    <w:p>
      <w:pPr>
        <w:pStyle w:val="BodyText"/>
      </w:pPr>
    </w:p>
    <w:p>
      <w:pPr>
        <w:pStyle w:val="BodyText"/>
        <w:spacing w:before="70"/>
      </w:pPr>
    </w:p>
    <w:p>
      <w:pPr>
        <w:pStyle w:val="Heading2"/>
      </w:pPr>
      <w:bookmarkStart w:name="Coefficient annuel" w:id="57"/>
      <w:bookmarkEnd w:id="57"/>
      <w:r>
        <w:rPr>
          <w:b w:val="0"/>
        </w:rPr>
      </w:r>
      <w:bookmarkStart w:name="_bookmark25" w:id="58"/>
      <w:bookmarkEnd w:id="58"/>
      <w:r>
        <w:rPr>
          <w:b w:val="0"/>
        </w:rPr>
      </w:r>
      <w:r>
        <w:rPr>
          <w:color w:val="2D73B4"/>
        </w:rPr>
        <w:t>Coefficient</w:t>
      </w:r>
      <w:r>
        <w:rPr>
          <w:color w:val="2D73B4"/>
          <w:spacing w:val="-21"/>
        </w:rPr>
        <w:t> </w:t>
      </w:r>
      <w:r>
        <w:rPr>
          <w:color w:val="2D73B4"/>
          <w:spacing w:val="-2"/>
        </w:rPr>
        <w:t>annuel</w:t>
      </w:r>
    </w:p>
    <w:p>
      <w:pPr>
        <w:pStyle w:val="BodyText"/>
        <w:spacing w:before="56"/>
        <w:ind w:left="851"/>
      </w:pPr>
      <w:r>
        <w:rPr/>
        <w:t>(Art.</w:t>
      </w:r>
      <w:r>
        <w:rPr>
          <w:spacing w:val="-2"/>
        </w:rPr>
        <w:t> </w:t>
      </w:r>
      <w:r>
        <w:rPr/>
        <w:t>3a</w:t>
      </w:r>
      <w:r>
        <w:rPr>
          <w:spacing w:val="-3"/>
        </w:rPr>
        <w:t> </w:t>
      </w:r>
      <w:r>
        <w:rPr/>
        <w:t>LCdir</w:t>
      </w:r>
      <w:r>
        <w:rPr>
          <w:spacing w:val="-1"/>
        </w:rPr>
        <w:t> </w:t>
      </w:r>
      <w:r>
        <w:rPr/>
        <w:t>;</w:t>
      </w:r>
      <w:r>
        <w:rPr>
          <w:spacing w:val="-2"/>
        </w:rPr>
        <w:t> </w:t>
      </w:r>
      <w:r>
        <w:rPr/>
        <w:t>Art.</w:t>
      </w:r>
      <w:r>
        <w:rPr>
          <w:spacing w:val="-1"/>
        </w:rPr>
        <w:t> </w:t>
      </w:r>
      <w:r>
        <w:rPr/>
        <w:t>premier</w:t>
      </w:r>
      <w:r>
        <w:rPr>
          <w:spacing w:val="-1"/>
        </w:rPr>
        <w:t> </w:t>
      </w:r>
      <w:r>
        <w:rPr>
          <w:spacing w:val="-2"/>
        </w:rPr>
        <w:t>DCICdirPM)</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4">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8"/>
      </w:pPr>
    </w:p>
    <w:p>
      <w:pPr>
        <w:pStyle w:val="Heading8"/>
        <w:spacing w:before="0"/>
      </w:pPr>
      <w:r>
        <w:rPr/>
        <w:t>Art.</w:t>
      </w:r>
      <w:r>
        <w:rPr>
          <w:spacing w:val="-1"/>
        </w:rPr>
        <w:t> </w:t>
      </w:r>
      <w:r>
        <w:rPr/>
        <w:t>3a, al.</w:t>
      </w:r>
      <w:r>
        <w:rPr>
          <w:spacing w:val="-3"/>
        </w:rPr>
        <w:t> </w:t>
      </w:r>
      <w:r>
        <w:rPr/>
        <w:t>4</w:t>
      </w:r>
      <w:r>
        <w:rPr>
          <w:spacing w:val="1"/>
        </w:rPr>
        <w:t> </w:t>
      </w:r>
      <w:r>
        <w:rPr>
          <w:spacing w:val="-2"/>
        </w:rPr>
        <w:t>LCdir</w:t>
      </w:r>
    </w:p>
    <w:p>
      <w:pPr>
        <w:pStyle w:val="BodyText"/>
        <w:spacing w:line="261" w:lineRule="auto" w:before="56"/>
        <w:ind w:left="1134" w:right="703"/>
        <w:jc w:val="both"/>
      </w:pPr>
      <w:r>
        <w:rPr>
          <w:position w:val="6"/>
          <w:sz w:val="12"/>
        </w:rPr>
        <w:t>1</w:t>
      </w:r>
      <w:r>
        <w:rPr>
          <w:spacing w:val="4"/>
          <w:position w:val="6"/>
          <w:sz w:val="12"/>
        </w:rPr>
        <w:t> </w:t>
      </w:r>
      <w:r>
        <w:rPr/>
        <w:t>Les</w:t>
      </w:r>
      <w:r>
        <w:rPr>
          <w:spacing w:val="-10"/>
        </w:rPr>
        <w:t> </w:t>
      </w:r>
      <w:r>
        <w:rPr/>
        <w:t>impôts</w:t>
      </w:r>
      <w:r>
        <w:rPr>
          <w:spacing w:val="-10"/>
        </w:rPr>
        <w:t> </w:t>
      </w:r>
      <w:r>
        <w:rPr/>
        <w:t>directs</w:t>
      </w:r>
      <w:r>
        <w:rPr>
          <w:spacing w:val="-10"/>
        </w:rPr>
        <w:t> </w:t>
      </w:r>
      <w:r>
        <w:rPr/>
        <w:t>cantonal</w:t>
      </w:r>
      <w:r>
        <w:rPr>
          <w:spacing w:val="-11"/>
        </w:rPr>
        <w:t> </w:t>
      </w:r>
      <w:r>
        <w:rPr/>
        <w:t>et</w:t>
      </w:r>
      <w:r>
        <w:rPr>
          <w:spacing w:val="-13"/>
        </w:rPr>
        <w:t> </w:t>
      </w:r>
      <w:r>
        <w:rPr/>
        <w:t>communal</w:t>
      </w:r>
      <w:r>
        <w:rPr>
          <w:spacing w:val="-10"/>
        </w:rPr>
        <w:t> </w:t>
      </w:r>
      <w:r>
        <w:rPr/>
        <w:t>sur</w:t>
      </w:r>
      <w:r>
        <w:rPr>
          <w:spacing w:val="-12"/>
        </w:rPr>
        <w:t> </w:t>
      </w:r>
      <w:r>
        <w:rPr/>
        <w:t>le</w:t>
      </w:r>
      <w:r>
        <w:rPr>
          <w:spacing w:val="-11"/>
        </w:rPr>
        <w:t> </w:t>
      </w:r>
      <w:r>
        <w:rPr/>
        <w:t>bénéfice</w:t>
      </w:r>
      <w:r>
        <w:rPr>
          <w:spacing w:val="-11"/>
        </w:rPr>
        <w:t> </w:t>
      </w:r>
      <w:r>
        <w:rPr/>
        <w:t>et</w:t>
      </w:r>
      <w:r>
        <w:rPr>
          <w:spacing w:val="-11"/>
        </w:rPr>
        <w:t> </w:t>
      </w:r>
      <w:r>
        <w:rPr/>
        <w:t>le</w:t>
      </w:r>
      <w:r>
        <w:rPr>
          <w:spacing w:val="-13"/>
        </w:rPr>
        <w:t> </w:t>
      </w:r>
      <w:r>
        <w:rPr/>
        <w:t>capital</w:t>
      </w:r>
      <w:r>
        <w:rPr>
          <w:spacing w:val="-10"/>
        </w:rPr>
        <w:t> </w:t>
      </w:r>
      <w:r>
        <w:rPr/>
        <w:t>des</w:t>
      </w:r>
      <w:r>
        <w:rPr>
          <w:spacing w:val="-10"/>
        </w:rPr>
        <w:t> </w:t>
      </w:r>
      <w:r>
        <w:rPr/>
        <w:t>personnes</w:t>
      </w:r>
      <w:r>
        <w:rPr>
          <w:spacing w:val="-10"/>
        </w:rPr>
        <w:t> </w:t>
      </w:r>
      <w:r>
        <w:rPr/>
        <w:t>morales</w:t>
      </w:r>
      <w:r>
        <w:rPr>
          <w:spacing w:val="-13"/>
        </w:rPr>
        <w:t> </w:t>
      </w:r>
      <w:r>
        <w:rPr/>
        <w:t>sont</w:t>
      </w:r>
      <w:r>
        <w:rPr>
          <w:spacing w:val="-10"/>
        </w:rPr>
        <w:t> </w:t>
      </w:r>
      <w:r>
        <w:rPr/>
        <w:t>Impôt </w:t>
      </w:r>
      <w:r>
        <w:rPr>
          <w:position w:val="6"/>
          <w:sz w:val="12"/>
        </w:rPr>
        <w:t>4</w:t>
      </w:r>
      <w:r>
        <w:rPr>
          <w:spacing w:val="20"/>
          <w:position w:val="6"/>
          <w:sz w:val="12"/>
        </w:rPr>
        <w:t> </w:t>
      </w:r>
      <w:r>
        <w:rPr/>
        <w:t>Le Grand Conseil fixe par voie de décret le </w:t>
      </w:r>
      <w:hyperlink r:id="rId75">
        <w:r>
          <w:rPr>
            <w:color w:val="0462C0"/>
            <w:u w:val="single" w:color="0462C0"/>
          </w:rPr>
          <w:t>coefficient</w:t>
        </w:r>
      </w:hyperlink>
      <w:r>
        <w:rPr>
          <w:color w:val="0462C0"/>
        </w:rPr>
        <w:t> </w:t>
      </w:r>
      <w:r>
        <w:rPr/>
        <w:t>de l'impôt cantonal sur le bénéfice et le capital des</w:t>
      </w:r>
      <w:r>
        <w:rPr>
          <w:spacing w:val="-3"/>
        </w:rPr>
        <w:t> </w:t>
      </w:r>
      <w:r>
        <w:rPr/>
        <w:t>personnes</w:t>
      </w:r>
      <w:r>
        <w:rPr>
          <w:spacing w:val="-3"/>
        </w:rPr>
        <w:t> </w:t>
      </w:r>
      <w:r>
        <w:rPr/>
        <w:t>morales</w:t>
      </w:r>
      <w:r>
        <w:rPr>
          <w:spacing w:val="-1"/>
        </w:rPr>
        <w:t> </w:t>
      </w:r>
      <w:r>
        <w:rPr/>
        <w:t>et</w:t>
      </w:r>
      <w:r>
        <w:rPr>
          <w:spacing w:val="-2"/>
        </w:rPr>
        <w:t> </w:t>
      </w:r>
      <w:r>
        <w:rPr/>
        <w:t>le</w:t>
      </w:r>
      <w:r>
        <w:rPr>
          <w:spacing w:val="-4"/>
        </w:rPr>
        <w:t> </w:t>
      </w:r>
      <w:r>
        <w:rPr/>
        <w:t>coefficient</w:t>
      </w:r>
      <w:r>
        <w:rPr>
          <w:spacing w:val="-2"/>
        </w:rPr>
        <w:t> </w:t>
      </w:r>
      <w:r>
        <w:rPr/>
        <w:t>de</w:t>
      </w:r>
      <w:r>
        <w:rPr>
          <w:spacing w:val="-1"/>
        </w:rPr>
        <w:t> </w:t>
      </w:r>
      <w:r>
        <w:rPr/>
        <w:t>l'impôt</w:t>
      </w:r>
      <w:r>
        <w:rPr>
          <w:spacing w:val="-4"/>
        </w:rPr>
        <w:t> </w:t>
      </w:r>
      <w:r>
        <w:rPr/>
        <w:t>communal</w:t>
      </w:r>
      <w:r>
        <w:rPr>
          <w:spacing w:val="-4"/>
        </w:rPr>
        <w:t> </w:t>
      </w:r>
      <w:r>
        <w:rPr/>
        <w:t>sur</w:t>
      </w:r>
      <w:r>
        <w:rPr>
          <w:spacing w:val="-4"/>
        </w:rPr>
        <w:t> </w:t>
      </w:r>
      <w:r>
        <w:rPr/>
        <w:t>le</w:t>
      </w:r>
      <w:r>
        <w:rPr>
          <w:spacing w:val="-4"/>
        </w:rPr>
        <w:t> </w:t>
      </w:r>
      <w:r>
        <w:rPr/>
        <w:t>bénéfice</w:t>
      </w:r>
      <w:r>
        <w:rPr>
          <w:spacing w:val="-4"/>
        </w:rPr>
        <w:t> </w:t>
      </w:r>
      <w:r>
        <w:rPr/>
        <w:t>et</w:t>
      </w:r>
      <w:r>
        <w:rPr>
          <w:spacing w:val="-4"/>
        </w:rPr>
        <w:t> </w:t>
      </w:r>
      <w:r>
        <w:rPr/>
        <w:t>le</w:t>
      </w:r>
      <w:r>
        <w:rPr>
          <w:spacing w:val="-4"/>
        </w:rPr>
        <w:t> </w:t>
      </w:r>
      <w:r>
        <w:rPr/>
        <w:t>capital</w:t>
      </w:r>
      <w:r>
        <w:rPr>
          <w:spacing w:val="-4"/>
        </w:rPr>
        <w:t> </w:t>
      </w:r>
      <w:r>
        <w:rPr/>
        <w:t>des</w:t>
      </w:r>
      <w:r>
        <w:rPr>
          <w:spacing w:val="-1"/>
        </w:rPr>
        <w:t> </w:t>
      </w:r>
      <w:r>
        <w:rPr/>
        <w:t>personnes</w:t>
      </w:r>
    </w:p>
    <w:p>
      <w:pPr>
        <w:pStyle w:val="BodyText"/>
        <w:spacing w:line="186" w:lineRule="exact"/>
        <w:ind w:left="1134"/>
      </w:pPr>
      <w:r>
        <w:rPr>
          <w:spacing w:val="-2"/>
        </w:rPr>
        <w:t>morales.</w:t>
      </w:r>
    </w:p>
    <w:p>
      <w:pPr>
        <w:pStyle w:val="Heading8"/>
        <w:spacing w:before="93"/>
      </w:pPr>
      <w:r>
        <w:rPr/>
        <w:t>Art.</w:t>
      </w:r>
      <w:r>
        <w:rPr>
          <w:spacing w:val="-2"/>
        </w:rPr>
        <w:t> </w:t>
      </w:r>
      <w:r>
        <w:rPr/>
        <w:t>premier,</w:t>
      </w:r>
      <w:r>
        <w:rPr>
          <w:spacing w:val="-1"/>
        </w:rPr>
        <w:t> </w:t>
      </w:r>
      <w:r>
        <w:rPr/>
        <w:t>al.</w:t>
      </w:r>
      <w:r>
        <w:rPr>
          <w:spacing w:val="-2"/>
        </w:rPr>
        <w:t> </w:t>
      </w:r>
      <w:r>
        <w:rPr/>
        <w:t>4 </w:t>
      </w:r>
      <w:r>
        <w:rPr>
          <w:spacing w:val="-2"/>
        </w:rPr>
        <w:t>DCICdirPM</w:t>
      </w:r>
    </w:p>
    <w:p>
      <w:pPr>
        <w:pStyle w:val="BodyText"/>
        <w:spacing w:before="55"/>
        <w:ind w:left="1134" w:right="704"/>
        <w:jc w:val="both"/>
      </w:pPr>
      <w:r>
        <w:rPr>
          <w:position w:val="6"/>
          <w:sz w:val="12"/>
        </w:rPr>
        <w:t>4</w:t>
      </w:r>
      <w:r>
        <w:rPr>
          <w:spacing w:val="19"/>
          <w:position w:val="6"/>
          <w:sz w:val="12"/>
        </w:rPr>
        <w:t> </w:t>
      </w:r>
      <w:r>
        <w:rPr/>
        <w:t>Pour les années 2018 et suivantes jusqu’à l’entrée en vigueur de la modification relative au volet des charges</w:t>
      </w:r>
      <w:r>
        <w:rPr>
          <w:spacing w:val="-6"/>
        </w:rPr>
        <w:t> </w:t>
      </w:r>
      <w:r>
        <w:rPr/>
        <w:t>de</w:t>
      </w:r>
      <w:r>
        <w:rPr>
          <w:spacing w:val="-6"/>
        </w:rPr>
        <w:t> </w:t>
      </w:r>
      <w:r>
        <w:rPr/>
        <w:t>la</w:t>
      </w:r>
      <w:r>
        <w:rPr>
          <w:spacing w:val="-4"/>
        </w:rPr>
        <w:t> </w:t>
      </w:r>
      <w:r>
        <w:rPr/>
        <w:t>LPFI,</w:t>
      </w:r>
      <w:r>
        <w:rPr>
          <w:spacing w:val="-4"/>
        </w:rPr>
        <w:t> </w:t>
      </w:r>
      <w:r>
        <w:rPr/>
        <w:t>le</w:t>
      </w:r>
      <w:r>
        <w:rPr>
          <w:spacing w:val="-6"/>
        </w:rPr>
        <w:t> </w:t>
      </w:r>
      <w:r>
        <w:rPr/>
        <w:t>coefficient</w:t>
      </w:r>
      <w:r>
        <w:rPr>
          <w:spacing w:val="-4"/>
        </w:rPr>
        <w:t> </w:t>
      </w:r>
      <w:r>
        <w:rPr/>
        <w:t>de</w:t>
      </w:r>
      <w:r>
        <w:rPr>
          <w:spacing w:val="-6"/>
        </w:rPr>
        <w:t> </w:t>
      </w:r>
      <w:r>
        <w:rPr/>
        <w:t>l’impôt</w:t>
      </w:r>
      <w:r>
        <w:rPr>
          <w:spacing w:val="-7"/>
        </w:rPr>
        <w:t> </w:t>
      </w:r>
      <w:r>
        <w:rPr/>
        <w:t>cantonal</w:t>
      </w:r>
      <w:r>
        <w:rPr>
          <w:spacing w:val="-6"/>
        </w:rPr>
        <w:t> </w:t>
      </w:r>
      <w:r>
        <w:rPr/>
        <w:t>sur</w:t>
      </w:r>
      <w:r>
        <w:rPr>
          <w:spacing w:val="-4"/>
        </w:rPr>
        <w:t> </w:t>
      </w:r>
      <w:r>
        <w:rPr/>
        <w:t>le</w:t>
      </w:r>
      <w:r>
        <w:rPr>
          <w:spacing w:val="-6"/>
        </w:rPr>
        <w:t> </w:t>
      </w:r>
      <w:r>
        <w:rPr/>
        <w:t>bénéfice</w:t>
      </w:r>
      <w:r>
        <w:rPr>
          <w:spacing w:val="-4"/>
        </w:rPr>
        <w:t> </w:t>
      </w:r>
      <w:r>
        <w:rPr/>
        <w:t>et</w:t>
      </w:r>
      <w:r>
        <w:rPr>
          <w:spacing w:val="-4"/>
        </w:rPr>
        <w:t> </w:t>
      </w:r>
      <w:r>
        <w:rPr/>
        <w:t>le</w:t>
      </w:r>
      <w:r>
        <w:rPr>
          <w:spacing w:val="-6"/>
        </w:rPr>
        <w:t> </w:t>
      </w:r>
      <w:r>
        <w:rPr/>
        <w:t>capital</w:t>
      </w:r>
      <w:r>
        <w:rPr>
          <w:spacing w:val="-4"/>
        </w:rPr>
        <w:t> </w:t>
      </w:r>
      <w:r>
        <w:rPr/>
        <w:t>des</w:t>
      </w:r>
      <w:r>
        <w:rPr>
          <w:spacing w:val="-6"/>
        </w:rPr>
        <w:t> </w:t>
      </w:r>
      <w:r>
        <w:rPr/>
        <w:t>personnes</w:t>
      </w:r>
      <w:r>
        <w:rPr>
          <w:spacing w:val="-6"/>
        </w:rPr>
        <w:t> </w:t>
      </w:r>
      <w:r>
        <w:rPr/>
        <w:t>morales est fixé à 125% de l’impôt de base selon les articles 3a, 94 et 108 LCdir.</w:t>
      </w:r>
    </w:p>
    <w:p>
      <w:pPr>
        <w:pStyle w:val="BodyText"/>
      </w:pPr>
    </w:p>
    <w:p>
      <w:pPr>
        <w:pStyle w:val="BodyText"/>
        <w:spacing w:before="70"/>
      </w:pPr>
    </w:p>
    <w:p>
      <w:pPr>
        <w:pStyle w:val="Heading2"/>
      </w:pPr>
      <w:bookmarkStart w:name="Allégements fiscaux" w:id="59"/>
      <w:bookmarkEnd w:id="59"/>
      <w:r>
        <w:rPr>
          <w:b w:val="0"/>
        </w:rPr>
      </w:r>
      <w:bookmarkStart w:name="_bookmark26" w:id="60"/>
      <w:bookmarkEnd w:id="60"/>
      <w:r>
        <w:rPr>
          <w:b w:val="0"/>
        </w:rPr>
      </w:r>
      <w:r>
        <w:rPr>
          <w:color w:val="2D73B4"/>
        </w:rPr>
        <w:t>Allégements</w:t>
      </w:r>
      <w:r>
        <w:rPr>
          <w:color w:val="2D73B4"/>
          <w:spacing w:val="-21"/>
        </w:rPr>
        <w:t> </w:t>
      </w:r>
      <w:r>
        <w:rPr>
          <w:color w:val="2D73B4"/>
          <w:spacing w:val="-2"/>
        </w:rPr>
        <w:t>fiscaux</w:t>
      </w:r>
    </w:p>
    <w:p>
      <w:pPr>
        <w:pStyle w:val="BodyText"/>
        <w:spacing w:before="56"/>
        <w:ind w:left="851"/>
      </w:pPr>
      <w:r>
        <w:rPr/>
        <w:t>(Art. 82</w:t>
      </w:r>
      <w:r>
        <w:rPr>
          <w:spacing w:val="-2"/>
        </w:rPr>
        <w:t> LCdir)</w:t>
      </w:r>
    </w:p>
    <w:p>
      <w:pPr>
        <w:pStyle w:val="BodyText"/>
        <w:spacing w:before="155"/>
      </w:pPr>
    </w:p>
    <w:p>
      <w:pPr>
        <w:pStyle w:val="Heading7"/>
        <w:spacing w:before="1"/>
        <w:jc w:val="both"/>
      </w:pPr>
      <w:r>
        <w:rPr>
          <w:color w:val="950000"/>
        </w:rPr>
        <w:t>Allégements fiscaux à des entreprises nouvellement créées</w:t>
      </w:r>
      <w:r>
        <w:rPr>
          <w:color w:val="950000"/>
          <w:spacing w:val="80"/>
        </w:rPr>
        <w:t> </w:t>
      </w:r>
      <w:r>
        <w:rPr>
          <w:color w:val="950000"/>
          <w:spacing w:val="1"/>
        </w:rPr>
        <w:drawing>
          <wp:inline distT="0" distB="0" distL="0" distR="0">
            <wp:extent cx="201260" cy="114911"/>
            <wp:effectExtent l="0" t="0" r="0" b="0"/>
            <wp:docPr id="88" name="Image 88" descr="">
              <a:hlinkClick r:id="rId97"/>
            </wp:docPr>
            <wp:cNvGraphicFramePr>
              <a:graphicFrameLocks/>
            </wp:cNvGraphicFramePr>
            <a:graphic>
              <a:graphicData uri="http://schemas.openxmlformats.org/drawingml/2006/picture">
                <pic:pic>
                  <pic:nvPicPr>
                    <pic:cNvPr id="88" name="Image 88" descr="">
                      <a:hlinkClick r:id="rId97"/>
                    </pic:cNvPr>
                    <pic:cNvPicPr/>
                  </pic:nvPicPr>
                  <pic:blipFill>
                    <a:blip r:embed="rId11" cstate="print"/>
                    <a:stretch>
                      <a:fillRect/>
                    </a:stretch>
                  </pic:blipFill>
                  <pic:spPr>
                    <a:xfrm>
                      <a:off x="0" y="0"/>
                      <a:ext cx="201260" cy="114911"/>
                    </a:xfrm>
                    <a:prstGeom prst="rect">
                      <a:avLst/>
                    </a:prstGeom>
                  </pic:spPr>
                </pic:pic>
              </a:graphicData>
            </a:graphic>
          </wp:inline>
        </w:drawing>
      </w:r>
      <w:r>
        <w:rPr>
          <w:color w:val="950000"/>
          <w:spacing w:val="1"/>
        </w:rPr>
      </w:r>
    </w:p>
    <w:p>
      <w:pPr>
        <w:pStyle w:val="Heading8"/>
        <w:spacing w:before="93"/>
      </w:pPr>
      <w:r>
        <w:rPr/>
        <w:t>Art.</w:t>
      </w:r>
      <w:r>
        <w:rPr>
          <w:spacing w:val="-3"/>
        </w:rPr>
        <w:t> </w:t>
      </w:r>
      <w:r>
        <w:rPr/>
        <w:t>82, al.</w:t>
      </w:r>
      <w:r>
        <w:rPr>
          <w:spacing w:val="-2"/>
        </w:rPr>
        <w:t> </w:t>
      </w:r>
      <w:r>
        <w:rPr/>
        <w:t>1 et</w:t>
      </w:r>
      <w:r>
        <w:rPr>
          <w:spacing w:val="-2"/>
        </w:rPr>
        <w:t> </w:t>
      </w:r>
      <w:r>
        <w:rPr/>
        <w:t>4, </w:t>
      </w:r>
      <w:r>
        <w:rPr>
          <w:spacing w:val="-4"/>
        </w:rPr>
        <w:t>LCdir</w:t>
      </w:r>
    </w:p>
    <w:p>
      <w:pPr>
        <w:pStyle w:val="BodyText"/>
        <w:spacing w:before="56"/>
        <w:ind w:left="1134" w:right="703"/>
        <w:jc w:val="both"/>
      </w:pPr>
      <w:r>
        <w:rPr>
          <w:position w:val="6"/>
          <w:sz w:val="12"/>
        </w:rPr>
        <w:t>1</w:t>
      </w:r>
      <w:r>
        <w:rPr>
          <w:spacing w:val="19"/>
          <w:position w:val="6"/>
          <w:sz w:val="12"/>
        </w:rPr>
        <w:t> </w:t>
      </w:r>
      <w:r>
        <w:rPr/>
        <w:t>Des allégements fiscaux peuvent être accordés dans des cas particuliers à des entreprises nouvelle-ment créées qui servent les intérêts économiques du canton, pour l'année de fondation de l'entreprise et</w:t>
      </w:r>
      <w:r>
        <w:rPr>
          <w:spacing w:val="-9"/>
        </w:rPr>
        <w:t> </w:t>
      </w:r>
      <w:r>
        <w:rPr/>
        <w:t>pour</w:t>
      </w:r>
      <w:r>
        <w:rPr>
          <w:spacing w:val="-9"/>
        </w:rPr>
        <w:t> </w:t>
      </w:r>
      <w:r>
        <w:rPr/>
        <w:t>les</w:t>
      </w:r>
      <w:r>
        <w:rPr>
          <w:spacing w:val="-11"/>
        </w:rPr>
        <w:t> </w:t>
      </w:r>
      <w:r>
        <w:rPr/>
        <w:t>neuf</w:t>
      </w:r>
      <w:r>
        <w:rPr>
          <w:spacing w:val="-9"/>
        </w:rPr>
        <w:t> </w:t>
      </w:r>
      <w:r>
        <w:rPr/>
        <w:t>années</w:t>
      </w:r>
      <w:r>
        <w:rPr>
          <w:spacing w:val="-10"/>
        </w:rPr>
        <w:t> </w:t>
      </w:r>
      <w:r>
        <w:rPr/>
        <w:t>suivantes.</w:t>
      </w:r>
      <w:r>
        <w:rPr>
          <w:spacing w:val="-11"/>
        </w:rPr>
        <w:t> </w:t>
      </w:r>
      <w:r>
        <w:rPr/>
        <w:t>L'extension</w:t>
      </w:r>
      <w:r>
        <w:rPr>
          <w:spacing w:val="-11"/>
        </w:rPr>
        <w:t> </w:t>
      </w:r>
      <w:r>
        <w:rPr/>
        <w:t>et</w:t>
      </w:r>
      <w:r>
        <w:rPr>
          <w:spacing w:val="-11"/>
        </w:rPr>
        <w:t> </w:t>
      </w:r>
      <w:r>
        <w:rPr/>
        <w:t>la</w:t>
      </w:r>
      <w:r>
        <w:rPr>
          <w:spacing w:val="-11"/>
        </w:rPr>
        <w:t> </w:t>
      </w:r>
      <w:r>
        <w:rPr/>
        <w:t>diversification</w:t>
      </w:r>
      <w:r>
        <w:rPr>
          <w:spacing w:val="-11"/>
        </w:rPr>
        <w:t> </w:t>
      </w:r>
      <w:r>
        <w:rPr/>
        <w:t>importantes</w:t>
      </w:r>
      <w:r>
        <w:rPr>
          <w:spacing w:val="-8"/>
        </w:rPr>
        <w:t> </w:t>
      </w:r>
      <w:r>
        <w:rPr/>
        <w:t>de</w:t>
      </w:r>
      <w:r>
        <w:rPr>
          <w:spacing w:val="-9"/>
        </w:rPr>
        <w:t> </w:t>
      </w:r>
      <w:r>
        <w:rPr/>
        <w:t>l'activité</w:t>
      </w:r>
      <w:r>
        <w:rPr>
          <w:spacing w:val="-11"/>
        </w:rPr>
        <w:t> </w:t>
      </w:r>
      <w:r>
        <w:rPr/>
        <w:t>de</w:t>
      </w:r>
      <w:r>
        <w:rPr>
          <w:spacing w:val="-11"/>
        </w:rPr>
        <w:t> </w:t>
      </w:r>
      <w:r>
        <w:rPr/>
        <w:t>l'entreprise sont assimilées à une fondation nouvelle.</w:t>
      </w:r>
    </w:p>
    <w:p>
      <w:pPr>
        <w:pStyle w:val="BodyText"/>
        <w:spacing w:before="35"/>
        <w:ind w:left="1134" w:right="704"/>
        <w:jc w:val="both"/>
      </w:pPr>
      <w:r>
        <w:rPr>
          <w:position w:val="6"/>
          <w:sz w:val="12"/>
        </w:rPr>
        <w:t>4</w:t>
      </w:r>
      <w:r>
        <w:rPr>
          <w:spacing w:val="16"/>
          <w:position w:val="6"/>
          <w:sz w:val="12"/>
        </w:rPr>
        <w:t> </w:t>
      </w:r>
      <w:r>
        <w:rPr/>
        <w:t>La</w:t>
      </w:r>
      <w:r>
        <w:rPr>
          <w:spacing w:val="-2"/>
        </w:rPr>
        <w:t> </w:t>
      </w:r>
      <w:r>
        <w:rPr/>
        <w:t>commission</w:t>
      </w:r>
      <w:r>
        <w:rPr>
          <w:spacing w:val="-2"/>
        </w:rPr>
        <w:t> </w:t>
      </w:r>
      <w:r>
        <w:rPr/>
        <w:t>de</w:t>
      </w:r>
      <w:r>
        <w:rPr>
          <w:spacing w:val="-2"/>
        </w:rPr>
        <w:t> </w:t>
      </w:r>
      <w:r>
        <w:rPr/>
        <w:t>gestion et</w:t>
      </w:r>
      <w:r>
        <w:rPr>
          <w:spacing w:val="-3"/>
        </w:rPr>
        <w:t> </w:t>
      </w:r>
      <w:r>
        <w:rPr/>
        <w:t>la</w:t>
      </w:r>
      <w:r>
        <w:rPr>
          <w:spacing w:val="-2"/>
        </w:rPr>
        <w:t> </w:t>
      </w:r>
      <w:r>
        <w:rPr/>
        <w:t>commission</w:t>
      </w:r>
      <w:r>
        <w:rPr>
          <w:spacing w:val="-2"/>
        </w:rPr>
        <w:t> </w:t>
      </w:r>
      <w:r>
        <w:rPr/>
        <w:t>des finances sont informées régulièrement</w:t>
      </w:r>
      <w:r>
        <w:rPr>
          <w:spacing w:val="-3"/>
        </w:rPr>
        <w:t> </w:t>
      </w:r>
      <w:r>
        <w:rPr/>
        <w:t>des éventuels allégements fiscaux accordés.</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Impôts dans les communes et les paroisse" w:id="61"/>
      <w:bookmarkEnd w:id="61"/>
      <w:r>
        <w:rPr>
          <w:b w:val="0"/>
        </w:rPr>
      </w:r>
      <w:bookmarkStart w:name="_bookmark27" w:id="62"/>
      <w:bookmarkEnd w:id="62"/>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line="278" w:lineRule="auto" w:before="272"/>
        <w:ind w:left="851" w:right="2428"/>
      </w:pPr>
      <w:r>
        <w:rPr/>
        <w:t>Recueil</w:t>
      </w:r>
      <w:r>
        <w:rPr>
          <w:spacing w:val="-3"/>
        </w:rPr>
        <w:t> </w:t>
      </w:r>
      <w:r>
        <w:rPr/>
        <w:t>Informations</w:t>
      </w:r>
      <w:r>
        <w:rPr>
          <w:spacing w:val="-4"/>
        </w:rPr>
        <w:t> </w:t>
      </w:r>
      <w:r>
        <w:rPr/>
        <w:t>fiscales,</w:t>
      </w:r>
      <w:r>
        <w:rPr>
          <w:spacing w:val="-5"/>
        </w:rPr>
        <w:t> </w:t>
      </w:r>
      <w:r>
        <w:rPr/>
        <w:t>E.</w:t>
      </w:r>
      <w:r>
        <w:rPr>
          <w:spacing w:val="-3"/>
        </w:rPr>
        <w:t> </w:t>
      </w:r>
      <w:r>
        <w:rPr/>
        <w:t>Notions</w:t>
      </w:r>
      <w:r>
        <w:rPr>
          <w:spacing w:val="-3"/>
        </w:rPr>
        <w:t> </w:t>
      </w:r>
      <w:r>
        <w:rPr/>
        <w:t>fiscales,</w:t>
      </w:r>
      <w:r>
        <w:rPr>
          <w:spacing w:val="-5"/>
        </w:rPr>
        <w:t> </w:t>
      </w:r>
      <w:hyperlink r:id="rId74">
        <w:r>
          <w:rPr>
            <w:color w:val="0462C0"/>
            <w:u w:val="single" w:color="0462C0"/>
          </w:rPr>
          <w:t>Taux</w:t>
        </w:r>
        <w:r>
          <w:rPr>
            <w:color w:val="0462C0"/>
            <w:spacing w:val="-3"/>
            <w:u w:val="single" w:color="0462C0"/>
          </w:rPr>
          <w:t> </w:t>
        </w:r>
        <w:r>
          <w:rPr>
            <w:color w:val="0462C0"/>
            <w:u w:val="single" w:color="0462C0"/>
          </w:rPr>
          <w:t>et</w:t>
        </w:r>
        <w:r>
          <w:rPr>
            <w:color w:val="0462C0"/>
            <w:spacing w:val="-5"/>
            <w:u w:val="single" w:color="0462C0"/>
          </w:rPr>
          <w:t> </w:t>
        </w:r>
        <w:r>
          <w:rPr>
            <w:color w:val="0462C0"/>
            <w:u w:val="single" w:color="0462C0"/>
          </w:rPr>
          <w:t>coefficients</w:t>
        </w:r>
        <w:r>
          <w:rPr>
            <w:color w:val="0462C0"/>
            <w:spacing w:val="-3"/>
            <w:u w:val="single" w:color="0462C0"/>
          </w:rPr>
          <w:t> </w:t>
        </w:r>
        <w:r>
          <w:rPr>
            <w:color w:val="0462C0"/>
            <w:u w:val="single" w:color="0462C0"/>
          </w:rPr>
          <w:t>d’impôts</w:t>
        </w:r>
      </w:hyperlink>
      <w:r>
        <w:rPr>
          <w:color w:val="0462C0"/>
        </w:rPr>
        <w:t> </w:t>
      </w:r>
      <w:r>
        <w:rPr/>
        <w:t>Recueil Informations fiscales, D. Impôts divers, </w:t>
      </w:r>
      <w:hyperlink r:id="rId100">
        <w:r>
          <w:rPr>
            <w:color w:val="0462C0"/>
            <w:u w:val="single" w:color="0462C0"/>
          </w:rPr>
          <w:t>Impôt ecclésiastique</w:t>
        </w:r>
      </w:hyperlink>
    </w:p>
    <w:p>
      <w:pPr>
        <w:pStyle w:val="BodyText"/>
        <w:spacing w:before="79"/>
        <w:rPr>
          <w:sz w:val="32"/>
        </w:rPr>
      </w:pPr>
    </w:p>
    <w:p>
      <w:pPr>
        <w:pStyle w:val="Heading2"/>
        <w:ind w:right="141"/>
      </w:pPr>
      <w:bookmarkStart w:name="Impôts sur le revenu et la fortune ainsi" w:id="63"/>
      <w:bookmarkEnd w:id="63"/>
      <w:r>
        <w:rPr>
          <w:b w:val="0"/>
        </w:rPr>
      </w:r>
      <w:bookmarkStart w:name="_bookmark28" w:id="64"/>
      <w:bookmarkEnd w:id="64"/>
      <w:r>
        <w:rPr>
          <w:b w:val="0"/>
        </w:rPr>
      </w:r>
      <w:r>
        <w:rPr>
          <w:color w:val="2D73B4"/>
        </w:rPr>
        <w:t>Impôts sur le revenu et la fortune ainsi qu’impôts sur le bé-néfice et le capital dans les communes</w:t>
      </w:r>
    </w:p>
    <w:p>
      <w:pPr>
        <w:pStyle w:val="BodyText"/>
        <w:spacing w:before="58"/>
        <w:ind w:left="851"/>
      </w:pPr>
      <w:r>
        <w:rPr/>
        <w:t>(Art.</w:t>
      </w:r>
      <w:r>
        <w:rPr>
          <w:spacing w:val="-2"/>
        </w:rPr>
        <w:t> </w:t>
      </w:r>
      <w:r>
        <w:rPr/>
        <w:t>266</w:t>
      </w:r>
      <w:r>
        <w:rPr>
          <w:spacing w:val="-4"/>
        </w:rPr>
        <w:t> </w:t>
      </w:r>
      <w:r>
        <w:rPr/>
        <w:t>à</w:t>
      </w:r>
      <w:r>
        <w:rPr>
          <w:spacing w:val="-1"/>
        </w:rPr>
        <w:t> </w:t>
      </w:r>
      <w:r>
        <w:rPr/>
        <w:t>268</w:t>
      </w:r>
      <w:r>
        <w:rPr>
          <w:spacing w:val="-1"/>
        </w:rPr>
        <w:t> </w:t>
      </w:r>
      <w:r>
        <w:rPr/>
        <w:t>LCdir;</w:t>
      </w:r>
      <w:r>
        <w:rPr>
          <w:spacing w:val="-2"/>
        </w:rPr>
        <w:t> </w:t>
      </w:r>
      <w:r>
        <w:rPr/>
        <w:t>DCLCdirPP;</w:t>
      </w:r>
      <w:r>
        <w:rPr>
          <w:spacing w:val="-1"/>
        </w:rPr>
        <w:t> </w:t>
      </w:r>
      <w:r>
        <w:rPr>
          <w:spacing w:val="-2"/>
        </w:rPr>
        <w:t>DCICdirPM)</w:t>
      </w:r>
    </w:p>
    <w:p>
      <w:pPr>
        <w:pStyle w:val="Heading8"/>
        <w:spacing w:before="155"/>
      </w:pPr>
      <w:r>
        <w:rPr/>
        <w:t>Art.</w:t>
      </w:r>
      <w:r>
        <w:rPr>
          <w:spacing w:val="-3"/>
        </w:rPr>
        <w:t> </w:t>
      </w:r>
      <w:r>
        <w:rPr/>
        <w:t>266 </w:t>
      </w:r>
      <w:r>
        <w:rPr>
          <w:spacing w:val="-4"/>
        </w:rPr>
        <w:t>LCdir</w:t>
      </w:r>
    </w:p>
    <w:p>
      <w:pPr>
        <w:pStyle w:val="BodyText"/>
        <w:spacing w:before="56"/>
        <w:ind w:left="1134" w:right="700"/>
        <w:jc w:val="both"/>
      </w:pPr>
      <w:r>
        <w:rPr>
          <w:position w:val="6"/>
          <w:sz w:val="12"/>
        </w:rPr>
        <w:t>1</w:t>
      </w:r>
      <w:r>
        <w:rPr>
          <w:spacing w:val="10"/>
          <w:position w:val="6"/>
          <w:sz w:val="12"/>
        </w:rPr>
        <w:t> </w:t>
      </w:r>
      <w:r>
        <w:rPr/>
        <w:t>Sous</w:t>
      </w:r>
      <w:r>
        <w:rPr>
          <w:spacing w:val="-8"/>
        </w:rPr>
        <w:t> </w:t>
      </w:r>
      <w:r>
        <w:rPr/>
        <w:t>réserve</w:t>
      </w:r>
      <w:r>
        <w:rPr>
          <w:spacing w:val="-6"/>
        </w:rPr>
        <w:t> </w:t>
      </w:r>
      <w:r>
        <w:rPr/>
        <w:t>des</w:t>
      </w:r>
      <w:r>
        <w:rPr>
          <w:spacing w:val="-8"/>
        </w:rPr>
        <w:t> </w:t>
      </w:r>
      <w:r>
        <w:rPr/>
        <w:t>dispositions</w:t>
      </w:r>
      <w:r>
        <w:rPr>
          <w:spacing w:val="-6"/>
        </w:rPr>
        <w:t> </w:t>
      </w:r>
      <w:r>
        <w:rPr/>
        <w:t>suivantes,</w:t>
      </w:r>
      <w:r>
        <w:rPr>
          <w:spacing w:val="-9"/>
        </w:rPr>
        <w:t> </w:t>
      </w:r>
      <w:r>
        <w:rPr/>
        <w:t>les</w:t>
      </w:r>
      <w:r>
        <w:rPr>
          <w:spacing w:val="-8"/>
        </w:rPr>
        <w:t> </w:t>
      </w:r>
      <w:r>
        <w:rPr/>
        <w:t>règles</w:t>
      </w:r>
      <w:r>
        <w:rPr>
          <w:spacing w:val="-8"/>
        </w:rPr>
        <w:t> </w:t>
      </w:r>
      <w:r>
        <w:rPr/>
        <w:t>concernant</w:t>
      </w:r>
      <w:r>
        <w:rPr>
          <w:spacing w:val="-7"/>
        </w:rPr>
        <w:t> </w:t>
      </w:r>
      <w:r>
        <w:rPr/>
        <w:t>les</w:t>
      </w:r>
      <w:r>
        <w:rPr>
          <w:spacing w:val="-8"/>
        </w:rPr>
        <w:t> </w:t>
      </w:r>
      <w:r>
        <w:rPr/>
        <w:t>impôts</w:t>
      </w:r>
      <w:r>
        <w:rPr>
          <w:spacing w:val="-8"/>
        </w:rPr>
        <w:t> </w:t>
      </w:r>
      <w:r>
        <w:rPr/>
        <w:t>cantonaux</w:t>
      </w:r>
      <w:r>
        <w:rPr>
          <w:spacing w:val="-6"/>
        </w:rPr>
        <w:t> </w:t>
      </w:r>
      <w:r>
        <w:rPr/>
        <w:t>s'appliquent</w:t>
      </w:r>
      <w:r>
        <w:rPr>
          <w:spacing w:val="-9"/>
        </w:rPr>
        <w:t> </w:t>
      </w:r>
      <w:r>
        <w:rPr/>
        <w:t>éga-lement aux impôts que les communes peuvent prélever auprès des contribuables relevant de leur sou-veraineté fiscale.</w:t>
      </w:r>
    </w:p>
    <w:p>
      <w:pPr>
        <w:pStyle w:val="BodyText"/>
        <w:spacing w:before="35"/>
        <w:ind w:left="1134"/>
        <w:jc w:val="both"/>
      </w:pPr>
      <w:r>
        <w:rPr>
          <w:position w:val="6"/>
          <w:sz w:val="12"/>
        </w:rPr>
        <w:t>2</w:t>
      </w:r>
      <w:r>
        <w:rPr>
          <w:spacing w:val="12"/>
          <w:position w:val="6"/>
          <w:sz w:val="12"/>
        </w:rPr>
        <w:t> </w:t>
      </w:r>
      <w:r>
        <w:rPr/>
        <w:t>Pour</w:t>
      </w:r>
      <w:r>
        <w:rPr>
          <w:spacing w:val="-2"/>
        </w:rPr>
        <w:t> </w:t>
      </w:r>
      <w:r>
        <w:rPr/>
        <w:t>le</w:t>
      </w:r>
      <w:r>
        <w:rPr>
          <w:spacing w:val="-1"/>
        </w:rPr>
        <w:t> </w:t>
      </w:r>
      <w:r>
        <w:rPr/>
        <w:t>surplus,</w:t>
      </w:r>
      <w:r>
        <w:rPr>
          <w:spacing w:val="-4"/>
        </w:rPr>
        <w:t> </w:t>
      </w:r>
      <w:r>
        <w:rPr/>
        <w:t>les</w:t>
      </w:r>
      <w:r>
        <w:rPr>
          <w:spacing w:val="-1"/>
        </w:rPr>
        <w:t> </w:t>
      </w:r>
      <w:r>
        <w:rPr/>
        <w:t>communes</w:t>
      </w:r>
      <w:r>
        <w:rPr>
          <w:spacing w:val="-1"/>
        </w:rPr>
        <w:t> </w:t>
      </w:r>
      <w:r>
        <w:rPr/>
        <w:t>fixent</w:t>
      </w:r>
      <w:r>
        <w:rPr>
          <w:spacing w:val="-2"/>
        </w:rPr>
        <w:t> </w:t>
      </w:r>
      <w:r>
        <w:rPr/>
        <w:t>leurs</w:t>
      </w:r>
      <w:r>
        <w:rPr>
          <w:spacing w:val="-3"/>
        </w:rPr>
        <w:t> </w:t>
      </w:r>
      <w:r>
        <w:rPr/>
        <w:t>impôts</w:t>
      </w:r>
      <w:r>
        <w:rPr>
          <w:spacing w:val="-1"/>
        </w:rPr>
        <w:t> </w:t>
      </w:r>
      <w:r>
        <w:rPr/>
        <w:t>par</w:t>
      </w:r>
      <w:r>
        <w:rPr>
          <w:spacing w:val="-4"/>
        </w:rPr>
        <w:t> </w:t>
      </w:r>
      <w:r>
        <w:rPr/>
        <w:t>voie</w:t>
      </w:r>
      <w:r>
        <w:rPr>
          <w:spacing w:val="-4"/>
        </w:rPr>
        <w:t> </w:t>
      </w:r>
      <w:r>
        <w:rPr>
          <w:spacing w:val="-2"/>
        </w:rPr>
        <w:t>réglementaire.</w:t>
      </w:r>
    </w:p>
    <w:p>
      <w:pPr>
        <w:pStyle w:val="Heading8"/>
        <w:spacing w:before="93"/>
      </w:pPr>
      <w:r>
        <w:rPr/>
        <w:t>Art.</w:t>
      </w:r>
      <w:r>
        <w:rPr>
          <w:spacing w:val="-4"/>
        </w:rPr>
        <w:t> </w:t>
      </w:r>
      <w:r>
        <w:rPr/>
        <w:t>267,</w:t>
      </w:r>
      <w:r>
        <w:rPr>
          <w:spacing w:val="-1"/>
        </w:rPr>
        <w:t> </w:t>
      </w:r>
      <w:r>
        <w:rPr/>
        <w:t>al.</w:t>
      </w:r>
      <w:r>
        <w:rPr>
          <w:spacing w:val="-1"/>
        </w:rPr>
        <w:t> </w:t>
      </w:r>
      <w:r>
        <w:rPr/>
        <w:t>1</w:t>
      </w:r>
      <w:r>
        <w:rPr>
          <w:spacing w:val="-2"/>
        </w:rPr>
        <w:t> LCdir</w:t>
      </w:r>
    </w:p>
    <w:p>
      <w:pPr>
        <w:pStyle w:val="BodyText"/>
        <w:spacing w:before="56"/>
        <w:ind w:left="1134" w:right="704"/>
        <w:jc w:val="both"/>
      </w:pPr>
      <w:r>
        <w:rPr>
          <w:position w:val="6"/>
          <w:sz w:val="12"/>
        </w:rPr>
        <w:t>1</w:t>
      </w:r>
      <w:r>
        <w:rPr>
          <w:spacing w:val="17"/>
          <w:position w:val="6"/>
          <w:sz w:val="12"/>
        </w:rPr>
        <w:t> </w:t>
      </w:r>
      <w:r>
        <w:rPr/>
        <w:t>Les impôts</w:t>
      </w:r>
      <w:r>
        <w:rPr>
          <w:spacing w:val="-1"/>
        </w:rPr>
        <w:t> </w:t>
      </w:r>
      <w:r>
        <w:rPr/>
        <w:t>communaux</w:t>
      </w:r>
      <w:r>
        <w:rPr>
          <w:spacing w:val="-1"/>
        </w:rPr>
        <w:t> </w:t>
      </w:r>
      <w:r>
        <w:rPr/>
        <w:t>sur le revenu</w:t>
      </w:r>
      <w:r>
        <w:rPr>
          <w:spacing w:val="-1"/>
        </w:rPr>
        <w:t> </w:t>
      </w:r>
      <w:r>
        <w:rPr/>
        <w:t>et</w:t>
      </w:r>
      <w:r>
        <w:rPr>
          <w:spacing w:val="-2"/>
        </w:rPr>
        <w:t> </w:t>
      </w:r>
      <w:r>
        <w:rPr/>
        <w:t>la fortune ainsi que sur</w:t>
      </w:r>
      <w:r>
        <w:rPr>
          <w:spacing w:val="-2"/>
        </w:rPr>
        <w:t> </w:t>
      </w:r>
      <w:r>
        <w:rPr/>
        <w:t>le</w:t>
      </w:r>
      <w:r>
        <w:rPr>
          <w:spacing w:val="-1"/>
        </w:rPr>
        <w:t> </w:t>
      </w:r>
      <w:r>
        <w:rPr/>
        <w:t>bénéfice</w:t>
      </w:r>
      <w:r>
        <w:rPr>
          <w:spacing w:val="-1"/>
        </w:rPr>
        <w:t> </w:t>
      </w:r>
      <w:r>
        <w:rPr/>
        <w:t>et le</w:t>
      </w:r>
      <w:r>
        <w:rPr>
          <w:spacing w:val="-1"/>
        </w:rPr>
        <w:t> </w:t>
      </w:r>
      <w:r>
        <w:rPr/>
        <w:t>capital</w:t>
      </w:r>
      <w:r>
        <w:rPr>
          <w:spacing w:val="-1"/>
        </w:rPr>
        <w:t> </w:t>
      </w:r>
      <w:r>
        <w:rPr/>
        <w:t>sont prélevés sur les mêmes bases que les impôts cantonaux.</w:t>
      </w:r>
    </w:p>
    <w:p>
      <w:pPr>
        <w:pStyle w:val="Heading8"/>
      </w:pPr>
      <w:r>
        <w:rPr/>
        <w:t>Art.</w:t>
      </w:r>
      <w:r>
        <w:rPr>
          <w:spacing w:val="-3"/>
        </w:rPr>
        <w:t> </w:t>
      </w:r>
      <w:r>
        <w:rPr/>
        <w:t>268 </w:t>
      </w:r>
      <w:r>
        <w:rPr>
          <w:spacing w:val="-4"/>
        </w:rPr>
        <w:t>LCdir</w:t>
      </w:r>
    </w:p>
    <w:p>
      <w:pPr>
        <w:pStyle w:val="BodyText"/>
        <w:spacing w:before="62"/>
        <w:ind w:left="1134" w:right="703"/>
        <w:jc w:val="both"/>
      </w:pPr>
      <w:r>
        <w:rPr/>
        <w:t>L'impôt communal sur le revenu et la fortune des personnes physiques est calculé conformément au barème unique de référence prévu</w:t>
      </w:r>
      <w:r>
        <w:rPr>
          <w:spacing w:val="-3"/>
        </w:rPr>
        <w:t> </w:t>
      </w:r>
      <w:r>
        <w:rPr/>
        <w:t>pour</w:t>
      </w:r>
      <w:r>
        <w:rPr>
          <w:spacing w:val="-3"/>
        </w:rPr>
        <w:t> </w:t>
      </w:r>
      <w:r>
        <w:rPr/>
        <w:t>l'impôt</w:t>
      </w:r>
      <w:r>
        <w:rPr>
          <w:spacing w:val="-1"/>
        </w:rPr>
        <w:t> </w:t>
      </w:r>
      <w:r>
        <w:rPr/>
        <w:t>cantonal</w:t>
      </w:r>
      <w:r>
        <w:rPr>
          <w:spacing w:val="-3"/>
        </w:rPr>
        <w:t> </w:t>
      </w:r>
      <w:r>
        <w:rPr/>
        <w:t>sur</w:t>
      </w:r>
      <w:r>
        <w:rPr>
          <w:spacing w:val="-3"/>
        </w:rPr>
        <w:t> </w:t>
      </w:r>
      <w:r>
        <w:rPr/>
        <w:t>le revenu</w:t>
      </w:r>
      <w:r>
        <w:rPr>
          <w:spacing w:val="-3"/>
        </w:rPr>
        <w:t> </w:t>
      </w:r>
      <w:r>
        <w:rPr/>
        <w:t>et</w:t>
      </w:r>
      <w:r>
        <w:rPr>
          <w:spacing w:val="-1"/>
        </w:rPr>
        <w:t> </w:t>
      </w:r>
      <w:r>
        <w:rPr/>
        <w:t>la</w:t>
      </w:r>
      <w:r>
        <w:rPr>
          <w:spacing w:val="-3"/>
        </w:rPr>
        <w:t> </w:t>
      </w:r>
      <w:r>
        <w:rPr/>
        <w:t>fortune</w:t>
      </w:r>
      <w:r>
        <w:rPr>
          <w:spacing w:val="-3"/>
        </w:rPr>
        <w:t> </w:t>
      </w:r>
      <w:r>
        <w:rPr/>
        <w:t>multiplié</w:t>
      </w:r>
      <w:r>
        <w:rPr>
          <w:spacing w:val="-3"/>
        </w:rPr>
        <w:t> </w:t>
      </w:r>
      <w:r>
        <w:rPr/>
        <w:t>par</w:t>
      </w:r>
      <w:r>
        <w:rPr>
          <w:spacing w:val="-1"/>
        </w:rPr>
        <w:t> </w:t>
      </w:r>
      <w:r>
        <w:rPr/>
        <w:t>le</w:t>
      </w:r>
      <w:r>
        <w:rPr>
          <w:spacing w:val="-2"/>
        </w:rPr>
        <w:t> </w:t>
      </w:r>
      <w:hyperlink r:id="rId75">
        <w:r>
          <w:rPr>
            <w:color w:val="0462C0"/>
            <w:u w:val="single" w:color="0462C0"/>
          </w:rPr>
          <w:t>coef-</w:t>
        </w:r>
      </w:hyperlink>
      <w:hyperlink r:id="rId75">
        <w:r>
          <w:rPr>
            <w:color w:val="0462C0"/>
            <w:u w:val="single" w:color="0462C0"/>
          </w:rPr>
          <w:t>ficient</w:t>
        </w:r>
      </w:hyperlink>
      <w:r>
        <w:rPr>
          <w:color w:val="0462C0"/>
        </w:rPr>
        <w:t> </w:t>
      </w:r>
      <w:r>
        <w:rPr/>
        <w:t>d'impôt communal.</w:t>
      </w:r>
    </w:p>
    <w:p>
      <w:pPr>
        <w:pStyle w:val="Heading8"/>
        <w:spacing w:before="88"/>
      </w:pPr>
      <w:r>
        <w:rPr/>
        <w:t>Art.</w:t>
      </w:r>
      <w:r>
        <w:rPr>
          <w:spacing w:val="-2"/>
        </w:rPr>
        <w:t> </w:t>
      </w:r>
      <w:r>
        <w:rPr/>
        <w:t>2,</w:t>
      </w:r>
      <w:r>
        <w:rPr>
          <w:spacing w:val="-2"/>
        </w:rPr>
        <w:t> </w:t>
      </w:r>
      <w:r>
        <w:rPr/>
        <w:t>al.</w:t>
      </w:r>
      <w:r>
        <w:rPr>
          <w:spacing w:val="-3"/>
        </w:rPr>
        <w:t> </w:t>
      </w:r>
      <w:r>
        <w:rPr/>
        <w:t>3</w:t>
      </w:r>
      <w:r>
        <w:rPr>
          <w:position w:val="6"/>
          <w:sz w:val="12"/>
        </w:rPr>
        <w:t>bis</w:t>
      </w:r>
      <w:r>
        <w:rPr>
          <w:spacing w:val="13"/>
          <w:position w:val="6"/>
          <w:sz w:val="12"/>
        </w:rPr>
        <w:t> </w:t>
      </w:r>
      <w:r>
        <w:rPr/>
        <w:t>et</w:t>
      </w:r>
      <w:r>
        <w:rPr>
          <w:spacing w:val="-1"/>
        </w:rPr>
        <w:t> </w:t>
      </w:r>
      <w:r>
        <w:rPr/>
        <w:t>disposition</w:t>
      </w:r>
      <w:r>
        <w:rPr>
          <w:spacing w:val="-2"/>
        </w:rPr>
        <w:t> </w:t>
      </w:r>
      <w:r>
        <w:rPr/>
        <w:t>transitoire </w:t>
      </w:r>
      <w:r>
        <w:rPr>
          <w:spacing w:val="-2"/>
        </w:rPr>
        <w:t>DCICdirPP</w:t>
      </w:r>
    </w:p>
    <w:p>
      <w:pPr>
        <w:pStyle w:val="BodyText"/>
        <w:spacing w:before="58"/>
        <w:ind w:left="1134" w:right="701"/>
        <w:jc w:val="both"/>
      </w:pPr>
      <w:r>
        <w:rPr>
          <w:position w:val="6"/>
          <w:sz w:val="12"/>
        </w:rPr>
        <w:t>3bis</w:t>
      </w:r>
      <w:r>
        <w:rPr>
          <w:spacing w:val="-9"/>
          <w:position w:val="6"/>
          <w:sz w:val="12"/>
        </w:rPr>
        <w:t> </w:t>
      </w:r>
      <w:r>
        <w:rPr/>
        <w:t>En</w:t>
      </w:r>
      <w:r>
        <w:rPr>
          <w:spacing w:val="-12"/>
        </w:rPr>
        <w:t> </w:t>
      </w:r>
      <w:r>
        <w:rPr/>
        <w:t>dérogation</w:t>
      </w:r>
      <w:r>
        <w:rPr>
          <w:spacing w:val="-13"/>
        </w:rPr>
        <w:t> </w:t>
      </w:r>
      <w:r>
        <w:rPr/>
        <w:t>à</w:t>
      </w:r>
      <w:r>
        <w:rPr>
          <w:spacing w:val="-12"/>
        </w:rPr>
        <w:t> </w:t>
      </w:r>
      <w:r>
        <w:rPr/>
        <w:t>l'article</w:t>
      </w:r>
      <w:r>
        <w:rPr>
          <w:spacing w:val="-13"/>
        </w:rPr>
        <w:t> </w:t>
      </w:r>
      <w:r>
        <w:rPr/>
        <w:t>3,</w:t>
      </w:r>
      <w:r>
        <w:rPr>
          <w:spacing w:val="-12"/>
        </w:rPr>
        <w:t> </w:t>
      </w:r>
      <w:r>
        <w:rPr/>
        <w:t>alinéa</w:t>
      </w:r>
      <w:r>
        <w:rPr>
          <w:spacing w:val="-13"/>
        </w:rPr>
        <w:t> </w:t>
      </w:r>
      <w:r>
        <w:rPr/>
        <w:t>5</w:t>
      </w:r>
      <w:r>
        <w:rPr>
          <w:spacing w:val="-12"/>
        </w:rPr>
        <w:t> </w:t>
      </w:r>
      <w:r>
        <w:rPr/>
        <w:t>LCdir,</w:t>
      </w:r>
      <w:r>
        <w:rPr>
          <w:spacing w:val="-13"/>
        </w:rPr>
        <w:t> </w:t>
      </w:r>
      <w:r>
        <w:rPr/>
        <w:t>ces</w:t>
      </w:r>
      <w:r>
        <w:rPr>
          <w:spacing w:val="-12"/>
        </w:rPr>
        <w:t> </w:t>
      </w:r>
      <w:r>
        <w:rPr/>
        <w:t>coefficients</w:t>
      </w:r>
      <w:r>
        <w:rPr>
          <w:spacing w:val="-13"/>
        </w:rPr>
        <w:t> </w:t>
      </w:r>
      <w:r>
        <w:rPr/>
        <w:t>sont</w:t>
      </w:r>
      <w:r>
        <w:rPr>
          <w:spacing w:val="-12"/>
        </w:rPr>
        <w:t> </w:t>
      </w:r>
      <w:r>
        <w:rPr/>
        <w:t>fixés</w:t>
      </w:r>
      <w:r>
        <w:rPr>
          <w:spacing w:val="-13"/>
        </w:rPr>
        <w:t> </w:t>
      </w:r>
      <w:r>
        <w:rPr/>
        <w:t>pour</w:t>
      </w:r>
      <w:r>
        <w:rPr>
          <w:spacing w:val="-12"/>
        </w:rPr>
        <w:t> </w:t>
      </w:r>
      <w:r>
        <w:rPr/>
        <w:t>les</w:t>
      </w:r>
      <w:r>
        <w:rPr>
          <w:spacing w:val="-13"/>
        </w:rPr>
        <w:t> </w:t>
      </w:r>
      <w:r>
        <w:rPr/>
        <w:t>années</w:t>
      </w:r>
      <w:r>
        <w:rPr>
          <w:spacing w:val="-12"/>
        </w:rPr>
        <w:t> </w:t>
      </w:r>
      <w:r>
        <w:rPr/>
        <w:t>2018</w:t>
      </w:r>
      <w:r>
        <w:rPr>
          <w:spacing w:val="-13"/>
        </w:rPr>
        <w:t> </w:t>
      </w:r>
      <w:r>
        <w:rPr/>
        <w:t>et</w:t>
      </w:r>
      <w:r>
        <w:rPr>
          <w:spacing w:val="-12"/>
        </w:rPr>
        <w:t> </w:t>
      </w:r>
      <w:r>
        <w:rPr/>
        <w:t>suivantes jusqu’à l’entrée en vigueur de la modification relative au volet des charges de la LPFI au niveau des coefficients fixés par les Conseils généraux pour 2018, diminués de 1% de l’impôt de base.</w:t>
      </w:r>
    </w:p>
    <w:p>
      <w:pPr>
        <w:pStyle w:val="Heading8"/>
      </w:pPr>
      <w:r>
        <w:rPr/>
        <w:t>Art.</w:t>
      </w:r>
      <w:r>
        <w:rPr>
          <w:spacing w:val="-2"/>
        </w:rPr>
        <w:t> </w:t>
      </w:r>
      <w:r>
        <w:rPr/>
        <w:t>2,</w:t>
      </w:r>
      <w:r>
        <w:rPr>
          <w:spacing w:val="-2"/>
        </w:rPr>
        <w:t> </w:t>
      </w:r>
      <w:r>
        <w:rPr/>
        <w:t>al.</w:t>
      </w:r>
      <w:r>
        <w:rPr>
          <w:spacing w:val="-4"/>
        </w:rPr>
        <w:t> </w:t>
      </w:r>
      <w:r>
        <w:rPr/>
        <w:t>4</w:t>
      </w:r>
      <w:r>
        <w:rPr>
          <w:spacing w:val="-1"/>
        </w:rPr>
        <w:t> </w:t>
      </w:r>
      <w:r>
        <w:rPr/>
        <w:t>et</w:t>
      </w:r>
      <w:r>
        <w:rPr>
          <w:spacing w:val="-2"/>
        </w:rPr>
        <w:t> </w:t>
      </w:r>
      <w:r>
        <w:rPr/>
        <w:t>disposition</w:t>
      </w:r>
      <w:r>
        <w:rPr>
          <w:spacing w:val="-2"/>
        </w:rPr>
        <w:t> </w:t>
      </w:r>
      <w:r>
        <w:rPr/>
        <w:t>transitoire </w:t>
      </w:r>
      <w:r>
        <w:rPr>
          <w:spacing w:val="-2"/>
        </w:rPr>
        <w:t>DCICdirPM</w:t>
      </w:r>
    </w:p>
    <w:p>
      <w:pPr>
        <w:pStyle w:val="BodyText"/>
        <w:spacing w:before="56"/>
        <w:ind w:left="1134" w:right="704"/>
        <w:jc w:val="both"/>
      </w:pPr>
      <w:r>
        <w:rPr>
          <w:position w:val="6"/>
          <w:sz w:val="12"/>
        </w:rPr>
        <w:t>4 </w:t>
      </w:r>
      <w:r>
        <w:rPr/>
        <w:t>Pour</w:t>
      </w:r>
      <w:r>
        <w:rPr>
          <w:spacing w:val="-2"/>
        </w:rPr>
        <w:t> </w:t>
      </w:r>
      <w:r>
        <w:rPr/>
        <w:t>les années</w:t>
      </w:r>
      <w:r>
        <w:rPr>
          <w:spacing w:val="-1"/>
        </w:rPr>
        <w:t> </w:t>
      </w:r>
      <w:r>
        <w:rPr/>
        <w:t>2018</w:t>
      </w:r>
      <w:r>
        <w:rPr>
          <w:spacing w:val="-1"/>
        </w:rPr>
        <w:t> </w:t>
      </w:r>
      <w:r>
        <w:rPr/>
        <w:t>et</w:t>
      </w:r>
      <w:r>
        <w:rPr>
          <w:spacing w:val="-2"/>
        </w:rPr>
        <w:t> </w:t>
      </w:r>
      <w:r>
        <w:rPr/>
        <w:t>suivantes, le coefficient</w:t>
      </w:r>
      <w:r>
        <w:rPr>
          <w:spacing w:val="-2"/>
        </w:rPr>
        <w:t> </w:t>
      </w:r>
      <w:r>
        <w:rPr/>
        <w:t>de</w:t>
      </w:r>
      <w:r>
        <w:rPr>
          <w:spacing w:val="-1"/>
        </w:rPr>
        <w:t> </w:t>
      </w:r>
      <w:r>
        <w:rPr/>
        <w:t>l’impôt</w:t>
      </w:r>
      <w:r>
        <w:rPr>
          <w:spacing w:val="-2"/>
        </w:rPr>
        <w:t> </w:t>
      </w:r>
      <w:r>
        <w:rPr/>
        <w:t>communal</w:t>
      </w:r>
      <w:r>
        <w:rPr>
          <w:spacing w:val="-1"/>
        </w:rPr>
        <w:t> </w:t>
      </w:r>
      <w:r>
        <w:rPr/>
        <w:t>sur</w:t>
      </w:r>
      <w:r>
        <w:rPr>
          <w:spacing w:val="-2"/>
        </w:rPr>
        <w:t> </w:t>
      </w:r>
      <w:r>
        <w:rPr/>
        <w:t>le</w:t>
      </w:r>
      <w:r>
        <w:rPr>
          <w:spacing w:val="-1"/>
        </w:rPr>
        <w:t> </w:t>
      </w:r>
      <w:r>
        <w:rPr/>
        <w:t>bénéfice et le</w:t>
      </w:r>
      <w:r>
        <w:rPr>
          <w:spacing w:val="-1"/>
        </w:rPr>
        <w:t> </w:t>
      </w:r>
      <w:r>
        <w:rPr/>
        <w:t>capital des personnes morales est fixé à 75% de l’impôt de base selon les articles 3a, 94 et 108 LCdir.</w:t>
      </w:r>
    </w:p>
    <w:p>
      <w:pPr>
        <w:pStyle w:val="Heading8"/>
      </w:pPr>
      <w:r>
        <w:rPr/>
        <w:t>Disposition</w:t>
      </w:r>
      <w:r>
        <w:rPr>
          <w:spacing w:val="-3"/>
        </w:rPr>
        <w:t> </w:t>
      </w:r>
      <w:r>
        <w:rPr/>
        <w:t>transitoire</w:t>
      </w:r>
      <w:r>
        <w:rPr>
          <w:spacing w:val="-1"/>
        </w:rPr>
        <w:t> </w:t>
      </w:r>
      <w:r>
        <w:rPr/>
        <w:t>à</w:t>
      </w:r>
      <w:r>
        <w:rPr>
          <w:spacing w:val="-4"/>
        </w:rPr>
        <w:t> </w:t>
      </w:r>
      <w:r>
        <w:rPr/>
        <w:t>la</w:t>
      </w:r>
      <w:r>
        <w:rPr>
          <w:spacing w:val="-4"/>
        </w:rPr>
        <w:t> </w:t>
      </w:r>
      <w:r>
        <w:rPr/>
        <w:t>modification</w:t>
      </w:r>
      <w:r>
        <w:rPr>
          <w:spacing w:val="-2"/>
        </w:rPr>
        <w:t> </w:t>
      </w:r>
      <w:r>
        <w:rPr/>
        <w:t>du</w:t>
      </w:r>
      <w:r>
        <w:rPr>
          <w:spacing w:val="-2"/>
        </w:rPr>
        <w:t> </w:t>
      </w:r>
      <w:r>
        <w:rPr/>
        <w:t>5</w:t>
      </w:r>
      <w:r>
        <w:rPr>
          <w:spacing w:val="-1"/>
        </w:rPr>
        <w:t> </w:t>
      </w:r>
      <w:r>
        <w:rPr/>
        <w:t>décembre</w:t>
      </w:r>
      <w:r>
        <w:rPr>
          <w:spacing w:val="-4"/>
        </w:rPr>
        <w:t> 2017</w:t>
      </w:r>
    </w:p>
    <w:p>
      <w:pPr>
        <w:pStyle w:val="BodyText"/>
        <w:spacing w:line="278" w:lineRule="auto" w:before="96"/>
        <w:ind w:left="1134" w:right="701"/>
        <w:jc w:val="both"/>
      </w:pPr>
      <w:r>
        <w:rPr/>
        <w:t>L’Etat alloue dès 2018 aux communes bénéficiaires du volet ressources de la LPFI jusqu’à l’entrée en vigueur du volet des charges de la LPFI un montant complémentaire équivalent à 7% de leur dotation prévue à ce titre.</w:t>
      </w:r>
    </w:p>
    <w:p>
      <w:pPr>
        <w:pStyle w:val="BodyText"/>
      </w:pPr>
    </w:p>
    <w:p>
      <w:pPr>
        <w:pStyle w:val="BodyText"/>
        <w:spacing w:before="33"/>
      </w:pPr>
    </w:p>
    <w:p>
      <w:pPr>
        <w:pStyle w:val="Heading2"/>
      </w:pPr>
      <w:bookmarkStart w:name="Imposition d'après la dépense" w:id="65"/>
      <w:bookmarkEnd w:id="65"/>
      <w:r>
        <w:rPr>
          <w:b w:val="0"/>
        </w:rPr>
      </w:r>
      <w:bookmarkStart w:name="_bookmark29" w:id="66"/>
      <w:bookmarkEnd w:id="66"/>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8"/>
        <w:ind w:left="851"/>
      </w:pPr>
      <w:r>
        <w:rPr/>
        <w:t>(Art. 11</w:t>
      </w:r>
      <w:r>
        <w:rPr>
          <w:spacing w:val="-2"/>
        </w:rPr>
        <w:t> LCdir)</w:t>
      </w:r>
    </w:p>
    <w:p>
      <w:pPr>
        <w:pStyle w:val="BodyText"/>
        <w:spacing w:before="154"/>
      </w:pPr>
    </w:p>
    <w:p>
      <w:pPr>
        <w:pStyle w:val="Heading7"/>
        <w:jc w:val="both"/>
      </w:pPr>
      <w:r>
        <w:rPr>
          <w:color w:val="950000"/>
        </w:rPr>
        <w:t>Imposition d'après la dépense</w:t>
      </w:r>
      <w:r>
        <w:rPr>
          <w:color w:val="950000"/>
          <w:spacing w:val="80"/>
        </w:rPr>
        <w:t> </w:t>
      </w:r>
      <w:r>
        <w:rPr>
          <w:color w:val="950000"/>
          <w:spacing w:val="-2"/>
        </w:rPr>
        <w:drawing>
          <wp:inline distT="0" distB="0" distL="0" distR="0">
            <wp:extent cx="201242" cy="114904"/>
            <wp:effectExtent l="0" t="0" r="0" b="0"/>
            <wp:docPr id="93" name="Image 93" descr="">
              <a:hlinkClick r:id="rId73"/>
            </wp:docPr>
            <wp:cNvGraphicFramePr>
              <a:graphicFrameLocks/>
            </wp:cNvGraphicFramePr>
            <a:graphic>
              <a:graphicData uri="http://schemas.openxmlformats.org/drawingml/2006/picture">
                <pic:pic>
                  <pic:nvPicPr>
                    <pic:cNvPr id="93" name="Image 93" descr="">
                      <a:hlinkClick r:id="rId73"/>
                    </pic:cNvPr>
                    <pic:cNvPicPr/>
                  </pic:nvPicPr>
                  <pic:blipFill>
                    <a:blip r:embed="rId11" cstate="print"/>
                    <a:stretch>
                      <a:fillRect/>
                    </a:stretch>
                  </pic:blipFill>
                  <pic:spPr>
                    <a:xfrm>
                      <a:off x="0" y="0"/>
                      <a:ext cx="201242" cy="114904"/>
                    </a:xfrm>
                    <a:prstGeom prst="rect">
                      <a:avLst/>
                    </a:prstGeom>
                  </pic:spPr>
                </pic:pic>
              </a:graphicData>
            </a:graphic>
          </wp:inline>
        </w:drawing>
      </w:r>
      <w:r>
        <w:rPr>
          <w:color w:val="950000"/>
          <w:spacing w:val="-2"/>
        </w:rPr>
      </w:r>
    </w:p>
    <w:p>
      <w:pPr>
        <w:pStyle w:val="Heading8"/>
        <w:spacing w:before="93"/>
      </w:pPr>
      <w:r>
        <w:rPr/>
        <w:t>Art.</w:t>
      </w:r>
      <w:r>
        <w:rPr>
          <w:spacing w:val="-1"/>
        </w:rPr>
        <w:t> </w:t>
      </w:r>
      <w:r>
        <w:rPr/>
        <w:t>11 </w:t>
      </w:r>
      <w:r>
        <w:rPr>
          <w:spacing w:val="-2"/>
        </w:rPr>
        <w:t>LCdir</w:t>
      </w:r>
    </w:p>
    <w:p>
      <w:pPr>
        <w:pStyle w:val="BodyText"/>
        <w:spacing w:before="59"/>
        <w:ind w:left="1134" w:right="704" w:firstLine="50"/>
        <w:jc w:val="both"/>
      </w:pPr>
      <w:r>
        <w:rPr/>
        <w:t>L'impôt annuel communal sur la</w:t>
      </w:r>
      <w:r>
        <w:rPr>
          <w:spacing w:val="-4"/>
        </w:rPr>
        <w:t> </w:t>
      </w:r>
      <w:r>
        <w:rPr/>
        <w:t>dépense</w:t>
      </w:r>
      <w:r>
        <w:rPr>
          <w:spacing w:val="-4"/>
        </w:rPr>
        <w:t> </w:t>
      </w:r>
      <w:r>
        <w:rPr/>
        <w:t>est calculé d'après les </w:t>
      </w:r>
      <w:hyperlink r:id="rId75">
        <w:r>
          <w:rPr>
            <w:color w:val="0462C0"/>
            <w:u w:val="single" w:color="0462C0"/>
          </w:rPr>
          <w:t>coefficients</w:t>
        </w:r>
      </w:hyperlink>
      <w:r>
        <w:rPr>
          <w:color w:val="0462C0"/>
        </w:rPr>
        <w:t> </w:t>
      </w:r>
      <w:r>
        <w:rPr/>
        <w:t>communaux des impôts sur le revenu et la fortune, selon les modalités du présent règlement.</w:t>
      </w:r>
    </w:p>
    <w:p>
      <w:pPr>
        <w:pStyle w:val="BodyText"/>
        <w:spacing w:after="0"/>
        <w:jc w:val="both"/>
        <w:sectPr>
          <w:headerReference w:type="default" r:id="rId98"/>
          <w:footerReference w:type="default" r:id="rId99"/>
          <w:pgSz w:w="11910" w:h="16840"/>
          <w:pgMar w:header="724" w:footer="687" w:top="960" w:bottom="880" w:left="850" w:right="992"/>
        </w:sectPr>
      </w:pPr>
    </w:p>
    <w:p>
      <w:pPr>
        <w:pStyle w:val="BodyText"/>
        <w:spacing w:before="73"/>
        <w:rPr>
          <w:sz w:val="32"/>
        </w:rPr>
      </w:pPr>
    </w:p>
    <w:p>
      <w:pPr>
        <w:pStyle w:val="Heading2"/>
        <w:ind w:right="142"/>
      </w:pPr>
      <w:bookmarkStart w:name="Impôts sur le revenu et la fortune ainsi" w:id="67"/>
      <w:bookmarkEnd w:id="67"/>
      <w:r>
        <w:rPr>
          <w:b w:val="0"/>
        </w:rPr>
      </w:r>
      <w:bookmarkStart w:name="_bookmark30" w:id="68"/>
      <w:bookmarkEnd w:id="68"/>
      <w:r>
        <w:rPr>
          <w:b w:val="0"/>
        </w:rPr>
      </w:r>
      <w:r>
        <w:rPr>
          <w:color w:val="2D73B4"/>
        </w:rPr>
        <w:t>Impôts sur le revenu et la fortune ainsi qu’impôts sur le ca-pital et le bénéfice dans les paroisses</w:t>
      </w:r>
    </w:p>
    <w:p>
      <w:pPr>
        <w:pStyle w:val="BodyText"/>
        <w:spacing w:before="58"/>
        <w:ind w:left="851"/>
      </w:pPr>
      <w:r>
        <w:rPr/>
        <w:t>(Art. 7</w:t>
      </w:r>
      <w:r>
        <w:rPr>
          <w:spacing w:val="1"/>
        </w:rPr>
        <w:t> </w:t>
      </w:r>
      <w:r>
        <w:rPr/>
        <w:t>et</w:t>
      </w:r>
      <w:r>
        <w:rPr>
          <w:spacing w:val="-2"/>
        </w:rPr>
        <w:t> </w:t>
      </w:r>
      <w:r>
        <w:rPr/>
        <w:t>8</w:t>
      </w:r>
      <w:r>
        <w:rPr>
          <w:spacing w:val="1"/>
        </w:rPr>
        <w:t> </w:t>
      </w:r>
      <w:r>
        <w:rPr>
          <w:spacing w:val="-4"/>
        </w:rPr>
        <w:t>CEE)</w:t>
      </w:r>
    </w:p>
    <w:p>
      <w:pPr>
        <w:pStyle w:val="Heading8"/>
        <w:spacing w:before="155"/>
        <w:jc w:val="both"/>
      </w:pPr>
      <w:r>
        <w:rPr/>
        <w:t>Art.</w:t>
      </w:r>
      <w:r>
        <w:rPr>
          <w:spacing w:val="-1"/>
        </w:rPr>
        <w:t> </w:t>
      </w:r>
      <w:r>
        <w:rPr/>
        <w:t>7 </w:t>
      </w:r>
      <w:r>
        <w:rPr>
          <w:spacing w:val="-5"/>
        </w:rPr>
        <w:t>CEE</w:t>
      </w:r>
    </w:p>
    <w:p>
      <w:pPr>
        <w:pStyle w:val="BodyText"/>
        <w:spacing w:before="60"/>
        <w:ind w:left="1134" w:right="703"/>
        <w:jc w:val="both"/>
      </w:pPr>
      <w:r>
        <w:rPr/>
        <w:t>Les</w:t>
      </w:r>
      <w:r>
        <w:rPr>
          <w:spacing w:val="-6"/>
        </w:rPr>
        <w:t> </w:t>
      </w:r>
      <w:r>
        <w:rPr/>
        <w:t>Eglises</w:t>
      </w:r>
      <w:r>
        <w:rPr>
          <w:spacing w:val="-6"/>
        </w:rPr>
        <w:t> </w:t>
      </w:r>
      <w:r>
        <w:rPr/>
        <w:t>fixent</w:t>
      </w:r>
      <w:r>
        <w:rPr>
          <w:spacing w:val="-7"/>
        </w:rPr>
        <w:t> </w:t>
      </w:r>
      <w:r>
        <w:rPr/>
        <w:t>librement</w:t>
      </w:r>
      <w:r>
        <w:rPr>
          <w:spacing w:val="-9"/>
        </w:rPr>
        <w:t> </w:t>
      </w:r>
      <w:r>
        <w:rPr/>
        <w:t>mais</w:t>
      </w:r>
      <w:r>
        <w:rPr>
          <w:spacing w:val="-8"/>
        </w:rPr>
        <w:t> </w:t>
      </w:r>
      <w:r>
        <w:rPr/>
        <w:t>conjointement</w:t>
      </w:r>
      <w:r>
        <w:rPr>
          <w:spacing w:val="-7"/>
        </w:rPr>
        <w:t> </w:t>
      </w:r>
      <w:r>
        <w:rPr/>
        <w:t>le</w:t>
      </w:r>
      <w:r>
        <w:rPr>
          <w:spacing w:val="-6"/>
        </w:rPr>
        <w:t> </w:t>
      </w:r>
      <w:r>
        <w:rPr/>
        <w:t>même</w:t>
      </w:r>
      <w:r>
        <w:rPr>
          <w:spacing w:val="-6"/>
        </w:rPr>
        <w:t> </w:t>
      </w:r>
      <w:r>
        <w:rPr/>
        <w:t>taux</w:t>
      </w:r>
      <w:r>
        <w:rPr>
          <w:spacing w:val="-6"/>
        </w:rPr>
        <w:t> </w:t>
      </w:r>
      <w:r>
        <w:rPr/>
        <w:t>et</w:t>
      </w:r>
      <w:r>
        <w:rPr>
          <w:spacing w:val="-7"/>
        </w:rPr>
        <w:t> </w:t>
      </w:r>
      <w:r>
        <w:rPr/>
        <w:t>les</w:t>
      </w:r>
      <w:r>
        <w:rPr>
          <w:spacing w:val="-6"/>
        </w:rPr>
        <w:t> </w:t>
      </w:r>
      <w:r>
        <w:rPr/>
        <w:t>mêmes</w:t>
      </w:r>
      <w:r>
        <w:rPr>
          <w:spacing w:val="-6"/>
        </w:rPr>
        <w:t> </w:t>
      </w:r>
      <w:r>
        <w:rPr/>
        <w:t>modalités</w:t>
      </w:r>
      <w:r>
        <w:rPr>
          <w:spacing w:val="-6"/>
        </w:rPr>
        <w:t> </w:t>
      </w:r>
      <w:r>
        <w:rPr/>
        <w:t>de</w:t>
      </w:r>
      <w:r>
        <w:rPr>
          <w:spacing w:val="-9"/>
        </w:rPr>
        <w:t> </w:t>
      </w:r>
      <w:r>
        <w:rPr/>
        <w:t>la</w:t>
      </w:r>
      <w:r>
        <w:rPr>
          <w:spacing w:val="-9"/>
        </w:rPr>
        <w:t> </w:t>
      </w:r>
      <w:r>
        <w:rPr/>
        <w:t>contribution ecclésiastique volontaire de leurs membres et des personnes morales.</w:t>
      </w:r>
    </w:p>
    <w:p>
      <w:pPr>
        <w:pStyle w:val="Heading8"/>
        <w:jc w:val="both"/>
      </w:pPr>
      <w:r>
        <w:rPr/>
        <w:t>Art.</w:t>
      </w:r>
      <w:r>
        <w:rPr>
          <w:spacing w:val="-1"/>
        </w:rPr>
        <w:t> </w:t>
      </w:r>
      <w:r>
        <w:rPr/>
        <w:t>8, al.</w:t>
      </w:r>
      <w:r>
        <w:rPr>
          <w:spacing w:val="-3"/>
        </w:rPr>
        <w:t> </w:t>
      </w:r>
      <w:r>
        <w:rPr/>
        <w:t>1</w:t>
      </w:r>
      <w:r>
        <w:rPr>
          <w:spacing w:val="1"/>
        </w:rPr>
        <w:t> </w:t>
      </w:r>
      <w:r>
        <w:rPr>
          <w:spacing w:val="-5"/>
        </w:rPr>
        <w:t>CEE</w:t>
      </w:r>
    </w:p>
    <w:p>
      <w:pPr>
        <w:pStyle w:val="BodyText"/>
        <w:spacing w:before="56"/>
        <w:ind w:left="1134" w:right="705"/>
        <w:jc w:val="both"/>
      </w:pPr>
      <w:r>
        <w:rPr>
          <w:position w:val="6"/>
          <w:sz w:val="12"/>
        </w:rPr>
        <w:t>1</w:t>
      </w:r>
      <w:r>
        <w:rPr>
          <w:spacing w:val="29"/>
          <w:position w:val="6"/>
          <w:sz w:val="12"/>
        </w:rPr>
        <w:t> </w:t>
      </w:r>
      <w:r>
        <w:rPr/>
        <w:t>La contribution ecclésiastique volontaire est perçue gratuitement par les services de l'administration cantonale. Le montant total des contributions ecclésiastiques encaissé est reversé par l'administration cantonale aux Eglises concernées.</w:t>
      </w:r>
    </w:p>
    <w:p>
      <w:pPr>
        <w:pStyle w:val="BodyText"/>
        <w:spacing w:before="41"/>
        <w:ind w:left="1134"/>
        <w:jc w:val="both"/>
      </w:pPr>
      <w:hyperlink r:id="rId101">
        <w:r>
          <w:rPr>
            <w:color w:val="0462C0"/>
            <w:u w:val="single" w:color="0462C0"/>
          </w:rPr>
          <w:t>Contribution</w:t>
        </w:r>
        <w:r>
          <w:rPr>
            <w:color w:val="0462C0"/>
            <w:spacing w:val="-2"/>
            <w:u w:val="single" w:color="0462C0"/>
          </w:rPr>
          <w:t> </w:t>
        </w:r>
        <w:r>
          <w:rPr>
            <w:color w:val="0462C0"/>
            <w:u w:val="single" w:color="0462C0"/>
          </w:rPr>
          <w:t>ecclesiastique</w:t>
        </w:r>
        <w:r>
          <w:rPr>
            <w:color w:val="0462C0"/>
            <w:spacing w:val="-2"/>
            <w:u w:val="single" w:color="0462C0"/>
          </w:rPr>
          <w:t> </w:t>
        </w:r>
        <w:r>
          <w:rPr>
            <w:color w:val="0462C0"/>
            <w:u w:val="single" w:color="0462C0"/>
          </w:rPr>
          <w:t>-</w:t>
        </w:r>
        <w:r>
          <w:rPr>
            <w:color w:val="0462C0"/>
            <w:spacing w:val="-3"/>
            <w:u w:val="single" w:color="0462C0"/>
          </w:rPr>
          <w:t> </w:t>
        </w:r>
        <w:r>
          <w:rPr>
            <w:color w:val="0462C0"/>
            <w:u w:val="single" w:color="0462C0"/>
          </w:rPr>
          <w:t>République</w:t>
        </w:r>
        <w:r>
          <w:rPr>
            <w:color w:val="0462C0"/>
            <w:spacing w:val="-2"/>
            <w:u w:val="single" w:color="0462C0"/>
          </w:rPr>
          <w:t> </w:t>
        </w:r>
        <w:r>
          <w:rPr>
            <w:color w:val="0462C0"/>
            <w:u w:val="single" w:color="0462C0"/>
          </w:rPr>
          <w:t>et</w:t>
        </w:r>
        <w:r>
          <w:rPr>
            <w:color w:val="0462C0"/>
            <w:spacing w:val="-5"/>
            <w:u w:val="single" w:color="0462C0"/>
          </w:rPr>
          <w:t> </w:t>
        </w:r>
        <w:r>
          <w:rPr>
            <w:color w:val="0462C0"/>
            <w:u w:val="single" w:color="0462C0"/>
          </w:rPr>
          <w:t>canton</w:t>
        </w:r>
        <w:r>
          <w:rPr>
            <w:color w:val="0462C0"/>
            <w:spacing w:val="-5"/>
            <w:u w:val="single" w:color="0462C0"/>
          </w:rPr>
          <w:t> </w:t>
        </w:r>
        <w:r>
          <w:rPr>
            <w:color w:val="0462C0"/>
            <w:u w:val="single" w:color="0462C0"/>
          </w:rPr>
          <w:t>de</w:t>
        </w:r>
        <w:r>
          <w:rPr>
            <w:color w:val="0462C0"/>
            <w:spacing w:val="-1"/>
            <w:u w:val="single" w:color="0462C0"/>
          </w:rPr>
          <w:t> </w:t>
        </w:r>
        <w:r>
          <w:rPr>
            <w:color w:val="0462C0"/>
            <w:spacing w:val="-2"/>
            <w:u w:val="single" w:color="0462C0"/>
          </w:rPr>
          <w:t>Neuchâte</w:t>
        </w:r>
        <w:r>
          <w:rPr>
            <w:color w:val="0462C0"/>
            <w:spacing w:val="-2"/>
          </w:rPr>
          <w:t>l</w:t>
        </w:r>
      </w:hyperlink>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Contact Administration fiscale cantonale" w:id="69"/>
      <w:bookmarkEnd w:id="69"/>
      <w:r>
        <w:rPr>
          <w:b w:val="0"/>
        </w:rPr>
      </w:r>
      <w:bookmarkStart w:name="_bookmark31" w:id="70"/>
      <w:bookmarkEnd w:id="70"/>
      <w:r>
        <w:rPr>
          <w:b w:val="0"/>
        </w:rPr>
      </w:r>
      <w:r>
        <w:rPr>
          <w:color w:val="2D73B4"/>
        </w:rPr>
        <w:t>Contact</w:t>
      </w:r>
      <w:r>
        <w:rPr>
          <w:color w:val="2D73B4"/>
          <w:spacing w:val="-22"/>
        </w:rPr>
        <w:t> </w:t>
      </w:r>
      <w:r>
        <w:rPr>
          <w:color w:val="2D73B4"/>
        </w:rPr>
        <w:t>Administration</w:t>
      </w:r>
      <w:r>
        <w:rPr>
          <w:color w:val="2D73B4"/>
          <w:spacing w:val="-10"/>
        </w:rPr>
        <w:t> </w:t>
      </w:r>
      <w:r>
        <w:rPr>
          <w:color w:val="2D73B4"/>
        </w:rPr>
        <w:t>fiscale</w:t>
      </w:r>
      <w:r>
        <w:rPr>
          <w:color w:val="2D73B4"/>
          <w:spacing w:val="-6"/>
        </w:rPr>
        <w:t> </w:t>
      </w:r>
      <w:r>
        <w:rPr>
          <w:color w:val="2D73B4"/>
          <w:spacing w:val="-2"/>
        </w:rPr>
        <w:t>cantonale</w:t>
      </w:r>
    </w:p>
    <w:p>
      <w:pPr>
        <w:pStyle w:val="BodyText"/>
        <w:spacing w:before="239"/>
        <w:ind w:left="851" w:right="6905"/>
      </w:pPr>
      <w:r>
        <w:rPr/>
        <w:t>Service des contributions Rue du Docteur-Coullery 5 CH-2300</w:t>
      </w:r>
      <w:r>
        <w:rPr>
          <w:spacing w:val="-15"/>
        </w:rPr>
        <w:t> </w:t>
      </w:r>
      <w:r>
        <w:rPr/>
        <w:t>La</w:t>
      </w:r>
      <w:r>
        <w:rPr>
          <w:spacing w:val="-12"/>
        </w:rPr>
        <w:t> </w:t>
      </w:r>
      <w:r>
        <w:rPr/>
        <w:t>Chaux-de-fonds</w:t>
      </w:r>
    </w:p>
    <w:p>
      <w:pPr>
        <w:pStyle w:val="BodyText"/>
        <w:spacing w:before="67"/>
      </w:pPr>
    </w:p>
    <w:p>
      <w:pPr>
        <w:pStyle w:val="BodyText"/>
        <w:ind w:left="851"/>
      </w:pPr>
      <w:hyperlink r:id="rId104">
        <w:r>
          <w:rPr>
            <w:color w:val="0462C0"/>
            <w:u w:val="single" w:color="0462C0"/>
          </w:rPr>
          <w:t>&gt; </w:t>
        </w:r>
        <w:r>
          <w:rPr>
            <w:color w:val="0462C0"/>
            <w:spacing w:val="-2"/>
            <w:u w:val="single" w:color="0462C0"/>
          </w:rPr>
          <w:t>Contact</w:t>
        </w:r>
      </w:hyperlink>
    </w:p>
    <w:p>
      <w:pPr>
        <w:pStyle w:val="BodyText"/>
        <w:spacing w:before="66"/>
      </w:pPr>
    </w:p>
    <w:p>
      <w:pPr>
        <w:pStyle w:val="BodyText"/>
        <w:ind w:left="851"/>
      </w:pPr>
      <w:r>
        <w:rPr/>
        <w:t>Tel.</w:t>
      </w:r>
      <w:r>
        <w:rPr>
          <w:spacing w:val="-2"/>
        </w:rPr>
        <w:t> </w:t>
      </w:r>
      <w:r>
        <w:rPr/>
        <w:t>+41 32 889 77</w:t>
      </w:r>
      <w:r>
        <w:rPr>
          <w:spacing w:val="-3"/>
        </w:rPr>
        <w:t> </w:t>
      </w:r>
      <w:r>
        <w:rPr>
          <w:spacing w:val="-5"/>
        </w:rPr>
        <w:t>77</w:t>
      </w:r>
    </w:p>
    <w:p>
      <w:pPr>
        <w:pStyle w:val="BodyText"/>
        <w:spacing w:before="33"/>
        <w:ind w:left="851"/>
      </w:pPr>
      <w:r>
        <w:rPr/>
        <w:t>Fax</w:t>
      </w:r>
      <w:r>
        <w:rPr>
          <w:spacing w:val="-1"/>
        </w:rPr>
        <w:t> </w:t>
      </w:r>
      <w:r>
        <w:rPr/>
        <w:t>+41 32 889 60</w:t>
      </w:r>
      <w:r>
        <w:rPr>
          <w:spacing w:val="-3"/>
        </w:rPr>
        <w:t> </w:t>
      </w:r>
      <w:r>
        <w:rPr>
          <w:spacing w:val="-5"/>
        </w:rPr>
        <w:t>85</w:t>
      </w:r>
    </w:p>
    <w:p>
      <w:pPr>
        <w:pStyle w:val="BodyText"/>
        <w:spacing w:before="33"/>
        <w:ind w:left="851"/>
      </w:pPr>
      <w:hyperlink r:id="rId105">
        <w:r>
          <w:rPr>
            <w:color w:val="0462C0"/>
            <w:u w:val="single" w:color="0462C0"/>
          </w:rPr>
          <w:t>Service</w:t>
        </w:r>
        <w:r>
          <w:rPr>
            <w:color w:val="0462C0"/>
            <w:spacing w:val="-1"/>
            <w:u w:val="single" w:color="0462C0"/>
          </w:rPr>
          <w:t> </w:t>
        </w:r>
        <w:r>
          <w:rPr>
            <w:color w:val="0462C0"/>
            <w:u w:val="single" w:color="0462C0"/>
          </w:rPr>
          <w:t>des</w:t>
        </w:r>
        <w:r>
          <w:rPr>
            <w:color w:val="0462C0"/>
            <w:spacing w:val="-2"/>
            <w:u w:val="single" w:color="0462C0"/>
          </w:rPr>
          <w:t> contributions</w:t>
        </w:r>
      </w:hyperlink>
    </w:p>
    <w:sectPr>
      <w:headerReference w:type="default" r:id="rId102"/>
      <w:footerReference w:type="default" r:id="rId103"/>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4992">
              <wp:simplePos x="0" y="0"/>
              <wp:positionH relativeFrom="page">
                <wp:posOffset>6383538</wp:posOffset>
              </wp:positionH>
              <wp:positionV relativeFrom="page">
                <wp:posOffset>10020556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40839pt;margin-top:789.020203pt;width:36.950pt;height:9.8pt;mso-position-horizontal-relative:page;mso-position-vertical-relative:page;z-index:-17151488" type="#_x0000_t202" id="docshape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7040">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7149440"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9088">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7147392"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1136">
              <wp:simplePos x="0" y="0"/>
              <wp:positionH relativeFrom="page">
                <wp:posOffset>6715771</wp:posOffset>
              </wp:positionH>
              <wp:positionV relativeFrom="page">
                <wp:posOffset>10114819</wp:posOffset>
              </wp:positionV>
              <wp:extent cx="177165" cy="1397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7145344" type="#_x0000_t202" id="docshape18"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3184">
              <wp:simplePos x="0" y="0"/>
              <wp:positionH relativeFrom="page">
                <wp:posOffset>6690371</wp:posOffset>
              </wp:positionH>
              <wp:positionV relativeFrom="page">
                <wp:posOffset>10114819</wp:posOffset>
              </wp:positionV>
              <wp:extent cx="202565" cy="1397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7143296" type="#_x0000_t202" id="docshape2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5232">
              <wp:simplePos x="0" y="0"/>
              <wp:positionH relativeFrom="page">
                <wp:posOffset>6690371</wp:posOffset>
              </wp:positionH>
              <wp:positionV relativeFrom="page">
                <wp:posOffset>10114819</wp:posOffset>
              </wp:positionV>
              <wp:extent cx="202565" cy="1397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7141248" type="#_x0000_t202" id="docshape26"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7280">
              <wp:simplePos x="0" y="0"/>
              <wp:positionH relativeFrom="page">
                <wp:posOffset>6690371</wp:posOffset>
              </wp:positionH>
              <wp:positionV relativeFrom="page">
                <wp:posOffset>10114819</wp:posOffset>
              </wp:positionV>
              <wp:extent cx="202565" cy="1397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7139200" type="#_x0000_t202" id="docshape30"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9328">
              <wp:simplePos x="0" y="0"/>
              <wp:positionH relativeFrom="page">
                <wp:posOffset>6690371</wp:posOffset>
              </wp:positionH>
              <wp:positionV relativeFrom="page">
                <wp:posOffset>10114819</wp:posOffset>
              </wp:positionV>
              <wp:extent cx="202565"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7137152" type="#_x0000_t202" id="docshape34"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3456">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53024"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63968">
              <wp:simplePos x="0" y="0"/>
              <wp:positionH relativeFrom="page">
                <wp:posOffset>1067817</wp:posOffset>
              </wp:positionH>
              <wp:positionV relativeFrom="page">
                <wp:posOffset>447338</wp:posOffset>
              </wp:positionV>
              <wp:extent cx="159321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125.45pt;height:13.15pt;mso-position-horizontal-relative:page;mso-position-vertical-relative:page;z-index:-17152512"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4480">
              <wp:simplePos x="0" y="0"/>
              <wp:positionH relativeFrom="page">
                <wp:posOffset>5479805</wp:posOffset>
              </wp:positionH>
              <wp:positionV relativeFrom="page">
                <wp:posOffset>447338</wp:posOffset>
              </wp:positionV>
              <wp:extent cx="137223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72235" cy="167005"/>
                      </a:xfrm>
                      <a:prstGeom prst="rect">
                        <a:avLst/>
                      </a:prstGeom>
                    </wps:spPr>
                    <wps:txbx>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wps:txbx>
                    <wps:bodyPr wrap="square" lIns="0" tIns="0" rIns="0" bIns="0" rtlCol="0">
                      <a:noAutofit/>
                    </wps:bodyPr>
                  </wps:wsp>
                </a:graphicData>
              </a:graphic>
            </wp:anchor>
          </w:drawing>
        </mc:Choice>
        <mc:Fallback>
          <w:pict>
            <v:shape style="position:absolute;margin-left:431.480713pt;margin-top:35.223503pt;width:108.05pt;height:13.15pt;mso-position-horizontal-relative:page;mso-position-vertical-relative:page;z-index:-17152000" type="#_x0000_t202" id="docshape4" filled="false" stroked="false">
              <v:textbox inset="0,0,0,0">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5504">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50976"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66016">
              <wp:simplePos x="0" y="0"/>
              <wp:positionH relativeFrom="page">
                <wp:posOffset>1067817</wp:posOffset>
              </wp:positionH>
              <wp:positionV relativeFrom="page">
                <wp:posOffset>447338</wp:posOffset>
              </wp:positionV>
              <wp:extent cx="159321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50464"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6528">
              <wp:simplePos x="0" y="0"/>
              <wp:positionH relativeFrom="page">
                <wp:posOffset>5748029</wp:posOffset>
              </wp:positionH>
              <wp:positionV relativeFrom="page">
                <wp:posOffset>447338</wp:posOffset>
              </wp:positionV>
              <wp:extent cx="110426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04265" cy="167005"/>
                      </a:xfrm>
                      <a:prstGeom prst="rect">
                        <a:avLst/>
                      </a:prstGeom>
                    </wps:spPr>
                    <wps:txbx>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wps:txbx>
                    <wps:bodyPr wrap="square" lIns="0" tIns="0" rIns="0" bIns="0" rtlCol="0">
                      <a:noAutofit/>
                    </wps:bodyPr>
                  </wps:wsp>
                </a:graphicData>
              </a:graphic>
            </wp:anchor>
          </w:drawing>
        </mc:Choice>
        <mc:Fallback>
          <w:pict>
            <v:shape style="position:absolute;margin-left:452.600739pt;margin-top:35.223503pt;width:86.95pt;height:13.15pt;mso-position-horizontal-relative:page;mso-position-vertical-relative:page;z-index:-17149952" type="#_x0000_t202" id="docshape8" filled="false" stroked="false">
              <v:textbox inset="0,0,0,0">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7552">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4892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68064">
              <wp:simplePos x="0" y="0"/>
              <wp:positionH relativeFrom="page">
                <wp:posOffset>1067817</wp:posOffset>
              </wp:positionH>
              <wp:positionV relativeFrom="page">
                <wp:posOffset>447338</wp:posOffset>
              </wp:positionV>
              <wp:extent cx="159321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48416"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8576">
              <wp:simplePos x="0" y="0"/>
              <wp:positionH relativeFrom="page">
                <wp:posOffset>6037589</wp:posOffset>
              </wp:positionH>
              <wp:positionV relativeFrom="page">
                <wp:posOffset>447338</wp:posOffset>
              </wp:positionV>
              <wp:extent cx="81470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00787pt;margin-top:35.223503pt;width:64.1500pt;height:13.15pt;mso-position-horizontal-relative:page;mso-position-vertical-relative:page;z-index:-17147904" type="#_x0000_t202" id="docshape12"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9600">
              <wp:simplePos x="0" y="0"/>
              <wp:positionH relativeFrom="page">
                <wp:posOffset>1062229</wp:posOffset>
              </wp:positionH>
              <wp:positionV relativeFrom="page">
                <wp:posOffset>614172</wp:posOffset>
              </wp:positionV>
              <wp:extent cx="5797550"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46880"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0112">
              <wp:simplePos x="0" y="0"/>
              <wp:positionH relativeFrom="page">
                <wp:posOffset>1067817</wp:posOffset>
              </wp:positionH>
              <wp:positionV relativeFrom="page">
                <wp:posOffset>447338</wp:posOffset>
              </wp:positionV>
              <wp:extent cx="159321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46368" type="#_x0000_t202" id="docshape16"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0624">
              <wp:simplePos x="0" y="0"/>
              <wp:positionH relativeFrom="page">
                <wp:posOffset>5613917</wp:posOffset>
              </wp:positionH>
              <wp:positionV relativeFrom="page">
                <wp:posOffset>447338</wp:posOffset>
              </wp:positionV>
              <wp:extent cx="1238250"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42.040741pt;margin-top:35.223503pt;width:97.5pt;height:13.15pt;mso-position-horizontal-relative:page;mso-position-vertical-relative:page;z-index:-17145856" type="#_x0000_t202" id="docshape17"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1648">
              <wp:simplePos x="0" y="0"/>
              <wp:positionH relativeFrom="page">
                <wp:posOffset>1062229</wp:posOffset>
              </wp:positionH>
              <wp:positionV relativeFrom="page">
                <wp:posOffset>614172</wp:posOffset>
              </wp:positionV>
              <wp:extent cx="5797550"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44832"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2160">
              <wp:simplePos x="0" y="0"/>
              <wp:positionH relativeFrom="page">
                <wp:posOffset>1067817</wp:posOffset>
              </wp:positionH>
              <wp:positionV relativeFrom="page">
                <wp:posOffset>447338</wp:posOffset>
              </wp:positionV>
              <wp:extent cx="1593215" cy="1670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44320" type="#_x0000_t202" id="docshape20"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2672">
              <wp:simplePos x="0" y="0"/>
              <wp:positionH relativeFrom="page">
                <wp:posOffset>5085088</wp:posOffset>
              </wp:positionH>
              <wp:positionV relativeFrom="page">
                <wp:posOffset>447338</wp:posOffset>
              </wp:positionV>
              <wp:extent cx="1769110" cy="167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69110" cy="167005"/>
                      </a:xfrm>
                      <a:prstGeom prst="rect">
                        <a:avLst/>
                      </a:prstGeom>
                    </wps:spPr>
                    <wps:txbx>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gains</w:t>
                          </w:r>
                          <w:r>
                            <w:rPr>
                              <w:color w:val="435369"/>
                              <w:spacing w:val="-5"/>
                              <w:sz w:val="20"/>
                            </w:rPr>
                            <w:t> </w:t>
                          </w:r>
                          <w:r>
                            <w:rPr>
                              <w:color w:val="435369"/>
                              <w:spacing w:val="-2"/>
                              <w:sz w:val="20"/>
                            </w:rPr>
                            <w:t>immobiliers</w:t>
                          </w:r>
                        </w:p>
                      </w:txbxContent>
                    </wps:txbx>
                    <wps:bodyPr wrap="square" lIns="0" tIns="0" rIns="0" bIns="0" rtlCol="0">
                      <a:noAutofit/>
                    </wps:bodyPr>
                  </wps:wsp>
                </a:graphicData>
              </a:graphic>
            </wp:anchor>
          </w:drawing>
        </mc:Choice>
        <mc:Fallback>
          <w:pict>
            <v:shape style="position:absolute;margin-left:400.400665pt;margin-top:35.223503pt;width:139.3pt;height:13.15pt;mso-position-horizontal-relative:page;mso-position-vertical-relative:page;z-index:-17143808" type="#_x0000_t202" id="docshape21" filled="false" stroked="false">
              <v:textbox inset="0,0,0,0">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gains</w:t>
                    </w:r>
                    <w:r>
                      <w:rPr>
                        <w:color w:val="435369"/>
                        <w:spacing w:val="-5"/>
                        <w:sz w:val="20"/>
                      </w:rPr>
                      <w:t> </w:t>
                    </w:r>
                    <w:r>
                      <w:rPr>
                        <w:color w:val="435369"/>
                        <w:spacing w:val="-2"/>
                        <w:sz w:val="20"/>
                      </w:rPr>
                      <w:t>immobiliers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3696">
              <wp:simplePos x="0" y="0"/>
              <wp:positionH relativeFrom="page">
                <wp:posOffset>1062229</wp:posOffset>
              </wp:positionH>
              <wp:positionV relativeFrom="page">
                <wp:posOffset>614172</wp:posOffset>
              </wp:positionV>
              <wp:extent cx="5797550" cy="63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42784" id="docshape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4208">
              <wp:simplePos x="0" y="0"/>
              <wp:positionH relativeFrom="page">
                <wp:posOffset>1067817</wp:posOffset>
              </wp:positionH>
              <wp:positionV relativeFrom="page">
                <wp:posOffset>447338</wp:posOffset>
              </wp:positionV>
              <wp:extent cx="1593215" cy="16700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42272" type="#_x0000_t202" id="docshape24"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4720">
              <wp:simplePos x="0" y="0"/>
              <wp:positionH relativeFrom="page">
                <wp:posOffset>5734313</wp:posOffset>
              </wp:positionH>
              <wp:positionV relativeFrom="page">
                <wp:posOffset>447338</wp:posOffset>
              </wp:positionV>
              <wp:extent cx="1117600" cy="16700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20752pt;margin-top:35.223503pt;width:88pt;height:13.15pt;mso-position-horizontal-relative:page;mso-position-vertical-relative:page;z-index:-17141760" type="#_x0000_t202" id="docshape25"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5744">
              <wp:simplePos x="0" y="0"/>
              <wp:positionH relativeFrom="page">
                <wp:posOffset>1062229</wp:posOffset>
              </wp:positionH>
              <wp:positionV relativeFrom="page">
                <wp:posOffset>614172</wp:posOffset>
              </wp:positionV>
              <wp:extent cx="5797550"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40736"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6256">
              <wp:simplePos x="0" y="0"/>
              <wp:positionH relativeFrom="page">
                <wp:posOffset>1067817</wp:posOffset>
              </wp:positionH>
              <wp:positionV relativeFrom="page">
                <wp:posOffset>447338</wp:posOffset>
              </wp:positionV>
              <wp:extent cx="1593215"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40224" type="#_x0000_t202" id="docshape28"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6768">
              <wp:simplePos x="0" y="0"/>
              <wp:positionH relativeFrom="page">
                <wp:posOffset>5458469</wp:posOffset>
              </wp:positionH>
              <wp:positionV relativeFrom="page">
                <wp:posOffset>447338</wp:posOffset>
              </wp:positionV>
              <wp:extent cx="1393190"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3190"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0072pt;margin-top:35.223503pt;width:109.7pt;height:13.15pt;mso-position-horizontal-relative:page;mso-position-vertical-relative:page;z-index:-17139712" type="#_x0000_t202" id="docshape29"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7792">
              <wp:simplePos x="0" y="0"/>
              <wp:positionH relativeFrom="page">
                <wp:posOffset>1062229</wp:posOffset>
              </wp:positionH>
              <wp:positionV relativeFrom="page">
                <wp:posOffset>614172</wp:posOffset>
              </wp:positionV>
              <wp:extent cx="5797550" cy="63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7138688"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178304">
              <wp:simplePos x="0" y="0"/>
              <wp:positionH relativeFrom="page">
                <wp:posOffset>1067817</wp:posOffset>
              </wp:positionH>
              <wp:positionV relativeFrom="page">
                <wp:posOffset>447338</wp:posOffset>
              </wp:positionV>
              <wp:extent cx="1593215"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593215"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wps:txbx>
                    <wps:bodyPr wrap="square" lIns="0" tIns="0" rIns="0" bIns="0" rtlCol="0">
                      <a:noAutofit/>
                    </wps:bodyPr>
                  </wps:wsp>
                </a:graphicData>
              </a:graphic>
            </wp:anchor>
          </w:drawing>
        </mc:Choice>
        <mc:Fallback>
          <w:pict>
            <v:shape style="position:absolute;margin-left:84.080139pt;margin-top:35.223503pt;width:125.45pt;height:13.15pt;mso-position-horizontal-relative:page;mso-position-vertical-relative:page;z-index:-17138176" type="#_x0000_t202" id="docshape32"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Neuchâtel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8816">
              <wp:simplePos x="0" y="0"/>
              <wp:positionH relativeFrom="page">
                <wp:posOffset>4568451</wp:posOffset>
              </wp:positionH>
              <wp:positionV relativeFrom="page">
                <wp:posOffset>447338</wp:posOffset>
              </wp:positionV>
              <wp:extent cx="228536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20581pt;margin-top:35.223503pt;width:179.95pt;height:13.15pt;mso-position-horizontal-relative:page;mso-position-vertical-relative:page;z-index:-17137664" type="#_x0000_t202" id="docshape33"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3">
    <w:multiLevelType w:val="hybridMultilevel"/>
    <w:lvl w:ilvl="0">
      <w:start w:val="0"/>
      <w:numFmt w:val="bullet"/>
      <w:lvlText w:val="–"/>
      <w:lvlJc w:val="left"/>
      <w:pPr>
        <w:ind w:left="1811" w:hanging="252"/>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644" w:hanging="252"/>
      </w:pPr>
      <w:rPr>
        <w:rFonts w:hint="default"/>
        <w:lang w:val="fr-FR" w:eastAsia="en-US" w:bidi="ar-SA"/>
      </w:rPr>
    </w:lvl>
    <w:lvl w:ilvl="2">
      <w:start w:val="0"/>
      <w:numFmt w:val="bullet"/>
      <w:lvlText w:val="•"/>
      <w:lvlJc w:val="left"/>
      <w:pPr>
        <w:ind w:left="3468" w:hanging="252"/>
      </w:pPr>
      <w:rPr>
        <w:rFonts w:hint="default"/>
        <w:lang w:val="fr-FR" w:eastAsia="en-US" w:bidi="ar-SA"/>
      </w:rPr>
    </w:lvl>
    <w:lvl w:ilvl="3">
      <w:start w:val="0"/>
      <w:numFmt w:val="bullet"/>
      <w:lvlText w:val="•"/>
      <w:lvlJc w:val="left"/>
      <w:pPr>
        <w:ind w:left="4292" w:hanging="252"/>
      </w:pPr>
      <w:rPr>
        <w:rFonts w:hint="default"/>
        <w:lang w:val="fr-FR" w:eastAsia="en-US" w:bidi="ar-SA"/>
      </w:rPr>
    </w:lvl>
    <w:lvl w:ilvl="4">
      <w:start w:val="0"/>
      <w:numFmt w:val="bullet"/>
      <w:lvlText w:val="•"/>
      <w:lvlJc w:val="left"/>
      <w:pPr>
        <w:ind w:left="5116" w:hanging="252"/>
      </w:pPr>
      <w:rPr>
        <w:rFonts w:hint="default"/>
        <w:lang w:val="fr-FR" w:eastAsia="en-US" w:bidi="ar-SA"/>
      </w:rPr>
    </w:lvl>
    <w:lvl w:ilvl="5">
      <w:start w:val="0"/>
      <w:numFmt w:val="bullet"/>
      <w:lvlText w:val="•"/>
      <w:lvlJc w:val="left"/>
      <w:pPr>
        <w:ind w:left="5941" w:hanging="252"/>
      </w:pPr>
      <w:rPr>
        <w:rFonts w:hint="default"/>
        <w:lang w:val="fr-FR" w:eastAsia="en-US" w:bidi="ar-SA"/>
      </w:rPr>
    </w:lvl>
    <w:lvl w:ilvl="6">
      <w:start w:val="0"/>
      <w:numFmt w:val="bullet"/>
      <w:lvlText w:val="•"/>
      <w:lvlJc w:val="left"/>
      <w:pPr>
        <w:ind w:left="6765" w:hanging="252"/>
      </w:pPr>
      <w:rPr>
        <w:rFonts w:hint="default"/>
        <w:lang w:val="fr-FR" w:eastAsia="en-US" w:bidi="ar-SA"/>
      </w:rPr>
    </w:lvl>
    <w:lvl w:ilvl="7">
      <w:start w:val="0"/>
      <w:numFmt w:val="bullet"/>
      <w:lvlText w:val="•"/>
      <w:lvlJc w:val="left"/>
      <w:pPr>
        <w:ind w:left="7589" w:hanging="252"/>
      </w:pPr>
      <w:rPr>
        <w:rFonts w:hint="default"/>
        <w:lang w:val="fr-FR" w:eastAsia="en-US" w:bidi="ar-SA"/>
      </w:rPr>
    </w:lvl>
    <w:lvl w:ilvl="8">
      <w:start w:val="0"/>
      <w:numFmt w:val="bullet"/>
      <w:lvlText w:val="•"/>
      <w:lvlJc w:val="left"/>
      <w:pPr>
        <w:ind w:left="8413" w:hanging="252"/>
      </w:pPr>
      <w:rPr>
        <w:rFonts w:hint="default"/>
        <w:lang w:val="fr-FR" w:eastAsia="en-US" w:bidi="ar-SA"/>
      </w:rPr>
    </w:lvl>
  </w:abstractNum>
  <w:abstractNum w:abstractNumId="1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845" w:hanging="286"/>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753" w:hanging="286"/>
      </w:pPr>
      <w:rPr>
        <w:rFonts w:hint="default"/>
        <w:lang w:val="fr-FR" w:eastAsia="en-US" w:bidi="ar-SA"/>
      </w:rPr>
    </w:lvl>
    <w:lvl w:ilvl="3">
      <w:start w:val="0"/>
      <w:numFmt w:val="bullet"/>
      <w:lvlText w:val="•"/>
      <w:lvlJc w:val="left"/>
      <w:pPr>
        <w:ind w:left="3667" w:hanging="286"/>
      </w:pPr>
      <w:rPr>
        <w:rFonts w:hint="default"/>
        <w:lang w:val="fr-FR" w:eastAsia="en-US" w:bidi="ar-SA"/>
      </w:rPr>
    </w:lvl>
    <w:lvl w:ilvl="4">
      <w:start w:val="0"/>
      <w:numFmt w:val="bullet"/>
      <w:lvlText w:val="•"/>
      <w:lvlJc w:val="left"/>
      <w:pPr>
        <w:ind w:left="4580" w:hanging="286"/>
      </w:pPr>
      <w:rPr>
        <w:rFonts w:hint="default"/>
        <w:lang w:val="fr-FR" w:eastAsia="en-US" w:bidi="ar-SA"/>
      </w:rPr>
    </w:lvl>
    <w:lvl w:ilvl="5">
      <w:start w:val="0"/>
      <w:numFmt w:val="bullet"/>
      <w:lvlText w:val="•"/>
      <w:lvlJc w:val="left"/>
      <w:pPr>
        <w:ind w:left="5494" w:hanging="286"/>
      </w:pPr>
      <w:rPr>
        <w:rFonts w:hint="default"/>
        <w:lang w:val="fr-FR" w:eastAsia="en-US" w:bidi="ar-SA"/>
      </w:rPr>
    </w:lvl>
    <w:lvl w:ilvl="6">
      <w:start w:val="0"/>
      <w:numFmt w:val="bullet"/>
      <w:lvlText w:val="•"/>
      <w:lvlJc w:val="left"/>
      <w:pPr>
        <w:ind w:left="6407" w:hanging="286"/>
      </w:pPr>
      <w:rPr>
        <w:rFonts w:hint="default"/>
        <w:lang w:val="fr-FR" w:eastAsia="en-US" w:bidi="ar-SA"/>
      </w:rPr>
    </w:lvl>
    <w:lvl w:ilvl="7">
      <w:start w:val="0"/>
      <w:numFmt w:val="bullet"/>
      <w:lvlText w:val="•"/>
      <w:lvlJc w:val="left"/>
      <w:pPr>
        <w:ind w:left="7321" w:hanging="286"/>
      </w:pPr>
      <w:rPr>
        <w:rFonts w:hint="default"/>
        <w:lang w:val="fr-FR" w:eastAsia="en-US" w:bidi="ar-SA"/>
      </w:rPr>
    </w:lvl>
    <w:lvl w:ilvl="8">
      <w:start w:val="0"/>
      <w:numFmt w:val="bullet"/>
      <w:lvlText w:val="•"/>
      <w:lvlJc w:val="left"/>
      <w:pPr>
        <w:ind w:left="8235" w:hanging="286"/>
      </w:pPr>
      <w:rPr>
        <w:rFonts w:hint="default"/>
        <w:lang w:val="fr-FR" w:eastAsia="en-US" w:bidi="ar-SA"/>
      </w:rPr>
    </w:lvl>
  </w:abstractNum>
  <w:abstractNum w:abstractNumId="10">
    <w:multiLevelType w:val="hybridMultilevel"/>
    <w:lvl w:ilvl="0">
      <w:start w:val="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9">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8">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7">
    <w:multiLevelType w:val="hybridMultilevel"/>
    <w:lvl w:ilvl="0">
      <w:start w:val="1"/>
      <w:numFmt w:val="lowerLetter"/>
      <w:lvlText w:val="%1)"/>
      <w:lvlJc w:val="left"/>
      <w:pPr>
        <w:ind w:left="1396" w:hanging="262"/>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266" w:hanging="262"/>
      </w:pPr>
      <w:rPr>
        <w:rFonts w:hint="default"/>
        <w:lang w:val="fr-FR" w:eastAsia="en-US" w:bidi="ar-SA"/>
      </w:rPr>
    </w:lvl>
    <w:lvl w:ilvl="2">
      <w:start w:val="0"/>
      <w:numFmt w:val="bullet"/>
      <w:lvlText w:val="•"/>
      <w:lvlJc w:val="left"/>
      <w:pPr>
        <w:ind w:left="3132" w:hanging="262"/>
      </w:pPr>
      <w:rPr>
        <w:rFonts w:hint="default"/>
        <w:lang w:val="fr-FR" w:eastAsia="en-US" w:bidi="ar-SA"/>
      </w:rPr>
    </w:lvl>
    <w:lvl w:ilvl="3">
      <w:start w:val="0"/>
      <w:numFmt w:val="bullet"/>
      <w:lvlText w:val="•"/>
      <w:lvlJc w:val="left"/>
      <w:pPr>
        <w:ind w:left="3998" w:hanging="262"/>
      </w:pPr>
      <w:rPr>
        <w:rFonts w:hint="default"/>
        <w:lang w:val="fr-FR" w:eastAsia="en-US" w:bidi="ar-SA"/>
      </w:rPr>
    </w:lvl>
    <w:lvl w:ilvl="4">
      <w:start w:val="0"/>
      <w:numFmt w:val="bullet"/>
      <w:lvlText w:val="•"/>
      <w:lvlJc w:val="left"/>
      <w:pPr>
        <w:ind w:left="4864" w:hanging="262"/>
      </w:pPr>
      <w:rPr>
        <w:rFonts w:hint="default"/>
        <w:lang w:val="fr-FR" w:eastAsia="en-US" w:bidi="ar-SA"/>
      </w:rPr>
    </w:lvl>
    <w:lvl w:ilvl="5">
      <w:start w:val="0"/>
      <w:numFmt w:val="bullet"/>
      <w:lvlText w:val="•"/>
      <w:lvlJc w:val="left"/>
      <w:pPr>
        <w:ind w:left="5731" w:hanging="262"/>
      </w:pPr>
      <w:rPr>
        <w:rFonts w:hint="default"/>
        <w:lang w:val="fr-FR" w:eastAsia="en-US" w:bidi="ar-SA"/>
      </w:rPr>
    </w:lvl>
    <w:lvl w:ilvl="6">
      <w:start w:val="0"/>
      <w:numFmt w:val="bullet"/>
      <w:lvlText w:val="•"/>
      <w:lvlJc w:val="left"/>
      <w:pPr>
        <w:ind w:left="6597" w:hanging="262"/>
      </w:pPr>
      <w:rPr>
        <w:rFonts w:hint="default"/>
        <w:lang w:val="fr-FR" w:eastAsia="en-US" w:bidi="ar-SA"/>
      </w:rPr>
    </w:lvl>
    <w:lvl w:ilvl="7">
      <w:start w:val="0"/>
      <w:numFmt w:val="bullet"/>
      <w:lvlText w:val="•"/>
      <w:lvlJc w:val="left"/>
      <w:pPr>
        <w:ind w:left="7463" w:hanging="262"/>
      </w:pPr>
      <w:rPr>
        <w:rFonts w:hint="default"/>
        <w:lang w:val="fr-FR" w:eastAsia="en-US" w:bidi="ar-SA"/>
      </w:rPr>
    </w:lvl>
    <w:lvl w:ilvl="8">
      <w:start w:val="0"/>
      <w:numFmt w:val="bullet"/>
      <w:lvlText w:val="•"/>
      <w:lvlJc w:val="left"/>
      <w:pPr>
        <w:ind w:left="8329" w:hanging="262"/>
      </w:pPr>
      <w:rPr>
        <w:rFonts w:hint="default"/>
        <w:lang w:val="fr-FR" w:eastAsia="en-US" w:bidi="ar-SA"/>
      </w:rPr>
    </w:lvl>
  </w:abstractNum>
  <w:abstractNum w:abstractNumId="6">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1845" w:hanging="286"/>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753" w:hanging="286"/>
      </w:pPr>
      <w:rPr>
        <w:rFonts w:hint="default"/>
        <w:lang w:val="fr-FR" w:eastAsia="en-US" w:bidi="ar-SA"/>
      </w:rPr>
    </w:lvl>
    <w:lvl w:ilvl="3">
      <w:start w:val="0"/>
      <w:numFmt w:val="bullet"/>
      <w:lvlText w:val="•"/>
      <w:lvlJc w:val="left"/>
      <w:pPr>
        <w:ind w:left="3667" w:hanging="286"/>
      </w:pPr>
      <w:rPr>
        <w:rFonts w:hint="default"/>
        <w:lang w:val="fr-FR" w:eastAsia="en-US" w:bidi="ar-SA"/>
      </w:rPr>
    </w:lvl>
    <w:lvl w:ilvl="4">
      <w:start w:val="0"/>
      <w:numFmt w:val="bullet"/>
      <w:lvlText w:val="•"/>
      <w:lvlJc w:val="left"/>
      <w:pPr>
        <w:ind w:left="4580" w:hanging="286"/>
      </w:pPr>
      <w:rPr>
        <w:rFonts w:hint="default"/>
        <w:lang w:val="fr-FR" w:eastAsia="en-US" w:bidi="ar-SA"/>
      </w:rPr>
    </w:lvl>
    <w:lvl w:ilvl="5">
      <w:start w:val="0"/>
      <w:numFmt w:val="bullet"/>
      <w:lvlText w:val="•"/>
      <w:lvlJc w:val="left"/>
      <w:pPr>
        <w:ind w:left="5494" w:hanging="286"/>
      </w:pPr>
      <w:rPr>
        <w:rFonts w:hint="default"/>
        <w:lang w:val="fr-FR" w:eastAsia="en-US" w:bidi="ar-SA"/>
      </w:rPr>
    </w:lvl>
    <w:lvl w:ilvl="6">
      <w:start w:val="0"/>
      <w:numFmt w:val="bullet"/>
      <w:lvlText w:val="•"/>
      <w:lvlJc w:val="left"/>
      <w:pPr>
        <w:ind w:left="6407" w:hanging="286"/>
      </w:pPr>
      <w:rPr>
        <w:rFonts w:hint="default"/>
        <w:lang w:val="fr-FR" w:eastAsia="en-US" w:bidi="ar-SA"/>
      </w:rPr>
    </w:lvl>
    <w:lvl w:ilvl="7">
      <w:start w:val="0"/>
      <w:numFmt w:val="bullet"/>
      <w:lvlText w:val="•"/>
      <w:lvlJc w:val="left"/>
      <w:pPr>
        <w:ind w:left="7321" w:hanging="286"/>
      </w:pPr>
      <w:rPr>
        <w:rFonts w:hint="default"/>
        <w:lang w:val="fr-FR" w:eastAsia="en-US" w:bidi="ar-SA"/>
      </w:rPr>
    </w:lvl>
    <w:lvl w:ilvl="8">
      <w:start w:val="0"/>
      <w:numFmt w:val="bullet"/>
      <w:lvlText w:val="•"/>
      <w:lvlJc w:val="left"/>
      <w:pPr>
        <w:ind w:left="8235" w:hanging="286"/>
      </w:pPr>
      <w:rPr>
        <w:rFonts w:hint="default"/>
        <w:lang w:val="fr-FR" w:eastAsia="en-US" w:bidi="ar-SA"/>
      </w:rPr>
    </w:lvl>
  </w:abstractNum>
  <w:abstractNum w:abstractNumId="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4">
    <w:multiLevelType w:val="hybridMultilevel"/>
    <w:lvl w:ilvl="0">
      <w:start w:val="3"/>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9"/>
      <w:numFmt w:val="lowerLetter"/>
      <w:lvlText w:val="%2)"/>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425"/>
      </w:pPr>
      <w:rPr>
        <w:rFonts w:hint="default"/>
        <w:lang w:val="fr-FR" w:eastAsia="en-US" w:bidi="ar-SA"/>
      </w:rPr>
    </w:lvl>
    <w:lvl w:ilvl="2">
      <w:start w:val="0"/>
      <w:numFmt w:val="bullet"/>
      <w:lvlText w:val="•"/>
      <w:lvlJc w:val="left"/>
      <w:pPr>
        <w:ind w:left="3260" w:hanging="425"/>
      </w:pPr>
      <w:rPr>
        <w:rFonts w:hint="default"/>
        <w:lang w:val="fr-FR" w:eastAsia="en-US" w:bidi="ar-SA"/>
      </w:rPr>
    </w:lvl>
    <w:lvl w:ilvl="3">
      <w:start w:val="0"/>
      <w:numFmt w:val="bullet"/>
      <w:lvlText w:val="•"/>
      <w:lvlJc w:val="left"/>
      <w:pPr>
        <w:ind w:left="4110" w:hanging="425"/>
      </w:pPr>
      <w:rPr>
        <w:rFonts w:hint="default"/>
        <w:lang w:val="fr-FR" w:eastAsia="en-US" w:bidi="ar-SA"/>
      </w:rPr>
    </w:lvl>
    <w:lvl w:ilvl="4">
      <w:start w:val="0"/>
      <w:numFmt w:val="bullet"/>
      <w:lvlText w:val="•"/>
      <w:lvlJc w:val="left"/>
      <w:pPr>
        <w:ind w:left="4960" w:hanging="425"/>
      </w:pPr>
      <w:rPr>
        <w:rFonts w:hint="default"/>
        <w:lang w:val="fr-FR" w:eastAsia="en-US" w:bidi="ar-SA"/>
      </w:rPr>
    </w:lvl>
    <w:lvl w:ilvl="5">
      <w:start w:val="0"/>
      <w:numFmt w:val="bullet"/>
      <w:lvlText w:val="•"/>
      <w:lvlJc w:val="left"/>
      <w:pPr>
        <w:ind w:left="5811" w:hanging="425"/>
      </w:pPr>
      <w:rPr>
        <w:rFonts w:hint="default"/>
        <w:lang w:val="fr-FR" w:eastAsia="en-US" w:bidi="ar-SA"/>
      </w:rPr>
    </w:lvl>
    <w:lvl w:ilvl="6">
      <w:start w:val="0"/>
      <w:numFmt w:val="bullet"/>
      <w:lvlText w:val="•"/>
      <w:lvlJc w:val="left"/>
      <w:pPr>
        <w:ind w:left="6661" w:hanging="425"/>
      </w:pPr>
      <w:rPr>
        <w:rFonts w:hint="default"/>
        <w:lang w:val="fr-FR" w:eastAsia="en-US" w:bidi="ar-SA"/>
      </w:rPr>
    </w:lvl>
    <w:lvl w:ilvl="7">
      <w:start w:val="0"/>
      <w:numFmt w:val="bullet"/>
      <w:lvlText w:val="•"/>
      <w:lvlJc w:val="left"/>
      <w:pPr>
        <w:ind w:left="7511"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571" w:hanging="360"/>
      </w:pPr>
      <w:rPr>
        <w:rFonts w:hint="default" w:ascii="Symbol" w:hAnsi="Symbol" w:eastAsia="Symbol" w:cs="Symbol"/>
        <w:b w:val="0"/>
        <w:bCs w:val="0"/>
        <w:i w:val="0"/>
        <w:iCs w:val="0"/>
        <w:color w:val="0462C0"/>
        <w:spacing w:val="0"/>
        <w:w w:val="100"/>
        <w:sz w:val="18"/>
        <w:szCs w:val="18"/>
        <w:lang w:val="fr-FR" w:eastAsia="en-US" w:bidi="ar-SA"/>
      </w:rPr>
    </w:lvl>
    <w:lvl w:ilvl="1">
      <w:start w:val="0"/>
      <w:numFmt w:val="bullet"/>
      <w:lvlText w:val="•"/>
      <w:lvlJc w:val="left"/>
      <w:pPr>
        <w:ind w:left="2428" w:hanging="360"/>
      </w:pPr>
      <w:rPr>
        <w:rFonts w:hint="default"/>
        <w:lang w:val="fr-FR" w:eastAsia="en-US" w:bidi="ar-SA"/>
      </w:rPr>
    </w:lvl>
    <w:lvl w:ilvl="2">
      <w:start w:val="0"/>
      <w:numFmt w:val="bullet"/>
      <w:lvlText w:val="•"/>
      <w:lvlJc w:val="left"/>
      <w:pPr>
        <w:ind w:left="3276" w:hanging="360"/>
      </w:pPr>
      <w:rPr>
        <w:rFonts w:hint="default"/>
        <w:lang w:val="fr-FR" w:eastAsia="en-US" w:bidi="ar-SA"/>
      </w:rPr>
    </w:lvl>
    <w:lvl w:ilvl="3">
      <w:start w:val="0"/>
      <w:numFmt w:val="bullet"/>
      <w:lvlText w:val="•"/>
      <w:lvlJc w:val="left"/>
      <w:pPr>
        <w:ind w:left="4124" w:hanging="360"/>
      </w:pPr>
      <w:rPr>
        <w:rFonts w:hint="default"/>
        <w:lang w:val="fr-FR" w:eastAsia="en-US" w:bidi="ar-SA"/>
      </w:rPr>
    </w:lvl>
    <w:lvl w:ilvl="4">
      <w:start w:val="0"/>
      <w:numFmt w:val="bullet"/>
      <w:lvlText w:val="•"/>
      <w:lvlJc w:val="left"/>
      <w:pPr>
        <w:ind w:left="4972" w:hanging="360"/>
      </w:pPr>
      <w:rPr>
        <w:rFonts w:hint="default"/>
        <w:lang w:val="fr-FR" w:eastAsia="en-US" w:bidi="ar-SA"/>
      </w:rPr>
    </w:lvl>
    <w:lvl w:ilvl="5">
      <w:start w:val="0"/>
      <w:numFmt w:val="bullet"/>
      <w:lvlText w:val="•"/>
      <w:lvlJc w:val="left"/>
      <w:pPr>
        <w:ind w:left="5821" w:hanging="360"/>
      </w:pPr>
      <w:rPr>
        <w:rFonts w:hint="default"/>
        <w:lang w:val="fr-FR" w:eastAsia="en-US" w:bidi="ar-SA"/>
      </w:rPr>
    </w:lvl>
    <w:lvl w:ilvl="6">
      <w:start w:val="0"/>
      <w:numFmt w:val="bullet"/>
      <w:lvlText w:val="•"/>
      <w:lvlJc w:val="left"/>
      <w:pPr>
        <w:ind w:left="6669" w:hanging="360"/>
      </w:pPr>
      <w:rPr>
        <w:rFonts w:hint="default"/>
        <w:lang w:val="fr-FR" w:eastAsia="en-US" w:bidi="ar-SA"/>
      </w:rPr>
    </w:lvl>
    <w:lvl w:ilvl="7">
      <w:start w:val="0"/>
      <w:numFmt w:val="bullet"/>
      <w:lvlText w:val="•"/>
      <w:lvlJc w:val="left"/>
      <w:pPr>
        <w:ind w:left="7517" w:hanging="360"/>
      </w:pPr>
      <w:rPr>
        <w:rFonts w:hint="default"/>
        <w:lang w:val="fr-FR" w:eastAsia="en-US" w:bidi="ar-SA"/>
      </w:rPr>
    </w:lvl>
    <w:lvl w:ilvl="8">
      <w:start w:val="0"/>
      <w:numFmt w:val="bullet"/>
      <w:lvlText w:val="•"/>
      <w:lvlJc w:val="left"/>
      <w:pPr>
        <w:ind w:left="8365" w:hanging="360"/>
      </w:pPr>
      <w:rPr>
        <w:rFonts w:hint="default"/>
        <w:lang w:val="fr-FR"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233"/>
      <w:ind w:left="851"/>
    </w:pPr>
    <w:rPr>
      <w:rFonts w:ascii="Arial" w:hAnsi="Arial" w:eastAsia="Arial" w:cs="Arial"/>
      <w:b/>
      <w:bCs/>
      <w:sz w:val="18"/>
      <w:szCs w:val="18"/>
      <w:lang w:val="fr-FR" w:eastAsia="en-US" w:bidi="ar-SA"/>
    </w:rPr>
  </w:style>
  <w:style w:styleId="TOC2" w:type="paragraph">
    <w:name w:val="TOC 2"/>
    <w:basedOn w:val="Normal"/>
    <w:uiPriority w:val="1"/>
    <w:qFormat/>
    <w:pPr>
      <w:spacing w:before="171"/>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fr-FR" w:eastAsia="en-US" w:bidi="ar-SA"/>
    </w:rPr>
  </w:style>
  <w:style w:styleId="BodyText" w:type="paragraph">
    <w:name w:val="Body Text"/>
    <w:basedOn w:val="Normal"/>
    <w:uiPriority w:val="1"/>
    <w:qFormat/>
    <w:pPr/>
    <w:rPr>
      <w:rFonts w:ascii="Arial MT" w:hAnsi="Arial MT" w:eastAsia="Arial MT" w:cs="Arial MT"/>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fr-FR"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fr-FR"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fr-FR"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fr-FR" w:eastAsia="en-US" w:bidi="ar-SA"/>
    </w:rPr>
  </w:style>
  <w:style w:styleId="Heading8" w:type="paragraph">
    <w:name w:val="Heading 8"/>
    <w:basedOn w:val="Normal"/>
    <w:uiPriority w:val="1"/>
    <w:qFormat/>
    <w:pPr>
      <w:spacing w:before="92"/>
      <w:ind w:left="1134"/>
      <w:outlineLvl w:val="8"/>
    </w:pPr>
    <w:rPr>
      <w:rFonts w:ascii="Arial" w:hAnsi="Arial" w:eastAsia="Arial" w:cs="Arial"/>
      <w:b/>
      <w:bCs/>
      <w:sz w:val="18"/>
      <w:szCs w:val="18"/>
      <w:lang w:val="fr-FR" w:eastAsia="en-US" w:bidi="ar-SA"/>
    </w:rPr>
  </w:style>
  <w:style w:styleId="Title" w:type="paragraph">
    <w:name w:val="Title"/>
    <w:basedOn w:val="Normal"/>
    <w:uiPriority w:val="1"/>
    <w:qFormat/>
    <w:pPr>
      <w:ind w:left="4583"/>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40"/>
      <w:ind w:left="1559" w:hanging="425"/>
    </w:pPr>
    <w:rPr>
      <w:rFonts w:ascii="Arial MT" w:hAnsi="Arial MT" w:eastAsia="Arial MT" w:cs="Arial MT"/>
      <w:lang w:val="fr-FR" w:eastAsia="en-US" w:bidi="ar-SA"/>
    </w:rPr>
  </w:style>
  <w:style w:styleId="TableParagraph" w:type="paragraph">
    <w:name w:val="Table Paragraph"/>
    <w:basedOn w:val="Normal"/>
    <w:uiPriority w:val="1"/>
    <w:qFormat/>
    <w:pPr>
      <w:spacing w:line="186" w:lineRule="exact"/>
      <w:jc w:val="righ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s://www.estv.admin.ch/estv/fr/accueil.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rsn.ne.ch/DATA/program/books/rsne/htm/631.0.htm" TargetMode="External"/><Relationship Id="rId19" Type="http://schemas.openxmlformats.org/officeDocument/2006/relationships/hyperlink" Target="http://rsn.ne.ch/DATA/program/books/rsne/htm/631.00.htm" TargetMode="External"/><Relationship Id="rId20" Type="http://schemas.openxmlformats.org/officeDocument/2006/relationships/hyperlink" Target="https://rsn.ne.ch/DATA/program/books/rsne/htm/631.00.1.htm" TargetMode="External"/><Relationship Id="rId21" Type="http://schemas.openxmlformats.org/officeDocument/2006/relationships/hyperlink" Target="https://rsn.ne.ch/DATA/program/books/rsne/htm/631.01.htm" TargetMode="External"/><Relationship Id="rId22" Type="http://schemas.openxmlformats.org/officeDocument/2006/relationships/hyperlink" Target="https://rsn.ne.ch/DATA/program/books/rsne/htm/400.1.htm" TargetMode="External"/><Relationship Id="rId23" Type="http://schemas.openxmlformats.org/officeDocument/2006/relationships/hyperlink" Target="https://rsn.ne.ch/DATA/program/books/rsne/htm/400.10.htm" TargetMode="External"/><Relationship Id="rId24" Type="http://schemas.openxmlformats.org/officeDocument/2006/relationships/hyperlink" Target="https://rsn.ne.ch/DATA/program/books/rsne/htm/181.10.htm" TargetMode="External"/><Relationship Id="rId25" Type="http://schemas.openxmlformats.org/officeDocument/2006/relationships/hyperlink" Target="http://rsn.ne.ch/" TargetMode="Externa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yperlink" Target="https://www.estv2.admin.ch/stp/ds/d-einkommenssteuer-natuerlicher-personen-gesamter-text-fr.pdf" TargetMode="External"/><Relationship Id="rId29" Type="http://schemas.openxmlformats.org/officeDocument/2006/relationships/hyperlink" Target="https://www.estv2.admin.ch/stp/ds/d-selbstaendige-erwerbstaetigkeit-fr.pdf" TargetMode="External"/><Relationship Id="rId30" Type="http://schemas.openxmlformats.org/officeDocument/2006/relationships/hyperlink" Target="https://www.estv2.admin.ch/stp/ds/f-besteuerung-eigenmietwerte-fr.pdf" TargetMode="External"/><Relationship Id="rId31" Type="http://schemas.openxmlformats.org/officeDocument/2006/relationships/hyperlink" Target="https://www.estv2.admin.ch/stp/sm/teilbesteuerung-ev-de-fr.pdf" TargetMode="External"/><Relationship Id="rId32" Type="http://schemas.openxmlformats.org/officeDocument/2006/relationships/hyperlink" Target="https://www.estv2.admin.ch/stp/sm/patentbox-np-de-fr.pdf" TargetMode="External"/><Relationship Id="rId33" Type="http://schemas.openxmlformats.org/officeDocument/2006/relationships/hyperlink" Target="https://www.estv2.admin.ch/stp/sm/eigenmietwert-de-fr.pdf" TargetMode="External"/><Relationship Id="rId34" Type="http://schemas.openxmlformats.org/officeDocument/2006/relationships/hyperlink" Target="https://www.estv2.admin.ch/stp/sm/renten-de-fr.pdf" TargetMode="External"/><Relationship Id="rId35" Type="http://schemas.openxmlformats.org/officeDocument/2006/relationships/hyperlink" Target="https://www.fedlex.admin.ch/eli/cc/1991/1256_1256_1256/fr#art_7" TargetMode="External"/><Relationship Id="rId36" Type="http://schemas.openxmlformats.org/officeDocument/2006/relationships/hyperlink" Target="https://www.estv2.admin.ch/stp/sm/milizfeuerwehr-de-fr.pdf" TargetMode="External"/><Relationship Id="rId37" Type="http://schemas.openxmlformats.org/officeDocument/2006/relationships/hyperlink" Target="https://www.estv2.admin.ch/stp/sm/geldspielgewinne-de-fr.pdf" TargetMode="External"/><Relationship Id="rId38" Type="http://schemas.openxmlformats.org/officeDocument/2006/relationships/hyperlink" Target="https://www.fedlex.admin.ch/eli/cc/2018/795/fr" TargetMode="External"/><Relationship Id="rId39" Type="http://schemas.openxmlformats.org/officeDocument/2006/relationships/hyperlink" Target="https://www.ne.ch/autorites/DFS/SCCO/impot-pp/Pages/Covid_ConsequencesFraisProfessionnels.aspx" TargetMode="External"/><Relationship Id="rId40" Type="http://schemas.openxmlformats.org/officeDocument/2006/relationships/hyperlink" Target="https://www.estv2.admin.ch/stp/sm/mehrkosten-verpflegung-de-fr.pdf" TargetMode="External"/><Relationship Id="rId41" Type="http://schemas.openxmlformats.org/officeDocument/2006/relationships/hyperlink" Target="https://www.estv2.admin.ch/stp/sm/auswaertiger-aufenthalt-de-fr.pdf" TargetMode="External"/><Relationship Id="rId42" Type="http://schemas.openxmlformats.org/officeDocument/2006/relationships/hyperlink" Target="https://www.estv2.admin.ch/stp/sm/fahrkosten-de-fr.pdf" TargetMode="External"/><Relationship Id="rId43" Type="http://schemas.openxmlformats.org/officeDocument/2006/relationships/hyperlink" Target="https://www.estv2.admin.ch/stp/sm/berufskosten-de-fr.pdf" TargetMode="External"/><Relationship Id="rId44" Type="http://schemas.openxmlformats.org/officeDocument/2006/relationships/hyperlink" Target="https://www.ne.ch/autorites/DFS/SCCO/Documents/PP/INSTRUCTIONS_GENERALES.pdf" TargetMode="External"/><Relationship Id="rId45" Type="http://schemas.openxmlformats.org/officeDocument/2006/relationships/hyperlink" Target="https://www.estv2.admin.ch/stp/sm/berufskosten-nebenerwerb-de-fr.pdf" TargetMode="External"/><Relationship Id="rId46" Type="http://schemas.openxmlformats.org/officeDocument/2006/relationships/hyperlink" Target="https://www.estv2.admin.ch/stp/sm/zus-abzug-fe-aufwand-np-de-fr.pdf" TargetMode="External"/><Relationship Id="rId47" Type="http://schemas.openxmlformats.org/officeDocument/2006/relationships/hyperlink" Target="https://www.estv2.admin.ch/stp/sm/liegenschaftskosten-de-fr.pdf" TargetMode="External"/><Relationship Id="rId48" Type="http://schemas.openxmlformats.org/officeDocument/2006/relationships/hyperlink" Target="https://www.fedlex.admin.ch/eli/cc/1992/1795_1795_1793/fr" TargetMode="External"/><Relationship Id="rId49" Type="http://schemas.openxmlformats.org/officeDocument/2006/relationships/hyperlink" Target="https://www.ne.ch/autorites/DFS/SCCO/Documents/PP/NOTICE4.pdf" TargetMode="External"/><Relationship Id="rId50" Type="http://schemas.openxmlformats.org/officeDocument/2006/relationships/hyperlink" Target="https://www.estv2.admin.ch/stp/sm/versicherungspraemien-zinsen-de-fr.pdf" TargetMode="External"/><Relationship Id="rId51" Type="http://schemas.openxmlformats.org/officeDocument/2006/relationships/hyperlink" Target="https://www.estv2.admin.ch/stp/sm/krankheitskosten-de-fr.pdf" TargetMode="External"/><Relationship Id="rId52" Type="http://schemas.openxmlformats.org/officeDocument/2006/relationships/hyperlink" Target="https://www.estv2.admin.ch/stp/sm/freiwillige-leistungen-de-fr.pdf" TargetMode="External"/><Relationship Id="rId53" Type="http://schemas.openxmlformats.org/officeDocument/2006/relationships/hyperlink" Target="https://www.estv2.admin.ch/stp/sm/parteien-de-fr.pdf" TargetMode="External"/><Relationship Id="rId54" Type="http://schemas.openxmlformats.org/officeDocument/2006/relationships/hyperlink" Target="https://www.estv2.admin.ch/stp/sm/aus-weiterbildungskosten-de-fr.pdf" TargetMode="External"/><Relationship Id="rId55" Type="http://schemas.openxmlformats.org/officeDocument/2006/relationships/hyperlink" Target="https://www.estv2.admin.ch/stp/sm/zweitverdiener-de-fr.pdf" TargetMode="External"/><Relationship Id="rId56" Type="http://schemas.openxmlformats.org/officeDocument/2006/relationships/hyperlink" Target="https://www.estv2.admin.ch/stp/sm/drittbetreuungskosten-de-fr.pdf" TargetMode="External"/><Relationship Id="rId57" Type="http://schemas.openxmlformats.org/officeDocument/2006/relationships/hyperlink" Target="https://www.estv2.admin.ch/stp/sm/bescheidenes-einkommen-e-de-fr.pdf" TargetMode="External"/><Relationship Id="rId58" Type="http://schemas.openxmlformats.org/officeDocument/2006/relationships/image" Target="media/image5.png"/><Relationship Id="rId59" Type="http://schemas.openxmlformats.org/officeDocument/2006/relationships/hyperlink" Target="https://www.estv2.admin.ch/stp/sm/kinderabzug-e-de-fr.pdf" TargetMode="External"/><Relationship Id="rId60" Type="http://schemas.openxmlformats.org/officeDocument/2006/relationships/hyperlink" Target="https://www.estv2.admin.ch/stp/sm/unterstuetzungsabzug-e-de-fr.pdf" TargetMode="External"/><Relationship Id="rId61" Type="http://schemas.openxmlformats.org/officeDocument/2006/relationships/hyperlink" Target="http://www.ne.ch/autorites/DFS/SCCO/impot-pp/Pages/calculer-ses-impots.aspx" TargetMode="External"/><Relationship Id="rId62" Type="http://schemas.openxmlformats.org/officeDocument/2006/relationships/hyperlink" Target="http://www.ne.ch/autorites/DFS/SCCO/impot-pp/Pages/Baremes.aspx" TargetMode="External"/><Relationship Id="rId63" Type="http://schemas.openxmlformats.org/officeDocument/2006/relationships/hyperlink" Target="https://www.estv2.admin.ch/stp/sm/persoenlicher-abzug-e-de-fr.pdf" TargetMode="External"/><Relationship Id="rId64" Type="http://schemas.openxmlformats.org/officeDocument/2006/relationships/hyperlink" Target="https://www.estv2.admin.ch/stp/sm/liquidationsgewinne-np-de-fr.pdf" TargetMode="External"/><Relationship Id="rId65" Type="http://schemas.openxmlformats.org/officeDocument/2006/relationships/hyperlink" Target="https://www.estv2.admin.ch/stp/sm/kapitalleistungen-saeulen-de-fr.pdf" TargetMode="External"/><Relationship Id="rId66" Type="http://schemas.openxmlformats.org/officeDocument/2006/relationships/hyperlink" Target="https://www.estv2.admin.ch/stp/ds/e-kalte-progression-fr.pdf" TargetMode="External"/><Relationship Id="rId67" Type="http://schemas.openxmlformats.org/officeDocument/2006/relationships/hyperlink" Target="https://www.estv2.admin.ch/stp/sm/progression-de-fr.pdf" TargetMode="External"/><Relationship Id="rId68" Type="http://schemas.openxmlformats.org/officeDocument/2006/relationships/hyperlink" Target="https://www.estv2.admin.ch/stp/ds/d-vermoegenssteuer-np-fr.pdf" TargetMode="External"/><Relationship Id="rId69" Type="http://schemas.openxmlformats.org/officeDocument/2006/relationships/hyperlink" Target="https://www.estv2.admin.ch/stp/sm/viehhabe-de-fr.pdf" TargetMode="External"/><Relationship Id="rId70" Type="http://schemas.openxmlformats.org/officeDocument/2006/relationships/hyperlink" Target="https://www.estv2.admin.ch/stp/sm/ermaessigung-geschaeftsvermoegen-np-de-fr.pdf" TargetMode="External"/><Relationship Id="rId71" Type="http://schemas.openxmlformats.org/officeDocument/2006/relationships/hyperlink" Target="https://www.estv2.admin.ch/stp/sm/steuerfreies-minimum-v-de-fr.pdf" TargetMode="External"/><Relationship Id="rId72" Type="http://schemas.openxmlformats.org/officeDocument/2006/relationships/hyperlink" Target="https://www.estv2.admin.ch/stp/sm/persoenlicher-abzug-v-de-fr.pdf" TargetMode="External"/><Relationship Id="rId73" Type="http://schemas.openxmlformats.org/officeDocument/2006/relationships/hyperlink" Target="https://www.estv2.admin.ch/stp/sm/aufwand-de-fr.pdf" TargetMode="External"/><Relationship Id="rId74" Type="http://schemas.openxmlformats.org/officeDocument/2006/relationships/hyperlink" Target="https://www.estv2.admin.ch/stp/ds/e-steuersatz-steuerfuss-fr.pdf" TargetMode="External"/><Relationship Id="rId75" Type="http://schemas.openxmlformats.org/officeDocument/2006/relationships/hyperlink" Target="http://www.ne.ch/autorites/DFS/SCCO/impot-pp/Pages/coefficients.aspx" TargetMode="External"/><Relationship Id="rId76" Type="http://schemas.openxmlformats.org/officeDocument/2006/relationships/header" Target="header5.xml"/><Relationship Id="rId77" Type="http://schemas.openxmlformats.org/officeDocument/2006/relationships/footer" Target="footer5.xml"/><Relationship Id="rId78" Type="http://schemas.openxmlformats.org/officeDocument/2006/relationships/hyperlink" Target="https://www.estv2.admin.ch/stp/ds/d-besteuerung-grundstueckgewinne-fr.pdf" TargetMode="External"/><Relationship Id="rId79" Type="http://schemas.openxmlformats.org/officeDocument/2006/relationships/hyperlink" Target="https://www.estv2.admin.ch/stp/sm/grundstueckgewinnsteuer-de-fr.pdf" TargetMode="External"/><Relationship Id="rId80" Type="http://schemas.openxmlformats.org/officeDocument/2006/relationships/hyperlink" Target="https://www.ne.ch/autorites/DFS/SCCO/immobiliers/impot-vente/Pages/calcul-impot-gains-immobiliers.aspx" TargetMode="External"/><Relationship Id="rId81" Type="http://schemas.openxmlformats.org/officeDocument/2006/relationships/hyperlink" Target="https://www.ne.ch/autorites/DFS/SCCO/immobiliers/impot-vente/Pages/Impot-gains-immobiliers.aspx" TargetMode="External"/><Relationship Id="rId82" Type="http://schemas.openxmlformats.org/officeDocument/2006/relationships/header" Target="header6.xml"/><Relationship Id="rId83" Type="http://schemas.openxmlformats.org/officeDocument/2006/relationships/footer" Target="footer6.xml"/><Relationship Id="rId84" Type="http://schemas.openxmlformats.org/officeDocument/2006/relationships/hyperlink" Target="https://www.estv2.admin.ch/stp/ds/d-besteuerung-juristischen-personen-gesamter-text-fr.pdf" TargetMode="External"/><Relationship Id="rId85" Type="http://schemas.openxmlformats.org/officeDocument/2006/relationships/hyperlink" Target="https://www.estv2.admin.ch/stp/sm/zus-abzug-fe-aufwand-jp-de-fr.pdf" TargetMode="External"/><Relationship Id="rId86" Type="http://schemas.openxmlformats.org/officeDocument/2006/relationships/hyperlink" Target="https://www.estv2.admin.ch/stp/sm/patentbox-jp-de-fr.pdf" TargetMode="External"/><Relationship Id="rId87" Type="http://schemas.openxmlformats.org/officeDocument/2006/relationships/hyperlink" Target="https://www.estv2.admin.ch/stp/sm/entlastungsbegrenzung-de-fr.pdf" TargetMode="External"/><Relationship Id="rId88" Type="http://schemas.openxmlformats.org/officeDocument/2006/relationships/hyperlink" Target="https://www.estv2.admin.ch/stp/sm/gk-idzwecke-de-fr.pdf" TargetMode="External"/><Relationship Id="rId89" Type="http://schemas.openxmlformats.org/officeDocument/2006/relationships/hyperlink" Target="https://www.ne.ch/autorites/DFS/SCCO/Documents/PM/Calculette_PM.zip" TargetMode="External"/><Relationship Id="rId90" Type="http://schemas.openxmlformats.org/officeDocument/2006/relationships/hyperlink" Target="https://www.estv2.admin.ch/stp/sm/gewinnsteuer-de-fr.pdf" TargetMode="External"/><Relationship Id="rId91" Type="http://schemas.openxmlformats.org/officeDocument/2006/relationships/hyperlink" Target="https://www.estv2.admin.ch/stp/sm/g-saetze-freigrbetr-ver-stift-uejp-de-fr.pdf" TargetMode="External"/><Relationship Id="rId92" Type="http://schemas.openxmlformats.org/officeDocument/2006/relationships/hyperlink" Target="https://www.estv2.admin.ch/stp/sm/gk-kk-saetze-freigrbetrag-de-fr.pdf" TargetMode="External"/><Relationship Id="rId93" Type="http://schemas.openxmlformats.org/officeDocument/2006/relationships/hyperlink" Target="https://www.estv2.admin.ch/stp/sm/kapitalsteuer-de-fr.pdf" TargetMode="External"/><Relationship Id="rId94" Type="http://schemas.openxmlformats.org/officeDocument/2006/relationships/hyperlink" Target="https://www.estv2.admin.ch/stp/sm/k-eigenkapitalermaessigung-beteiligungensrecht-de-fr.pdf" TargetMode="External"/><Relationship Id="rId95" Type="http://schemas.openxmlformats.org/officeDocument/2006/relationships/hyperlink" Target="https://www.estv2.admin.ch/stp/sm/k-saetze-freigrbetr-ver-stift-uejp-de-fr.pdf" TargetMode="External"/><Relationship Id="rId96" Type="http://schemas.openxmlformats.org/officeDocument/2006/relationships/hyperlink" Target="https://www.estv2.admin.ch/stp/sm/uebergangsbest-statusgesell-de-fr.pdf" TargetMode="External"/><Relationship Id="rId97" Type="http://schemas.openxmlformats.org/officeDocument/2006/relationships/hyperlink" Target="https://www.estv2.admin.ch/stp/sm/steuererleichterungen-jp-de-fr.pdf" TargetMode="External"/><Relationship Id="rId98" Type="http://schemas.openxmlformats.org/officeDocument/2006/relationships/header" Target="header7.xml"/><Relationship Id="rId99" Type="http://schemas.openxmlformats.org/officeDocument/2006/relationships/footer" Target="footer7.xml"/><Relationship Id="rId100" Type="http://schemas.openxmlformats.org/officeDocument/2006/relationships/hyperlink" Target="https://www.estv2.admin.ch/stp/ds/d-kirchensteuern-fr.pdf" TargetMode="External"/><Relationship Id="rId101" Type="http://schemas.openxmlformats.org/officeDocument/2006/relationships/hyperlink" Target="https://www.ne.ch/autorites/DFS/SCCO/impot-pp/quels-impots/Pages/contribution-ecclesiastique.aspx" TargetMode="External"/><Relationship Id="rId102" Type="http://schemas.openxmlformats.org/officeDocument/2006/relationships/header" Target="header8.xml"/><Relationship Id="rId103" Type="http://schemas.openxmlformats.org/officeDocument/2006/relationships/footer" Target="footer8.xml"/><Relationship Id="rId104" Type="http://schemas.openxmlformats.org/officeDocument/2006/relationships/hyperlink" Target="mailto:service.contributions@ne.ch" TargetMode="External"/><Relationship Id="rId105" Type="http://schemas.openxmlformats.org/officeDocument/2006/relationships/hyperlink" Target="https://www.ne.ch/autorites/DFS/SCCO/Pages/accueil.aspx" TargetMode="External"/><Relationship Id="rId10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frais d’acquisition du revenu, frais, déductions, déductions sociales, valeur locative, RFFA, calcul de l’impôt, Personnes morales, impôt sur le bénéfice, impôt sur le capital, impôts dans les communes et les paroisses, Impôt sur les gains immobiliers, NE</cp:keywords>
  <dc:subject>Particularités cantonales</dc:subject>
  <dc:title>Feuille cantonale Neuchâtel</dc:title>
  <dcterms:created xsi:type="dcterms:W3CDTF">2026-06-28T18:19:07Z</dcterms:created>
  <dcterms:modified xsi:type="dcterms:W3CDTF">2026-06-28T18:19:07Z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