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CA61" w14:textId="77777777" w:rsidR="002E24B1" w:rsidRDefault="002E24B1">
      <w:pPr>
        <w:spacing w:before="2400"/>
      </w:pPr>
    </w:p>
    <w:p w14:paraId="4443CA2C" w14:textId="77777777" w:rsidR="002E24B1" w:rsidRDefault="00000000">
      <w:pPr>
        <w:spacing w:after="240"/>
        <w:jc w:val="center"/>
      </w:pPr>
      <w:r>
        <w:rPr>
          <w:rFonts w:ascii="Georgia" w:eastAsia="Georgia" w:hAnsi="Georgia" w:cs="Georgia"/>
          <w:b/>
          <w:bCs/>
          <w:sz w:val="36"/>
          <w:szCs w:val="36"/>
        </w:rPr>
        <w:t>When Should Governments Require Frontier AI Safety Evaluations?</w:t>
      </w:r>
    </w:p>
    <w:p w14:paraId="77AFD924" w14:textId="77777777" w:rsidR="002E24B1" w:rsidRDefault="00000000">
      <w:pPr>
        <w:spacing w:after="480"/>
        <w:jc w:val="center"/>
      </w:pPr>
      <w:r>
        <w:rPr>
          <w:rFonts w:ascii="Georgia" w:eastAsia="Georgia" w:hAnsi="Georgia" w:cs="Georgia"/>
          <w:i/>
          <w:iCs/>
          <w:color w:val="44546A"/>
          <w:sz w:val="28"/>
          <w:szCs w:val="28"/>
        </w:rPr>
        <w:t>A Capability- and Risk-Based Regulatory Framework for Pre-Deployment and Continuous Assessment</w:t>
      </w:r>
    </w:p>
    <w:p w14:paraId="302A2E25" w14:textId="77777777" w:rsidR="002E24B1" w:rsidRDefault="00000000">
      <w:pPr>
        <w:spacing w:after="120"/>
        <w:jc w:val="center"/>
      </w:pPr>
      <w:r>
        <w:rPr>
          <w:color w:val="595959"/>
        </w:rPr>
        <w:t>Research Paper</w:t>
      </w:r>
    </w:p>
    <w:p w14:paraId="5D3902DA" w14:textId="4D20608D" w:rsidR="002E24B1" w:rsidRDefault="00DB6912">
      <w:pPr>
        <w:spacing w:after="3200"/>
        <w:jc w:val="center"/>
      </w:pPr>
      <w:r>
        <w:rPr>
          <w:color w:val="595959"/>
        </w:rPr>
        <w:t>Aditya Satyarthi</w:t>
      </w:r>
    </w:p>
    <w:p w14:paraId="6F2F54FC" w14:textId="77777777" w:rsidR="002E24B1" w:rsidRDefault="002E24B1">
      <w:pPr>
        <w:pBdr>
          <w:top w:val="single" w:sz="6" w:space="0" w:color="BFBFBF"/>
        </w:pBdr>
        <w:spacing w:before="200"/>
        <w:jc w:val="center"/>
      </w:pPr>
    </w:p>
    <w:p w14:paraId="04605CF9" w14:textId="77777777" w:rsidR="00C40C85" w:rsidRDefault="00C40C85">
      <w:pPr>
        <w:pStyle w:val="Heading1"/>
        <w:keepNext/>
      </w:pPr>
    </w:p>
    <w:p w14:paraId="22619E7A" w14:textId="77777777" w:rsidR="00C40C85" w:rsidRDefault="00C40C85">
      <w:pPr>
        <w:pStyle w:val="Heading1"/>
        <w:keepNext/>
      </w:pPr>
    </w:p>
    <w:p w14:paraId="05F5E75D" w14:textId="77777777" w:rsidR="00C40C85" w:rsidRDefault="00C40C85">
      <w:pPr>
        <w:pStyle w:val="Heading1"/>
        <w:keepNext/>
      </w:pPr>
    </w:p>
    <w:p w14:paraId="7C429E9C" w14:textId="77777777" w:rsidR="00C40C85" w:rsidRDefault="00C40C85">
      <w:pPr>
        <w:pStyle w:val="Heading1"/>
        <w:keepNext/>
      </w:pPr>
    </w:p>
    <w:p w14:paraId="121E2A0F" w14:textId="45B99980" w:rsidR="002E24B1" w:rsidRDefault="00000000">
      <w:pPr>
        <w:pStyle w:val="Heading1"/>
        <w:keepNext/>
      </w:pPr>
      <w:r>
        <w:t>Abstract</w:t>
      </w:r>
    </w:p>
    <w:p w14:paraId="338E5894" w14:textId="77777777" w:rsidR="00DB6912" w:rsidRDefault="00DB6912">
      <w:pPr>
        <w:pStyle w:val="Heading1"/>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This is an abstract about something called intelligence. The idea is that when these smart computer systems get really good at doing things governments have to decide when to check them before they are used. The paper says that now the way governments check these systems is not very good. It says that the current way, which looks at how much computing power a model uses is not the way to know if a model is dangerous. The paper suggests a way to check models. This new way has two steps. The first step is a test to see if a model needs more checking. The second step is a detailed test based on the risk the model might cause. The paper compares this idea to different rules in places like the European Union, the United States, California and the United Kingdom. It ends with some ideas for how governments can make sure their checks stay up to date as the models get better and better.</w:t>
      </w:r>
    </w:p>
    <w:p w14:paraId="7FDE8FDD" w14:textId="451E3970" w:rsidR="002E24B1" w:rsidRDefault="00000000">
      <w:pPr>
        <w:pStyle w:val="Heading1"/>
        <w:keepNext/>
      </w:pPr>
      <w:r>
        <w:t>1. Introduction</w:t>
      </w:r>
    </w:p>
    <w:p w14:paraId="13A03F00" w14:textId="77777777" w:rsidR="00DB6912" w:rsidRPr="00DB6912" w:rsidRDefault="00DB6912" w:rsidP="00DB6912">
      <w:pPr>
        <w:spacing w:after="200" w:line="276" w:lineRule="auto"/>
        <w:jc w:val="both"/>
      </w:pPr>
      <w:r w:rsidRPr="00DB6912">
        <w:t>Smart computer systems are being used in a world that didn't exist when the laws were written. From 2023 to 2026 the way people talk about regulating these systems changed. At first it was about companies making promises on their own. Now there are rules in different places. The European Union has one set of rules. California has another. The United States has some orders. The United Kingdom and other countries have some testing agreements. Each of these rules answers the question in a different way and none of them has found a long-term solution.</w:t>
      </w:r>
    </w:p>
    <w:p w14:paraId="059D9954" w14:textId="77777777" w:rsidR="00DB6912" w:rsidRPr="00DB6912" w:rsidRDefault="00DB6912" w:rsidP="00DB6912">
      <w:pPr>
        <w:spacing w:after="200" w:line="276" w:lineRule="auto"/>
        <w:jc w:val="both"/>
      </w:pPr>
      <w:r w:rsidRPr="00DB6912">
        <w:t>The main problem is that it is hard to know what a model can do when a rule needs to be set. Regulators use things like how much computing power a model uses how money the company makes how many people use the model or what the company says about their plans. These are easy to measure. They don't always tell the real story. The real question is whether a specific model in a situation could cause serious harm. That harm could be things like hacking systems helping make dangerous weapons or making it hard for a country to tell real information from fake information.</w:t>
      </w:r>
    </w:p>
    <w:p w14:paraId="0A0FD315" w14:textId="77777777" w:rsidR="00DB6912" w:rsidRPr="00DB6912" w:rsidRDefault="00DB6912" w:rsidP="00DB6912">
      <w:pPr>
        <w:spacing w:after="200" w:line="276" w:lineRule="auto"/>
        <w:jc w:val="both"/>
      </w:pPr>
      <w:r w:rsidRPr="00DB6912">
        <w:t>This paper has three points. First it says that the time to check a model and how strict that check is should be treated as issues. If they are treated as one it can lead to checking models that're not dangerous and missing models that are. Second it suggests a four-step system that first checks if a model needs work. If it does then a detailed check happens. Third it looks at the rules that're in place and what can be learned from them especially about making rules that can change over time and letting other experts check models.</w:t>
      </w:r>
    </w:p>
    <w:p w14:paraId="1C217C83" w14:textId="77777777" w:rsidR="00DB6912" w:rsidRPr="00DB6912" w:rsidRDefault="00DB6912" w:rsidP="00DB6912">
      <w:pPr>
        <w:spacing w:after="200" w:line="276" w:lineRule="auto"/>
        <w:jc w:val="both"/>
      </w:pPr>
      <w:r w:rsidRPr="00DB6912">
        <w:lastRenderedPageBreak/>
        <w:t>The rest of the paper goes on. Section 2 looks at the rules. Section 3 explains why just looking at capability, risk or a single rule is not enough. Section 4 gives details about the new system. Section 5 talks about the rules that need to be made like how to let experts check models. Section 6 compares the system to the rules that are in place. Section 7 looks at the problems that are still not solved. Section 8 ends with advice, for people who make the rules.</w:t>
      </w:r>
    </w:p>
    <w:p w14:paraId="577417FE" w14:textId="34A0B082" w:rsidR="002E24B1" w:rsidRDefault="002E24B1">
      <w:pPr>
        <w:spacing w:after="200" w:line="276" w:lineRule="auto"/>
        <w:jc w:val="both"/>
      </w:pPr>
    </w:p>
    <w:p w14:paraId="1BC945A4" w14:textId="77777777" w:rsidR="002E24B1" w:rsidRDefault="00000000">
      <w:pPr>
        <w:pStyle w:val="Heading1"/>
        <w:keepNext/>
      </w:pPr>
      <w:r>
        <w:t>2. The Current Regulatory Landscape</w:t>
      </w:r>
    </w:p>
    <w:p w14:paraId="7A62CD56"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Government approaches to frontier AI safety evaluation as of 2026 cluster around three distinct strategies: compute-based statutory thresholds, voluntary access agreements and incident-based transparency mandates. None of the three is applied in isolation; most jurisdictions combine elements of all three. The balance differs sharply.</w:t>
      </w:r>
    </w:p>
    <w:p w14:paraId="64721EE0" w14:textId="0C1AC777" w:rsidR="002E24B1" w:rsidRDefault="00000000">
      <w:pPr>
        <w:pStyle w:val="Heading2"/>
        <w:keepNext/>
      </w:pPr>
      <w:r>
        <w:t>2.1 The European Union: compute thresholds inside a horizontal statute</w:t>
      </w:r>
    </w:p>
    <w:p w14:paraId="509DA35B"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The EU AI Act treats general-purpose AI models trained above roughly 10^25 floating-point operations as presumptively carrying "systemic risk." This triggers obligations under Article 55 to maintain a Safety and Security Framework, conduct model evaluations including testing, track and report serious incidents and ensure adequate cybersecurity protection for model weights. The voluntary General-Purpose AI Code of Practice judged by the Commission and the AI Board to be a means of demonstrating compliance operationalizes these obligations through its Safety and Security chapter. This applies to the small set of developers whose models cross the systemic-risk threshold. Enforcement powers under the Act became exercisable in August 2026 giving the framework teeth beyond the initial documentation-only phase that followed the GPAI obligations taking effect in August 2025.</w:t>
      </w:r>
    </w:p>
    <w:p w14:paraId="62FA49F4" w14:textId="1AA1EA13" w:rsidR="002E24B1" w:rsidRDefault="00000000">
      <w:pPr>
        <w:pStyle w:val="Heading2"/>
        <w:keepNext/>
      </w:pPr>
      <w:r>
        <w:t>2.2 The United States: voluntary access, cyber-first scope</w:t>
      </w:r>
    </w:p>
    <w:p w14:paraId="20584F5D"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Federal policy has moved cautiously and so far without a licensing or preclearance regime. Executive Order 14409 "Promoting Advanced Artificial Intelligence Innovation and Security " signed in June 2026 directs agencies to define "covered frontier models" and to build a benchmarking process focused initially on cyber-offensive capability. Alongside this it establishes a framework under which developers may grant the government early access to a model for up to thirty days before wider release. The order explicitly disclaims any intent to create a licensing or preclearance requirement. This reflects a policy preference. Reinforced by a December 2025 order seeking a national policy framework partly aimed at preempting a patchwork of state AI laws. For federal coordination over binding federal mandates. Earlier informal arrangements between NIST and individual developers for pre- and postrelease model access existed but lacked public transparency and did not cover the whole frontier developer population.</w:t>
      </w:r>
    </w:p>
    <w:p w14:paraId="4C449929" w14:textId="008C45A4" w:rsidR="002E24B1" w:rsidRDefault="00000000">
      <w:pPr>
        <w:pStyle w:val="Heading2"/>
        <w:keepNext/>
      </w:pPr>
      <w:r>
        <w:t>2.3 California and the states: transparency and incident reporting</w:t>
      </w:r>
    </w:p>
    <w:p w14:paraId="55636DCB"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xml:space="preserve">In the absence of a binding statute California’s Transparency in Frontier Artificial Intelligence Act effective January 2026 has become the most consequential binding pre-deployment obligation in the United States. It requires frontier developers to publish a framework describing how they assess and manage risk. It also requires safety incidents to be reported to the state’s Office of Emergency Services </w:t>
      </w:r>
      <w:r w:rsidRPr="00DB6912">
        <w:rPr>
          <w:rFonts w:ascii="Calibri" w:eastAsia="Calibri" w:hAnsi="Calibri" w:cs="Calibri"/>
          <w:b w:val="0"/>
          <w:bCs w:val="0"/>
          <w:color w:val="auto"/>
          <w:sz w:val="22"/>
          <w:szCs w:val="22"/>
        </w:rPr>
        <w:lastRenderedPageBreak/>
        <w:t>within fifteen days or twenty-four hours where there is an imminent risk to life. Civil penalties of up to one million dollars per violation apply, along with statutory whistleblower protections. The law is deliberately narrower than its 2024 predecessor bill removing some testing-disclosure requirements in favor of a framework-and-incident-reporting model. Other states, including Colorado and New York have pursued adjacent. Distinct approaches focused on algorithmic impact assessments for high-risk applications rather than frontier model capability as such.</w:t>
      </w:r>
    </w:p>
    <w:p w14:paraId="6E8EFC3F" w14:textId="10422A74" w:rsidR="002E24B1" w:rsidRDefault="00000000">
      <w:pPr>
        <w:pStyle w:val="Heading2"/>
        <w:keepNext/>
      </w:pPr>
      <w:r>
        <w:t>2.4 The United Kingdom and the international network</w:t>
      </w:r>
    </w:p>
    <w:p w14:paraId="4961ECBC" w14:textId="77777777" w:rsidR="00DB6912" w:rsidRPr="00DB6912" w:rsidRDefault="00DB6912" w:rsidP="00DB6912">
      <w:pPr>
        <w:pStyle w:val="Heading1"/>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The UK has not legislated a binding trigger. Instead its AI Security Institute conducts its capability evaluations to prioritize which models receive scrutiny. It negotiates pre-deployment testing arrangements with leading developers and participates in the International AI Safety Report process alongside counterpart institutes. This model trades certainty for flexibility: evaluation priority tracks the institute’s own judgment of capability rather than a fixed statutory line. That allows adaptation but leaves compliance non-mandatory.</w:t>
      </w:r>
    </w:p>
    <w:p w14:paraId="4CC3BD1E" w14:textId="77777777" w:rsidR="00DB6912" w:rsidRPr="00DB6912" w:rsidRDefault="00DB6912" w:rsidP="00DB6912">
      <w:pPr>
        <w:pStyle w:val="Heading1"/>
        <w:keepNext/>
        <w:rPr>
          <w:rFonts w:ascii="Calibri" w:eastAsia="Calibri" w:hAnsi="Calibri" w:cs="Calibri"/>
          <w:b w:val="0"/>
          <w:bCs w:val="0"/>
          <w:color w:val="auto"/>
          <w:sz w:val="22"/>
          <w:szCs w:val="22"/>
        </w:rPr>
      </w:pPr>
    </w:p>
    <w:p w14:paraId="0F8B60B4" w14:textId="77777777" w:rsidR="00DB6912" w:rsidRDefault="00DB6912" w:rsidP="00DB6912">
      <w:pPr>
        <w:pStyle w:val="Heading1"/>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Taken together these regimes illustrate a structural choice: nearly all use some measure of scale. Compute, revenue, user count. As the primary or exclusive gate for coverage. They then layer risk- obligations (cyber benchmarking, catastrophic-incident reporting, systemic-risk mitigation) on top of that gate rather, than using risk indicators as the gate itself.</w:t>
      </w:r>
    </w:p>
    <w:p w14:paraId="6229D47D" w14:textId="4C8B1AAE" w:rsidR="002E24B1" w:rsidRDefault="00000000" w:rsidP="00DB6912">
      <w:pPr>
        <w:pStyle w:val="Heading1"/>
        <w:keepNext/>
      </w:pPr>
      <w:r>
        <w:t>3. Why a Single Static Threshold Is an Inadequate Trigger</w:t>
      </w:r>
    </w:p>
    <w:p w14:paraId="79C9A90E" w14:textId="77777777" w:rsidR="002E24B1" w:rsidRDefault="00000000">
      <w:pPr>
        <w:pStyle w:val="Heading2"/>
        <w:keepNext/>
      </w:pPr>
      <w:r>
        <w:t>3.1 Compute is a proxy, and proxies decay</w:t>
      </w:r>
    </w:p>
    <w:p w14:paraId="45BAFF5A"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Training compute is attractive as a way to trigger regulation because it can be measured checked using hardware and cloud provider records and has been linked to improvements in abilities in the past.. The link between compute and ability depends on the algorithms and how efficient the hardware is at the time the limit is set. Improvements in how algorithms work making models through techniques like distillation and adjusting smaller open-weight models for specific dangerous tasks can each create a model that is risky but still below a fixed FLOP limit. A number written into a law in 2024 or 2025 does not change on its own. It needs someone to update it or new laws to be passed. Both of those take time, which is slower than how fast technology changes.</w:t>
      </w:r>
    </w:p>
    <w:p w14:paraId="460B6721" w14:textId="5F75D00A" w:rsidR="002E24B1" w:rsidRDefault="00000000">
      <w:pPr>
        <w:pStyle w:val="Heading2"/>
        <w:keepNext/>
      </w:pPr>
      <w:r>
        <w:t>3.2 Capability and risk are not the same variable</w:t>
      </w:r>
    </w:p>
    <w:p w14:paraId="385CFA22"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xml:space="preserve">A model can be very good at many things. It can speak well know a lot and perform well on tests. Without making the risks that regulators care about any bigger. That is because the extra help a bad person needs might already be available from places or it might depend on something else like having access to real-world materials. On the hand a smaller model that is focused on just one dangerous task, like finding weaknesses in a certain type of control system could be more risky than a much bigger </w:t>
      </w:r>
      <w:r w:rsidRPr="00DB6912">
        <w:rPr>
          <w:rFonts w:ascii="Calibri" w:eastAsia="Calibri" w:hAnsi="Calibri" w:cs="Calibri"/>
          <w:b w:val="0"/>
          <w:bCs w:val="0"/>
          <w:color w:val="auto"/>
          <w:sz w:val="22"/>
          <w:szCs w:val="22"/>
        </w:rPr>
        <w:lastRenderedPageBreak/>
        <w:t>general-purpose model that was trained to avoid harmful actions in that area. Rules that only look at ability will end up regulating things that are not dangerous and not regulating the real dangers.</w:t>
      </w:r>
    </w:p>
    <w:p w14:paraId="576B18B2" w14:textId="7EEBD525" w:rsidR="002E24B1" w:rsidRDefault="00000000">
      <w:pPr>
        <w:pStyle w:val="Heading2"/>
        <w:keepNext/>
      </w:pPr>
      <w:r>
        <w:t>3.3 Compliance cost is not proportionate to marginal risk under a single-tier regime</w:t>
      </w:r>
    </w:p>
    <w:p w14:paraId="4FDCC858" w14:textId="2BADD9AA"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When a single limit decides who has to follow the rules and how strict those rules</w:t>
      </w:r>
      <w:r w:rsidR="00C40C85">
        <w:rPr>
          <w:rFonts w:ascii="Calibri" w:eastAsia="Calibri" w:hAnsi="Calibri" w:cs="Calibri"/>
          <w:b w:val="0"/>
          <w:bCs w:val="0"/>
          <w:color w:val="auto"/>
          <w:sz w:val="22"/>
          <w:szCs w:val="22"/>
        </w:rPr>
        <w:t xml:space="preserve"> a</w:t>
      </w:r>
      <w:r w:rsidRPr="00DB6912">
        <w:rPr>
          <w:rFonts w:ascii="Calibri" w:eastAsia="Calibri" w:hAnsi="Calibri" w:cs="Calibri"/>
          <w:b w:val="0"/>
          <w:bCs w:val="0"/>
          <w:color w:val="auto"/>
          <w:sz w:val="22"/>
          <w:szCs w:val="22"/>
        </w:rPr>
        <w:t>re every developer who is covered has the same set of requirements. This does not matter how much higher their model is than the limit or how much they have already reduced the risks. This creates no reason to take extra steps to reduce risks and also does not focus the rules where they are most needed.</w:t>
      </w:r>
    </w:p>
    <w:p w14:paraId="74023774" w14:textId="660B0572" w:rsidR="002E24B1" w:rsidRDefault="00000000">
      <w:pPr>
        <w:pStyle w:val="Heading2"/>
        <w:keepNext/>
      </w:pPr>
      <w:r>
        <w:t>3.4 A single point-in-time evaluation misses capability drift</w:t>
      </w:r>
    </w:p>
    <w:p w14:paraId="2452FD83" w14:textId="77777777" w:rsidR="00DB6912" w:rsidRDefault="00DB6912">
      <w:pPr>
        <w:pStyle w:val="Heading1"/>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models are not the same once they are out, in the world. They can change a lot through tuning adding new tools and building extra parts. These changes can make the model do things without needing a new check if the rules only look at the model once when it is first released. A system that only checks once and not after the model changes will miss the risks of models that are being used and updated over time.</w:t>
      </w:r>
    </w:p>
    <w:p w14:paraId="36084D2C" w14:textId="11BD4028" w:rsidR="002E24B1" w:rsidRDefault="00000000">
      <w:pPr>
        <w:pStyle w:val="Heading1"/>
        <w:keepNext/>
      </w:pPr>
      <w:r>
        <w:t>4. A Capability- and Risk-Based Framework</w:t>
      </w:r>
    </w:p>
    <w:p w14:paraId="46D3B247" w14:textId="77777777" w:rsidR="00DB6912" w:rsidRDefault="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The framework proposed here separates two decisions that current regimes tend to bundle into a threshold: (a) whether a model warrants any regulatory attention at all decided by a fast low</w:t>
      </w:r>
      <w:r w:rsidRPr="00DB6912">
        <w:rPr>
          <w:rFonts w:ascii="Calibri" w:eastAsia="Calibri" w:hAnsi="Calibri" w:cs="Calibri"/>
          <w:b w:val="0"/>
          <w:bCs w:val="0"/>
          <w:color w:val="auto"/>
          <w:sz w:val="22"/>
          <w:szCs w:val="22"/>
        </w:rPr>
        <w:noBreakHyphen/>
        <w:t xml:space="preserve">cost capability screen; and (b) how intensive that attention should be decided by a risk classification </w:t>
      </w:r>
      <w:r w:rsidRPr="00DB6912">
        <w:rPr>
          <w:rFonts w:ascii="Calibri" w:eastAsia="Calibri" w:hAnsi="Calibri" w:cs="Calibri"/>
          <w:b w:val="0"/>
          <w:bCs w:val="0"/>
          <w:color w:val="auto"/>
          <w:sz w:val="22"/>
          <w:szCs w:val="22"/>
        </w:rPr>
        <w:lastRenderedPageBreak/>
        <w:t>informed by domain</w:t>
      </w:r>
      <w:r w:rsidRPr="00DB6912">
        <w:rPr>
          <w:rFonts w:ascii="Calibri" w:eastAsia="Calibri" w:hAnsi="Calibri" w:cs="Calibri"/>
          <w:b w:val="0"/>
          <w:bCs w:val="0"/>
          <w:color w:val="auto"/>
          <w:sz w:val="22"/>
          <w:szCs w:val="22"/>
        </w:rPr>
        <w:noBreakHyphen/>
        <w:t>specific evaluation results. The result is a structure, summarized in Table 2 below that scales obligations to demonstrated risk rather than to scale alone.</w:t>
      </w:r>
    </w:p>
    <w:p w14:paraId="527A282E" w14:textId="73B37671" w:rsidR="002E24B1" w:rsidRDefault="00000000">
      <w:pPr>
        <w:pStyle w:val="Heading2"/>
        <w:keepNext/>
      </w:pPr>
      <w:r>
        <w:t>4.1 Stage one: the capability screen</w:t>
      </w:r>
    </w:p>
    <w:p w14:paraId="78B0DD2C" w14:textId="2AC218C7" w:rsidR="00DB6912" w:rsidRP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The capability screen is intended to be cheap to administer and to run automatically not to be the word on regulatory treatment. It should combine independent signals rather than a single number so that no one signal becomes an easy target for circumvention:</w:t>
      </w:r>
    </w:p>
    <w:p w14:paraId="0FFFE043" w14:textId="50D23182" w:rsidR="00DB6912" w:rsidRP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Training compute above a jurisdiction</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set floor indexed periodically to reflect algorithmic efficiency trends rather than fixed permanently in statute.</w:t>
      </w:r>
    </w:p>
    <w:p w14:paraId="69ACD924" w14:textId="7B0D85C8" w:rsidR="00DB6912" w:rsidRP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Performance on a standing battery of capability benchmarks in domains associated with systemic risk. Cyber offense, biological and chemical weapons uplift, autonomous agentic task completion and large</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scale persuasion or deception.</w:t>
      </w:r>
    </w:p>
    <w:p w14:paraId="2448B504" w14:textId="5F632EF6" w:rsidR="00DB6912" w:rsidRP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Self</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reported developer intent to build or fine</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tune a model for frontier</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scale capability mirroring the disclosure</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based triggers already used in Californias and the EUs frameworks.</w:t>
      </w:r>
    </w:p>
    <w:p w14:paraId="211AB192" w14:textId="51F2819C" w:rsidR="00DB6912" w:rsidRP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 A catch</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all discretionary designation, exercisable by the regulator on a reasoned, basis for models that evade the quantitative signals but exhibit credible evidence of dangerous capability. Addressing the fine</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tuned narrow</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model concern described in Section 3.2.</w:t>
      </w:r>
    </w:p>
    <w:p w14:paraId="15E6CA7B" w14:textId="77777777" w:rsidR="00DB6912" w:rsidRDefault="00DB6912" w:rsidP="00DB6912">
      <w:pPr>
        <w:pStyle w:val="Heading2"/>
        <w:keepNext/>
        <w:rPr>
          <w:rFonts w:ascii="Calibri" w:eastAsia="Calibri" w:hAnsi="Calibri" w:cs="Calibri"/>
          <w:b w:val="0"/>
          <w:bCs w:val="0"/>
          <w:color w:val="auto"/>
          <w:sz w:val="22"/>
          <w:szCs w:val="22"/>
        </w:rPr>
      </w:pPr>
      <w:r w:rsidRPr="00DB6912">
        <w:rPr>
          <w:rFonts w:ascii="Calibri" w:eastAsia="Calibri" w:hAnsi="Calibri" w:cs="Calibri"/>
          <w:b w:val="0"/>
          <w:bCs w:val="0"/>
          <w:color w:val="auto"/>
          <w:sz w:val="22"/>
          <w:szCs w:val="22"/>
        </w:rPr>
        <w:t>A model that fails to trip any of these signals sits at Tier 0. Faces light</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touch, largely self</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attested obligations, preserving space for ordinary commercial AI development to proceed without frontier</w:t>
      </w:r>
      <w:r w:rsidRPr="00DB6912">
        <w:rPr>
          <w:rFonts w:ascii="Cambria Math" w:eastAsia="Calibri" w:hAnsi="Cambria Math" w:cs="Cambria Math"/>
          <w:b w:val="0"/>
          <w:bCs w:val="0"/>
          <w:color w:val="auto"/>
          <w:sz w:val="22"/>
          <w:szCs w:val="22"/>
        </w:rPr>
        <w:t>‑</w:t>
      </w:r>
      <w:r w:rsidRPr="00DB6912">
        <w:rPr>
          <w:rFonts w:ascii="Calibri" w:eastAsia="Calibri" w:hAnsi="Calibri" w:cs="Calibri"/>
          <w:b w:val="0"/>
          <w:bCs w:val="0"/>
          <w:color w:val="auto"/>
          <w:sz w:val="22"/>
          <w:szCs w:val="22"/>
        </w:rPr>
        <w:t>grade compliance costs.</w:t>
      </w:r>
    </w:p>
    <w:p w14:paraId="1DBDDB3B" w14:textId="5CDC9902" w:rsidR="002E24B1" w:rsidRDefault="00000000" w:rsidP="00DB6912">
      <w:pPr>
        <w:pStyle w:val="Heading2"/>
        <w:keepNext/>
      </w:pPr>
      <w:r>
        <w:t>4.2 Stage two: risk-based tiering and evaluation intensity</w:t>
      </w:r>
    </w:p>
    <w:p w14:paraId="4014F2A7" w14:textId="77777777" w:rsidR="00C57E73" w:rsidRPr="00C57E73" w:rsidRDefault="00C57E73" w:rsidP="00C57E73">
      <w:pPr>
        <w:pStyle w:val="NormalWeb"/>
        <w:shd w:val="clear" w:color="auto" w:fill="FFFFFF"/>
        <w:spacing w:before="150" w:beforeAutospacing="0"/>
        <w:rPr>
          <w:rFonts w:ascii="Calibri" w:hAnsi="Calibri" w:cs="Calibri"/>
          <w:color w:val="000000" w:themeColor="text1"/>
          <w:sz w:val="22"/>
          <w:szCs w:val="22"/>
        </w:rPr>
      </w:pPr>
      <w:r w:rsidRPr="00C57E73">
        <w:rPr>
          <w:rFonts w:ascii="Calibri" w:hAnsi="Calibri" w:cs="Calibri"/>
          <w:color w:val="000000" w:themeColor="text1"/>
          <w:sz w:val="22"/>
          <w:szCs w:val="22"/>
        </w:rPr>
        <w:t>Models that trip the capability screen proceed to an evaluation against domain</w:t>
      </w:r>
      <w:r w:rsidRPr="00C57E73">
        <w:rPr>
          <w:rFonts w:ascii="Calibri" w:hAnsi="Calibri" w:cs="Calibri"/>
          <w:color w:val="000000" w:themeColor="text1"/>
          <w:sz w:val="22"/>
          <w:szCs w:val="22"/>
        </w:rPr>
        <w:noBreakHyphen/>
        <w:t>specific dangerous</w:t>
      </w:r>
      <w:r w:rsidRPr="00C57E73">
        <w:rPr>
          <w:rFonts w:ascii="Calibri" w:hAnsi="Calibri" w:cs="Calibri"/>
          <w:color w:val="000000" w:themeColor="text1"/>
          <w:sz w:val="22"/>
          <w:szCs w:val="22"/>
        </w:rPr>
        <w:noBreakHyphen/>
        <w:t>capability protocols. The kind of red</w:t>
      </w:r>
      <w:r w:rsidRPr="00C57E73">
        <w:rPr>
          <w:rFonts w:ascii="Calibri" w:hAnsi="Calibri" w:cs="Calibri"/>
          <w:color w:val="000000" w:themeColor="text1"/>
          <w:sz w:val="22"/>
          <w:szCs w:val="22"/>
        </w:rPr>
        <w:noBreakHyphen/>
        <w:t>teaming and uplift testing already practiced in varying forms by frontier developers internal safety teams and by evaluators such as the UK AI Security Institute. The outcome of that evaluation not the triggering signal itself determines the tier and therefore the obligation:</w:t>
      </w:r>
    </w:p>
    <w:p w14:paraId="7EADB7A9" w14:textId="77777777" w:rsidR="00C57E73" w:rsidRPr="00C57E73" w:rsidRDefault="00C57E73" w:rsidP="00C57E73">
      <w:pPr>
        <w:pStyle w:val="NormalWeb"/>
        <w:shd w:val="clear" w:color="auto" w:fill="FFFFFF"/>
        <w:spacing w:before="150" w:beforeAutospacing="0"/>
        <w:ind w:left="200"/>
        <w:rPr>
          <w:rFonts w:ascii="Calibri" w:hAnsi="Calibri" w:cs="Calibri"/>
          <w:color w:val="000000" w:themeColor="text1"/>
          <w:sz w:val="22"/>
          <w:szCs w:val="22"/>
        </w:rPr>
      </w:pPr>
      <w:r w:rsidRPr="00C57E73">
        <w:rPr>
          <w:rFonts w:ascii="Calibri" w:hAnsi="Calibri" w:cs="Calibri"/>
          <w:color w:val="000000" w:themeColor="text1"/>
          <w:sz w:val="22"/>
          <w:szCs w:val="22"/>
        </w:rPr>
        <w:t>1. Tier 1 (Notify) applies where the screen is tripped but evaluation finds no demonstrated capability above baseline. Obligations are limited to advance notice of training runs and deployment and reviewable documentation.</w:t>
      </w:r>
    </w:p>
    <w:p w14:paraId="696BBF62" w14:textId="77777777" w:rsidR="00C57E73" w:rsidRPr="00C57E73" w:rsidRDefault="00C57E73" w:rsidP="00C57E73">
      <w:pPr>
        <w:pStyle w:val="NormalWeb"/>
        <w:shd w:val="clear" w:color="auto" w:fill="FFFFFF"/>
        <w:spacing w:before="150" w:beforeAutospacing="0"/>
        <w:ind w:left="200"/>
        <w:rPr>
          <w:rFonts w:ascii="Calibri" w:hAnsi="Calibri" w:cs="Calibri"/>
          <w:color w:val="000000" w:themeColor="text1"/>
          <w:sz w:val="22"/>
          <w:szCs w:val="22"/>
        </w:rPr>
      </w:pPr>
      <w:r w:rsidRPr="00C57E73">
        <w:rPr>
          <w:rFonts w:ascii="Calibri" w:hAnsi="Calibri" w:cs="Calibri"/>
          <w:color w:val="000000" w:themeColor="text1"/>
          <w:sz w:val="22"/>
          <w:szCs w:val="22"/>
        </w:rPr>
        <w:t>2. Tier 2 (Evaluate) applies where the model demonstrates capability in least one dangerous</w:t>
      </w:r>
      <w:r w:rsidRPr="00C57E73">
        <w:rPr>
          <w:rFonts w:ascii="Calibri" w:hAnsi="Calibri" w:cs="Calibri"/>
          <w:color w:val="000000" w:themeColor="text1"/>
          <w:sz w:val="22"/>
          <w:szCs w:val="22"/>
        </w:rPr>
        <w:noBreakHyphen/>
        <w:t>capability domain that is not yet judged to present an unmitigable risk. Obligations include government</w:t>
      </w:r>
      <w:r w:rsidRPr="00C57E73">
        <w:rPr>
          <w:rFonts w:ascii="Calibri" w:hAnsi="Calibri" w:cs="Calibri"/>
          <w:color w:val="000000" w:themeColor="text1"/>
          <w:sz w:val="22"/>
          <w:szCs w:val="22"/>
        </w:rPr>
        <w:noBreakHyphen/>
        <w:t>accessed evaluation before deployment, a documented mitigation plan, structured auditor access after deployment and mandatory reporting of critical incidents on a fixed timeline, similar in structure to the incident</w:t>
      </w:r>
      <w:r w:rsidRPr="00C57E73">
        <w:rPr>
          <w:rFonts w:ascii="Calibri" w:hAnsi="Calibri" w:cs="Calibri"/>
          <w:color w:val="000000" w:themeColor="text1"/>
          <w:sz w:val="22"/>
          <w:szCs w:val="22"/>
        </w:rPr>
        <w:noBreakHyphen/>
        <w:t>reporting duty under Californias SB 53.</w:t>
      </w:r>
    </w:p>
    <w:p w14:paraId="659A0F81" w14:textId="77777777" w:rsidR="00C57E73" w:rsidRPr="00C57E73" w:rsidRDefault="00C57E73" w:rsidP="00C57E73">
      <w:pPr>
        <w:pStyle w:val="NormalWeb"/>
        <w:shd w:val="clear" w:color="auto" w:fill="FFFFFF"/>
        <w:spacing w:before="150" w:beforeAutospacing="0"/>
        <w:ind w:left="200"/>
        <w:rPr>
          <w:rFonts w:ascii="Calibri" w:hAnsi="Calibri" w:cs="Calibri"/>
          <w:color w:val="000000" w:themeColor="text1"/>
          <w:sz w:val="22"/>
          <w:szCs w:val="22"/>
        </w:rPr>
      </w:pPr>
      <w:r w:rsidRPr="00C57E73">
        <w:rPr>
          <w:rFonts w:ascii="Calibri" w:hAnsi="Calibri" w:cs="Calibri"/>
          <w:color w:val="000000" w:themeColor="text1"/>
          <w:sz w:val="22"/>
          <w:szCs w:val="22"/>
        </w:rPr>
        <w:t>3. Tier 3 (Restrict) applies where evaluation confirms a capability that would materially lower the barrier to mass</w:t>
      </w:r>
      <w:r w:rsidRPr="00C57E73">
        <w:rPr>
          <w:rFonts w:ascii="Calibri" w:hAnsi="Calibri" w:cs="Calibri"/>
          <w:color w:val="000000" w:themeColor="text1"/>
          <w:sz w:val="22"/>
          <w:szCs w:val="22"/>
        </w:rPr>
        <w:noBreakHyphen/>
        <w:t>casualty or critical</w:t>
      </w:r>
      <w:r w:rsidRPr="00C57E73">
        <w:rPr>
          <w:rFonts w:ascii="Calibri" w:hAnsi="Calibri" w:cs="Calibri"/>
          <w:color w:val="000000" w:themeColor="text1"/>
          <w:sz w:val="22"/>
          <w:szCs w:val="22"/>
        </w:rPr>
        <w:noBreakHyphen/>
        <w:t xml:space="preserve">infrastructure harm robust mitigation. Deployment is conditioned </w:t>
      </w:r>
      <w:r w:rsidRPr="00C57E73">
        <w:rPr>
          <w:rFonts w:ascii="Calibri" w:hAnsi="Calibri" w:cs="Calibri"/>
          <w:color w:val="000000" w:themeColor="text1"/>
          <w:sz w:val="22"/>
          <w:szCs w:val="22"/>
        </w:rPr>
        <w:lastRenderedPageBreak/>
        <w:t>on regulator sign</w:t>
      </w:r>
      <w:r w:rsidRPr="00C57E73">
        <w:rPr>
          <w:rFonts w:ascii="Calibri" w:hAnsi="Calibri" w:cs="Calibri"/>
          <w:color w:val="000000" w:themeColor="text1"/>
          <w:sz w:val="22"/>
          <w:szCs w:val="22"/>
        </w:rPr>
        <w:noBreakHyphen/>
        <w:t>off may be staged or geographically or contractually restricted and is subject to revocable authorization, along the lines of the frameworks used for other dual</w:t>
      </w:r>
      <w:r w:rsidRPr="00C57E73">
        <w:rPr>
          <w:rFonts w:ascii="Calibri" w:hAnsi="Calibri" w:cs="Calibri"/>
          <w:color w:val="000000" w:themeColor="text1"/>
          <w:sz w:val="22"/>
          <w:szCs w:val="22"/>
        </w:rPr>
        <w:noBreakHyphen/>
        <w:t>use technologies.</w:t>
      </w:r>
    </w:p>
    <w:p w14:paraId="19754C6F" w14:textId="1A22B20A" w:rsidR="002E24B1" w:rsidRDefault="002E24B1" w:rsidP="00C57E73">
      <w:pPr>
        <w:pStyle w:val="ListParagraph"/>
        <w:spacing w:after="100"/>
        <w:ind w:left="460"/>
      </w:pPr>
    </w:p>
    <w:p w14:paraId="4402080E" w14:textId="77777777" w:rsidR="002E24B1" w:rsidRDefault="00000000">
      <w:pPr>
        <w:spacing w:after="200" w:line="276" w:lineRule="auto"/>
        <w:jc w:val="both"/>
      </w:pPr>
      <w:r>
        <w:t>Table 2 summarizes the qualifying signal, pre-deployment requirement, and continuous obligation associated with each tier.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900"/>
        <w:gridCol w:w="1600"/>
      </w:tblGrid>
      <w:tr w:rsidR="002E24B1" w14:paraId="25B4FB01" w14:textId="77777777">
        <w:tc>
          <w:tcPr>
            <w:tcW w:w="1900" w:type="dxa"/>
            <w:shd w:val="clear" w:color="auto" w:fill="1F3864"/>
            <w:tcMar>
              <w:top w:w="100" w:type="dxa"/>
              <w:left w:w="120" w:type="dxa"/>
              <w:bottom w:w="100" w:type="dxa"/>
              <w:right w:w="120" w:type="dxa"/>
            </w:tcMar>
            <w:vAlign w:val="center"/>
          </w:tcPr>
          <w:p w14:paraId="1CFBD0BD" w14:textId="77777777" w:rsidR="002E24B1" w:rsidRDefault="00000000">
            <w:r>
              <w:rPr>
                <w:b/>
                <w:bCs/>
                <w:color w:val="FFFFFF"/>
                <w:sz w:val="19"/>
                <w:szCs w:val="19"/>
              </w:rPr>
              <w:t>Tier</w:t>
            </w:r>
          </w:p>
        </w:tc>
        <w:tc>
          <w:tcPr>
            <w:tcW w:w="2900" w:type="dxa"/>
            <w:shd w:val="clear" w:color="auto" w:fill="1F3864"/>
            <w:tcMar>
              <w:top w:w="100" w:type="dxa"/>
              <w:left w:w="120" w:type="dxa"/>
              <w:bottom w:w="100" w:type="dxa"/>
              <w:right w:w="120" w:type="dxa"/>
            </w:tcMar>
            <w:vAlign w:val="center"/>
          </w:tcPr>
          <w:p w14:paraId="0383995D" w14:textId="77777777" w:rsidR="002E24B1" w:rsidRDefault="00000000">
            <w:r>
              <w:rPr>
                <w:b/>
                <w:bCs/>
                <w:color w:val="FFFFFF"/>
                <w:sz w:val="19"/>
                <w:szCs w:val="19"/>
              </w:rPr>
              <w:t>Qualifying signal</w:t>
            </w:r>
          </w:p>
        </w:tc>
        <w:tc>
          <w:tcPr>
            <w:tcW w:w="2900" w:type="dxa"/>
            <w:shd w:val="clear" w:color="auto" w:fill="1F3864"/>
            <w:tcMar>
              <w:top w:w="100" w:type="dxa"/>
              <w:left w:w="120" w:type="dxa"/>
              <w:bottom w:w="100" w:type="dxa"/>
              <w:right w:w="120" w:type="dxa"/>
            </w:tcMar>
            <w:vAlign w:val="center"/>
          </w:tcPr>
          <w:p w14:paraId="6A9F28D3" w14:textId="77777777" w:rsidR="002E24B1" w:rsidRDefault="00000000">
            <w:r>
              <w:rPr>
                <w:b/>
                <w:bCs/>
                <w:color w:val="FFFFFF"/>
                <w:sz w:val="19"/>
                <w:szCs w:val="19"/>
              </w:rPr>
              <w:t>Required pre-deployment evaluation</w:t>
            </w:r>
          </w:p>
        </w:tc>
        <w:tc>
          <w:tcPr>
            <w:tcW w:w="1600" w:type="dxa"/>
            <w:shd w:val="clear" w:color="auto" w:fill="1F3864"/>
            <w:tcMar>
              <w:top w:w="100" w:type="dxa"/>
              <w:left w:w="120" w:type="dxa"/>
              <w:bottom w:w="100" w:type="dxa"/>
              <w:right w:w="120" w:type="dxa"/>
            </w:tcMar>
            <w:vAlign w:val="center"/>
          </w:tcPr>
          <w:p w14:paraId="76EE0EA6" w14:textId="77777777" w:rsidR="002E24B1" w:rsidRDefault="00000000">
            <w:r>
              <w:rPr>
                <w:b/>
                <w:bCs/>
                <w:color w:val="FFFFFF"/>
                <w:sz w:val="19"/>
                <w:szCs w:val="19"/>
              </w:rPr>
              <w:t>Continuous obligation</w:t>
            </w:r>
          </w:p>
        </w:tc>
      </w:tr>
      <w:tr w:rsidR="002E24B1" w14:paraId="37E0291D" w14:textId="77777777">
        <w:tc>
          <w:tcPr>
            <w:tcW w:w="1900" w:type="dxa"/>
            <w:tcMar>
              <w:top w:w="100" w:type="dxa"/>
              <w:left w:w="120" w:type="dxa"/>
              <w:bottom w:w="100" w:type="dxa"/>
              <w:right w:w="120" w:type="dxa"/>
            </w:tcMar>
            <w:vAlign w:val="center"/>
          </w:tcPr>
          <w:p w14:paraId="2B0E2337" w14:textId="77777777" w:rsidR="002E24B1" w:rsidRDefault="00000000">
            <w:r>
              <w:rPr>
                <w:sz w:val="19"/>
                <w:szCs w:val="19"/>
              </w:rPr>
              <w:t>Tier 0 – General purpose</w:t>
            </w:r>
          </w:p>
        </w:tc>
        <w:tc>
          <w:tcPr>
            <w:tcW w:w="2900" w:type="dxa"/>
            <w:tcMar>
              <w:top w:w="100" w:type="dxa"/>
              <w:left w:w="120" w:type="dxa"/>
              <w:bottom w:w="100" w:type="dxa"/>
              <w:right w:w="120" w:type="dxa"/>
            </w:tcMar>
            <w:vAlign w:val="center"/>
          </w:tcPr>
          <w:p w14:paraId="5869C441" w14:textId="77777777" w:rsidR="002E24B1" w:rsidRDefault="00000000">
            <w:r>
              <w:rPr>
                <w:sz w:val="19"/>
                <w:szCs w:val="19"/>
              </w:rPr>
              <w:t>Below the compute and capability screening thresholds; general commercial deployment</w:t>
            </w:r>
          </w:p>
        </w:tc>
        <w:tc>
          <w:tcPr>
            <w:tcW w:w="2900" w:type="dxa"/>
            <w:shd w:val="clear" w:color="auto" w:fill="F2F2F2"/>
            <w:tcMar>
              <w:top w:w="100" w:type="dxa"/>
              <w:left w:w="120" w:type="dxa"/>
              <w:bottom w:w="100" w:type="dxa"/>
              <w:right w:w="120" w:type="dxa"/>
            </w:tcMar>
            <w:vAlign w:val="center"/>
          </w:tcPr>
          <w:p w14:paraId="6C9AD232" w14:textId="77777777" w:rsidR="002E24B1" w:rsidRDefault="00000000">
            <w:r>
              <w:rPr>
                <w:sz w:val="19"/>
                <w:szCs w:val="19"/>
              </w:rPr>
              <w:t>Self-attested internal testing; publicly available model card</w:t>
            </w:r>
          </w:p>
        </w:tc>
        <w:tc>
          <w:tcPr>
            <w:tcW w:w="1600" w:type="dxa"/>
            <w:tcMar>
              <w:top w:w="100" w:type="dxa"/>
              <w:left w:w="120" w:type="dxa"/>
              <w:bottom w:w="100" w:type="dxa"/>
              <w:right w:w="120" w:type="dxa"/>
            </w:tcMar>
            <w:vAlign w:val="center"/>
          </w:tcPr>
          <w:p w14:paraId="0A7EA72D" w14:textId="77777777" w:rsidR="002E24B1" w:rsidRDefault="00000000">
            <w:r>
              <w:rPr>
                <w:sz w:val="19"/>
                <w:szCs w:val="19"/>
              </w:rPr>
              <w:t>Incident disclosure on a voluntary or light-touch basis</w:t>
            </w:r>
          </w:p>
        </w:tc>
      </w:tr>
      <w:tr w:rsidR="002E24B1" w14:paraId="38EE7500" w14:textId="77777777">
        <w:tc>
          <w:tcPr>
            <w:tcW w:w="1900" w:type="dxa"/>
            <w:tcMar>
              <w:top w:w="100" w:type="dxa"/>
              <w:left w:w="120" w:type="dxa"/>
              <w:bottom w:w="100" w:type="dxa"/>
              <w:right w:w="120" w:type="dxa"/>
            </w:tcMar>
            <w:vAlign w:val="center"/>
          </w:tcPr>
          <w:p w14:paraId="2D96071E" w14:textId="77777777" w:rsidR="002E24B1" w:rsidRDefault="00000000">
            <w:r>
              <w:rPr>
                <w:sz w:val="19"/>
                <w:szCs w:val="19"/>
              </w:rPr>
              <w:t>Tier 1 – Notify</w:t>
            </w:r>
          </w:p>
        </w:tc>
        <w:tc>
          <w:tcPr>
            <w:tcW w:w="2900" w:type="dxa"/>
            <w:tcMar>
              <w:top w:w="100" w:type="dxa"/>
              <w:left w:w="120" w:type="dxa"/>
              <w:bottom w:w="100" w:type="dxa"/>
              <w:right w:w="120" w:type="dxa"/>
            </w:tcMar>
            <w:vAlign w:val="center"/>
          </w:tcPr>
          <w:p w14:paraId="6F9BCB9C" w14:textId="77777777" w:rsidR="002E24B1" w:rsidRDefault="00000000">
            <w:r>
              <w:rPr>
                <w:sz w:val="19"/>
                <w:szCs w:val="19"/>
              </w:rPr>
              <w:t>Training compute or benchmark performance crosses a registration threshold, without demonstrated dangerous capability</w:t>
            </w:r>
          </w:p>
        </w:tc>
        <w:tc>
          <w:tcPr>
            <w:tcW w:w="2900" w:type="dxa"/>
            <w:shd w:val="clear" w:color="auto" w:fill="F2F2F2"/>
            <w:tcMar>
              <w:top w:w="100" w:type="dxa"/>
              <w:left w:w="120" w:type="dxa"/>
              <w:bottom w:w="100" w:type="dxa"/>
              <w:right w:w="120" w:type="dxa"/>
            </w:tcMar>
            <w:vAlign w:val="center"/>
          </w:tcPr>
          <w:p w14:paraId="46DF04FA" w14:textId="77777777" w:rsidR="002E24B1" w:rsidRDefault="00000000">
            <w:r>
              <w:rPr>
                <w:sz w:val="19"/>
                <w:szCs w:val="19"/>
              </w:rPr>
              <w:t>Regulator notification before training run and before deployment; third-party-reviewable model documentation</w:t>
            </w:r>
          </w:p>
        </w:tc>
        <w:tc>
          <w:tcPr>
            <w:tcW w:w="1600" w:type="dxa"/>
            <w:tcMar>
              <w:top w:w="100" w:type="dxa"/>
              <w:left w:w="120" w:type="dxa"/>
              <w:bottom w:w="100" w:type="dxa"/>
              <w:right w:w="120" w:type="dxa"/>
            </w:tcMar>
            <w:vAlign w:val="center"/>
          </w:tcPr>
          <w:p w14:paraId="74CEB479" w14:textId="77777777" w:rsidR="002E24B1" w:rsidRDefault="00000000">
            <w:r>
              <w:rPr>
                <w:sz w:val="19"/>
                <w:szCs w:val="19"/>
              </w:rPr>
              <w:t>Periodic re-evaluation after material fine-tuning or capability-enhancing updates</w:t>
            </w:r>
          </w:p>
        </w:tc>
      </w:tr>
      <w:tr w:rsidR="002E24B1" w14:paraId="1F5A1A21" w14:textId="77777777">
        <w:tc>
          <w:tcPr>
            <w:tcW w:w="1900" w:type="dxa"/>
            <w:tcMar>
              <w:top w:w="100" w:type="dxa"/>
              <w:left w:w="120" w:type="dxa"/>
              <w:bottom w:w="100" w:type="dxa"/>
              <w:right w:w="120" w:type="dxa"/>
            </w:tcMar>
            <w:vAlign w:val="center"/>
          </w:tcPr>
          <w:p w14:paraId="2F0B6255" w14:textId="77777777" w:rsidR="002E24B1" w:rsidRDefault="00000000">
            <w:r>
              <w:rPr>
                <w:sz w:val="19"/>
                <w:szCs w:val="19"/>
              </w:rPr>
              <w:t>Tier 2 – Evaluate</w:t>
            </w:r>
          </w:p>
        </w:tc>
        <w:tc>
          <w:tcPr>
            <w:tcW w:w="2900" w:type="dxa"/>
            <w:tcMar>
              <w:top w:w="100" w:type="dxa"/>
              <w:left w:w="120" w:type="dxa"/>
              <w:bottom w:w="100" w:type="dxa"/>
              <w:right w:w="120" w:type="dxa"/>
            </w:tcMar>
            <w:vAlign w:val="center"/>
          </w:tcPr>
          <w:p w14:paraId="62C82ED8" w14:textId="77777777" w:rsidR="002E24B1" w:rsidRDefault="00000000">
            <w:r>
              <w:rPr>
                <w:sz w:val="19"/>
                <w:szCs w:val="19"/>
              </w:rPr>
              <w:t>Passes capability screen for at least one dangerous-capability domain (cyber offense, biological or chemical uplift, autonomous replication, persuasion at scale)</w:t>
            </w:r>
          </w:p>
        </w:tc>
        <w:tc>
          <w:tcPr>
            <w:tcW w:w="2900" w:type="dxa"/>
            <w:shd w:val="clear" w:color="auto" w:fill="F2F2F2"/>
            <w:tcMar>
              <w:top w:w="100" w:type="dxa"/>
              <w:left w:w="120" w:type="dxa"/>
              <w:bottom w:w="100" w:type="dxa"/>
              <w:right w:w="120" w:type="dxa"/>
            </w:tcMar>
            <w:vAlign w:val="center"/>
          </w:tcPr>
          <w:p w14:paraId="34B9F7C0" w14:textId="77777777" w:rsidR="002E24B1" w:rsidRDefault="00000000">
            <w:r>
              <w:rPr>
                <w:sz w:val="19"/>
                <w:szCs w:val="19"/>
              </w:rPr>
              <w:t>Independent or government-accessed pre-deployment evaluation against domain-specific dangerous-capability protocols; mandatory mitigation plan</w:t>
            </w:r>
          </w:p>
        </w:tc>
        <w:tc>
          <w:tcPr>
            <w:tcW w:w="1600" w:type="dxa"/>
            <w:tcMar>
              <w:top w:w="100" w:type="dxa"/>
              <w:left w:w="120" w:type="dxa"/>
              <w:bottom w:w="100" w:type="dxa"/>
              <w:right w:w="120" w:type="dxa"/>
            </w:tcMar>
            <w:vAlign w:val="center"/>
          </w:tcPr>
          <w:p w14:paraId="5D624E13" w14:textId="77777777" w:rsidR="002E24B1" w:rsidRDefault="00000000">
            <w:r>
              <w:rPr>
                <w:sz w:val="19"/>
                <w:szCs w:val="19"/>
              </w:rPr>
              <w:t>Structured access for auditors; mandatory critical-incident reporting on a fixed timeline</w:t>
            </w:r>
          </w:p>
        </w:tc>
      </w:tr>
      <w:tr w:rsidR="002E24B1" w14:paraId="4DF23732" w14:textId="77777777">
        <w:tc>
          <w:tcPr>
            <w:tcW w:w="1900" w:type="dxa"/>
            <w:tcMar>
              <w:top w:w="100" w:type="dxa"/>
              <w:left w:w="120" w:type="dxa"/>
              <w:bottom w:w="100" w:type="dxa"/>
              <w:right w:w="120" w:type="dxa"/>
            </w:tcMar>
            <w:vAlign w:val="center"/>
          </w:tcPr>
          <w:p w14:paraId="5EA914B1" w14:textId="77777777" w:rsidR="002E24B1" w:rsidRDefault="00000000">
            <w:r>
              <w:rPr>
                <w:sz w:val="19"/>
                <w:szCs w:val="19"/>
              </w:rPr>
              <w:t>Tier 3 – Restrict</w:t>
            </w:r>
          </w:p>
        </w:tc>
        <w:tc>
          <w:tcPr>
            <w:tcW w:w="2900" w:type="dxa"/>
            <w:tcMar>
              <w:top w:w="100" w:type="dxa"/>
              <w:left w:w="120" w:type="dxa"/>
              <w:bottom w:w="100" w:type="dxa"/>
              <w:right w:w="120" w:type="dxa"/>
            </w:tcMar>
            <w:vAlign w:val="center"/>
          </w:tcPr>
          <w:p w14:paraId="178BA6B1" w14:textId="77777777" w:rsidR="002E24B1" w:rsidRDefault="00000000">
            <w:r>
              <w:rPr>
                <w:sz w:val="19"/>
                <w:szCs w:val="19"/>
              </w:rPr>
              <w:t>Evaluation confirms a capability that materially lowers the barrier to mass-casualty or critical-infrastructure harm, absent robust mitigations</w:t>
            </w:r>
          </w:p>
        </w:tc>
        <w:tc>
          <w:tcPr>
            <w:tcW w:w="2900" w:type="dxa"/>
            <w:shd w:val="clear" w:color="auto" w:fill="F2F2F2"/>
            <w:tcMar>
              <w:top w:w="100" w:type="dxa"/>
              <w:left w:w="120" w:type="dxa"/>
              <w:bottom w:w="100" w:type="dxa"/>
              <w:right w:w="120" w:type="dxa"/>
            </w:tcMar>
            <w:vAlign w:val="center"/>
          </w:tcPr>
          <w:p w14:paraId="6386865A" w14:textId="77777777" w:rsidR="002E24B1" w:rsidRDefault="00000000">
            <w:r>
              <w:rPr>
                <w:sz w:val="19"/>
                <w:szCs w:val="19"/>
              </w:rPr>
              <w:t>Deployment conditioned on regulator sign-off; staged or restricted release; enhanced security requirements for model weights</w:t>
            </w:r>
          </w:p>
        </w:tc>
        <w:tc>
          <w:tcPr>
            <w:tcW w:w="1600" w:type="dxa"/>
            <w:tcMar>
              <w:top w:w="100" w:type="dxa"/>
              <w:left w:w="120" w:type="dxa"/>
              <w:bottom w:w="100" w:type="dxa"/>
              <w:right w:w="120" w:type="dxa"/>
            </w:tcMar>
            <w:vAlign w:val="center"/>
          </w:tcPr>
          <w:p w14:paraId="3ADD116C" w14:textId="77777777" w:rsidR="002E24B1" w:rsidRDefault="00000000">
            <w:r>
              <w:rPr>
                <w:sz w:val="19"/>
                <w:szCs w:val="19"/>
              </w:rPr>
              <w:t>Continuous government-accessible monitoring; mandatory red-teaming cadence; revocable deployment authorization</w:t>
            </w:r>
          </w:p>
        </w:tc>
      </w:tr>
    </w:tbl>
    <w:p w14:paraId="603C66A2" w14:textId="77777777" w:rsidR="002E24B1" w:rsidRDefault="00000000">
      <w:pPr>
        <w:spacing w:before="80" w:after="240"/>
        <w:jc w:val="center"/>
      </w:pPr>
      <w:r>
        <w:rPr>
          <w:i/>
          <w:iCs/>
          <w:sz w:val="20"/>
          <w:szCs w:val="20"/>
        </w:rPr>
        <w:t>Table 2. Proposed four-tier capability- and risk-based evaluation regime.</w:t>
      </w:r>
    </w:p>
    <w:p w14:paraId="083A3D28" w14:textId="77777777" w:rsidR="002E24B1" w:rsidRDefault="00000000">
      <w:pPr>
        <w:pStyle w:val="Heading2"/>
        <w:keepNext/>
      </w:pPr>
      <w:r>
        <w:t>4.3 Triggers for re-evaluation</w:t>
      </w:r>
    </w:p>
    <w:p w14:paraId="4D50A695" w14:textId="77777777" w:rsidR="00C57E73" w:rsidRDefault="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Because capability can drift after deployment the framework treats post</w:t>
      </w:r>
      <w:r w:rsidRPr="00C57E73">
        <w:rPr>
          <w:rFonts w:ascii="Calibri" w:eastAsia="Calibri" w:hAnsi="Calibri" w:cs="Calibri"/>
          <w:b w:val="0"/>
          <w:bCs w:val="0"/>
          <w:color w:val="auto"/>
          <w:sz w:val="22"/>
          <w:szCs w:val="22"/>
        </w:rPr>
        <w:noBreakHyphen/>
        <w:t>release events as automatic triggers for re</w:t>
      </w:r>
      <w:r w:rsidRPr="00C57E73">
        <w:rPr>
          <w:rFonts w:ascii="Calibri" w:eastAsia="Calibri" w:hAnsi="Calibri" w:cs="Calibri"/>
          <w:b w:val="0"/>
          <w:bCs w:val="0"/>
          <w:color w:val="auto"/>
          <w:sz w:val="22"/>
          <w:szCs w:val="22"/>
        </w:rPr>
        <w:noBreakHyphen/>
        <w:t>evaluation instead of relying only on the initial pre</w:t>
      </w:r>
      <w:r w:rsidRPr="00C57E73">
        <w:rPr>
          <w:rFonts w:ascii="Calibri" w:eastAsia="Calibri" w:hAnsi="Calibri" w:cs="Calibri"/>
          <w:b w:val="0"/>
          <w:bCs w:val="0"/>
          <w:color w:val="auto"/>
          <w:sz w:val="22"/>
          <w:szCs w:val="22"/>
        </w:rPr>
        <w:noBreakHyphen/>
        <w:t>deployment check. These events include: material fine</w:t>
      </w:r>
      <w:r w:rsidRPr="00C57E73">
        <w:rPr>
          <w:rFonts w:ascii="Calibri" w:eastAsia="Calibri" w:hAnsi="Calibri" w:cs="Calibri"/>
          <w:b w:val="0"/>
          <w:bCs w:val="0"/>
          <w:color w:val="auto"/>
          <w:sz w:val="22"/>
          <w:szCs w:val="22"/>
        </w:rPr>
        <w:noBreakHyphen/>
        <w:t>tuning aimed at expanding capability, integration of tools or agentic scaffolding that noticeably changes task performance on the existing benchmark battery a documented critical safety incident and periodic scheduled re</w:t>
      </w:r>
      <w:r w:rsidRPr="00C57E73">
        <w:rPr>
          <w:rFonts w:ascii="Calibri" w:eastAsia="Calibri" w:hAnsi="Calibri" w:cs="Calibri"/>
          <w:b w:val="0"/>
          <w:bCs w:val="0"/>
          <w:color w:val="auto"/>
          <w:sz w:val="22"/>
          <w:szCs w:val="22"/>
        </w:rPr>
        <w:noBreakHyphen/>
        <w:t xml:space="preserve">testing with intervals that shrink as the tier rises. This </w:t>
      </w:r>
      <w:r w:rsidRPr="00C57E73">
        <w:rPr>
          <w:rFonts w:ascii="Calibri" w:eastAsia="Calibri" w:hAnsi="Calibri" w:cs="Calibri"/>
          <w:b w:val="0"/>
          <w:bCs w:val="0"/>
          <w:color w:val="auto"/>
          <w:sz w:val="22"/>
          <w:szCs w:val="22"/>
        </w:rPr>
        <w:lastRenderedPageBreak/>
        <w:t>approach fixes the point</w:t>
      </w:r>
      <w:r w:rsidRPr="00C57E73">
        <w:rPr>
          <w:rFonts w:ascii="Calibri" w:eastAsia="Calibri" w:hAnsi="Calibri" w:cs="Calibri"/>
          <w:b w:val="0"/>
          <w:bCs w:val="0"/>
          <w:color w:val="auto"/>
          <w:sz w:val="22"/>
          <w:szCs w:val="22"/>
        </w:rPr>
        <w:noBreakHyphen/>
        <w:t>in</w:t>
      </w:r>
      <w:r w:rsidRPr="00C57E73">
        <w:rPr>
          <w:rFonts w:ascii="Calibri" w:eastAsia="Calibri" w:hAnsi="Calibri" w:cs="Calibri"/>
          <w:b w:val="0"/>
          <w:bCs w:val="0"/>
          <w:color w:val="auto"/>
          <w:sz w:val="22"/>
          <w:szCs w:val="22"/>
        </w:rPr>
        <w:noBreakHyphen/>
        <w:t>time weakness noted in Section 3.4 without needing to re</w:t>
      </w:r>
      <w:r w:rsidRPr="00C57E73">
        <w:rPr>
          <w:rFonts w:ascii="Calibri" w:eastAsia="Calibri" w:hAnsi="Calibri" w:cs="Calibri"/>
          <w:b w:val="0"/>
          <w:bCs w:val="0"/>
          <w:color w:val="auto"/>
          <w:sz w:val="22"/>
          <w:szCs w:val="22"/>
        </w:rPr>
        <w:noBreakHyphen/>
        <w:t>evaluate every update.</w:t>
      </w:r>
    </w:p>
    <w:p w14:paraId="2E20B7BF" w14:textId="7E74438E" w:rsidR="002E24B1" w:rsidRDefault="00000000">
      <w:pPr>
        <w:pStyle w:val="Heading1"/>
        <w:keepNext/>
      </w:pPr>
      <w:r>
        <w:t>5. Institutional Design and Implementation</w:t>
      </w:r>
    </w:p>
    <w:p w14:paraId="3835E431" w14:textId="77777777" w:rsidR="002E24B1" w:rsidRDefault="00000000">
      <w:pPr>
        <w:pStyle w:val="Heading2"/>
        <w:keepNext/>
      </w:pPr>
      <w:r>
        <w:t>5.1 Who evaluates, and with what access</w:t>
      </w:r>
    </w:p>
    <w:p w14:paraId="19E7ED2C" w14:textId="77777777" w:rsidR="00C57E73" w:rsidRDefault="00C57E73">
      <w:pPr>
        <w:pStyle w:val="Heading2"/>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Three evaluator models are actively used around the world. One is developer self</w:t>
      </w:r>
      <w:r w:rsidRPr="00C57E73">
        <w:rPr>
          <w:rFonts w:ascii="Calibri" w:eastAsia="Calibri" w:hAnsi="Calibri" w:cs="Calibri"/>
          <w:b w:val="0"/>
          <w:bCs w:val="0"/>
          <w:color w:val="auto"/>
          <w:sz w:val="22"/>
          <w:szCs w:val="22"/>
        </w:rPr>
        <w:noBreakHyphen/>
        <w:t>assessment against a framework, which is Californias approach. Another is government</w:t>
      </w:r>
      <w:r w:rsidRPr="00C57E73">
        <w:rPr>
          <w:rFonts w:ascii="Calibri" w:eastAsia="Calibri" w:hAnsi="Calibri" w:cs="Calibri"/>
          <w:b w:val="0"/>
          <w:bCs w:val="0"/>
          <w:color w:val="auto"/>
          <w:sz w:val="22"/>
          <w:szCs w:val="22"/>
        </w:rPr>
        <w:noBreakHyphen/>
        <w:t>run classified benchmarking with developer access, used in the United States under Executive Order 14409. The third is third</w:t>
      </w:r>
      <w:r w:rsidRPr="00C57E73">
        <w:rPr>
          <w:rFonts w:ascii="Calibri" w:eastAsia="Calibri" w:hAnsi="Calibri" w:cs="Calibri"/>
          <w:b w:val="0"/>
          <w:bCs w:val="0"/>
          <w:color w:val="auto"/>
          <w:sz w:val="22"/>
          <w:szCs w:val="22"/>
        </w:rPr>
        <w:noBreakHyphen/>
        <w:t>party or government</w:t>
      </w:r>
      <w:r w:rsidRPr="00C57E73">
        <w:rPr>
          <w:rFonts w:ascii="Calibri" w:eastAsia="Calibri" w:hAnsi="Calibri" w:cs="Calibri"/>
          <w:b w:val="0"/>
          <w:bCs w:val="0"/>
          <w:color w:val="auto"/>
          <w:sz w:val="22"/>
          <w:szCs w:val="22"/>
        </w:rPr>
        <w:noBreakHyphen/>
        <w:t>institution testing before release, which is the pattern favored by the EUs Code of Practice and the UK AI Security Institute. The framework we propose prefers a hybrid. For Tier 1 we use self</w:t>
      </w:r>
      <w:r w:rsidRPr="00C57E73">
        <w:rPr>
          <w:rFonts w:ascii="Calibri" w:eastAsia="Calibri" w:hAnsi="Calibri" w:cs="Calibri"/>
          <w:b w:val="0"/>
          <w:bCs w:val="0"/>
          <w:color w:val="auto"/>
          <w:sz w:val="22"/>
          <w:szCs w:val="22"/>
        </w:rPr>
        <w:noBreakHyphen/>
        <w:t>assessment and disclosure. For Tier 2 we use government</w:t>
      </w:r>
      <w:r w:rsidRPr="00C57E73">
        <w:rPr>
          <w:rFonts w:ascii="Calibri" w:eastAsia="Calibri" w:hAnsi="Calibri" w:cs="Calibri"/>
          <w:b w:val="0"/>
          <w:bCs w:val="0"/>
          <w:color w:val="auto"/>
          <w:sz w:val="22"/>
          <w:szCs w:val="22"/>
        </w:rPr>
        <w:noBreakHyphen/>
        <w:t>accessed evaluation. For Tier 3 we require government sign</w:t>
      </w:r>
      <w:r w:rsidRPr="00C57E73">
        <w:rPr>
          <w:rFonts w:ascii="Calibri" w:eastAsia="Calibri" w:hAnsi="Calibri" w:cs="Calibri"/>
          <w:b w:val="0"/>
          <w:bCs w:val="0"/>
          <w:color w:val="auto"/>
          <w:sz w:val="22"/>
          <w:szCs w:val="22"/>
        </w:rPr>
        <w:noBreakHyphen/>
        <w:t>off that is guided by independent evaluation. This plan focuses the demanding type of scrutiny – external adversarial evaluation with model access – on the smaller set of models where it makes the most sense. It matches the reality of a number of companies that is already seen under the EUs systemic</w:t>
      </w:r>
      <w:r w:rsidRPr="00C57E73">
        <w:rPr>
          <w:rFonts w:ascii="Calibri" w:eastAsia="Calibri" w:hAnsi="Calibri" w:cs="Calibri"/>
          <w:b w:val="0"/>
          <w:bCs w:val="0"/>
          <w:color w:val="auto"/>
          <w:sz w:val="22"/>
          <w:szCs w:val="22"/>
        </w:rPr>
        <w:noBreakHyphen/>
        <w:t>risk chapter, which applies to only a few developers worldwide.</w:t>
      </w:r>
    </w:p>
    <w:p w14:paraId="77E99BCF" w14:textId="5C49E520" w:rsidR="002E24B1" w:rsidRDefault="00000000">
      <w:pPr>
        <w:pStyle w:val="Heading2"/>
        <w:keepNext/>
      </w:pPr>
      <w:r>
        <w:t>5.2 Confidentiality, security, and trade secrets</w:t>
      </w:r>
    </w:p>
    <w:p w14:paraId="7B3DDF72" w14:textId="77777777" w:rsidR="00C57E73" w:rsidRDefault="00C57E73">
      <w:pPr>
        <w:pStyle w:val="Heading2"/>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Any regime that gives parties or government evaluators access to model weights training data summaries or evaluation results must balance transparency with the risk of exposing sensitive technical detail or the danger of publishing dangerous</w:t>
      </w:r>
      <w:r w:rsidRPr="00C57E73">
        <w:rPr>
          <w:rFonts w:ascii="Calibri" w:eastAsia="Calibri" w:hAnsi="Calibri" w:cs="Calibri"/>
          <w:b w:val="0"/>
          <w:bCs w:val="0"/>
          <w:color w:val="auto"/>
          <w:sz w:val="22"/>
          <w:szCs w:val="22"/>
        </w:rPr>
        <w:noBreakHyphen/>
        <w:t>capability findings in full. Practical measures are: restricted</w:t>
      </w:r>
      <w:r w:rsidRPr="00C57E73">
        <w:rPr>
          <w:rFonts w:ascii="Calibri" w:eastAsia="Calibri" w:hAnsi="Calibri" w:cs="Calibri"/>
          <w:b w:val="0"/>
          <w:bCs w:val="0"/>
          <w:color w:val="auto"/>
          <w:sz w:val="22"/>
          <w:szCs w:val="22"/>
        </w:rPr>
        <w:noBreakHyphen/>
        <w:t>access reporting channels for the most sensitive findings; aggregate or redacted public reporting that is enough for democratic accountability; and contractual and statutory confidentiality obligations on evaluators. These steps mirror the benchmarking channel already considered by Executive Order 14409 and the protected disclosure channels used in Californias incident</w:t>
      </w:r>
      <w:r w:rsidRPr="00C57E73">
        <w:rPr>
          <w:rFonts w:ascii="Calibri" w:eastAsia="Calibri" w:hAnsi="Calibri" w:cs="Calibri"/>
          <w:b w:val="0"/>
          <w:bCs w:val="0"/>
          <w:color w:val="auto"/>
          <w:sz w:val="22"/>
          <w:szCs w:val="22"/>
        </w:rPr>
        <w:noBreakHyphen/>
        <w:t>reporting regime.</w:t>
      </w:r>
    </w:p>
    <w:p w14:paraId="436FFF3C" w14:textId="42B029BC" w:rsidR="002E24B1" w:rsidRDefault="00000000">
      <w:pPr>
        <w:pStyle w:val="Heading2"/>
        <w:keepNext/>
      </w:pPr>
      <w:r>
        <w:t>5.3 Cross-border recognition and mutual reliance</w:t>
      </w:r>
    </w:p>
    <w:p w14:paraId="41D98254" w14:textId="77777777" w:rsidR="00C57E73" w:rsidRDefault="00C57E73">
      <w:pPr>
        <w:pStyle w:val="Heading2"/>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Frontier developers work worldwide. Release models at the same time into many regulatory regimes. If there is no recognition developers must repeat evaluations for each jurisdiction, which scales with the number of jurisdictions instead of real risk. Small regulators also cannot run frontier evaluations. A practical framework should let a jurisdiction accept an evaluation done under another jurisdictions regime – a " equivalent" standard that California already uses in its incident</w:t>
      </w:r>
      <w:r w:rsidRPr="00C57E73">
        <w:rPr>
          <w:rFonts w:ascii="Calibri" w:eastAsia="Calibri" w:hAnsi="Calibri" w:cs="Calibri"/>
          <w:b w:val="0"/>
          <w:bCs w:val="0"/>
          <w:color w:val="auto"/>
          <w:sz w:val="22"/>
          <w:szCs w:val="22"/>
        </w:rPr>
        <w:noBreakHyphen/>
        <w:t>reporting statute to recognize other reporting regimes – as long as baseline methodological standards are met and the results are shared with the recognizing regulator.</w:t>
      </w:r>
    </w:p>
    <w:p w14:paraId="12DD34A4" w14:textId="4ECDA255" w:rsidR="002E24B1" w:rsidRDefault="00000000">
      <w:pPr>
        <w:pStyle w:val="Heading2"/>
        <w:keepNext/>
      </w:pPr>
      <w:r>
        <w:t>5.4 Sunset clauses and adaptive thresholds</w:t>
      </w:r>
    </w:p>
    <w:p w14:paraId="2FD5B7B3" w14:textId="77777777" w:rsidR="00C57E73" w:rsidRDefault="00C57E73">
      <w:pPr>
        <w:pStyle w:val="Heading2"/>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xml:space="preserve">Because the compute floor and the benchmark battery that underlie the capability screen will become outdated the law or regulation that sets up the framework should give a body the power to revise the quantitative thresholds on a regular review cycle. This revision must have a reasoned justification and should not lock numbers permanently into primary legislation. The EU uses a Code of Practice and Commission guidelines to turn a threshold into practice while the United States leaves the definition of </w:t>
      </w:r>
      <w:r w:rsidRPr="00C57E73">
        <w:rPr>
          <w:rFonts w:ascii="Calibri" w:eastAsia="Calibri" w:hAnsi="Calibri" w:cs="Calibri"/>
          <w:b w:val="0"/>
          <w:bCs w:val="0"/>
          <w:color w:val="auto"/>
          <w:sz w:val="22"/>
          <w:szCs w:val="22"/>
        </w:rPr>
        <w:lastRenderedPageBreak/>
        <w:t>"covered frontier model" to agency rulemaking under an executive order. Both examples show ways to delegate this adaptive authority although neither has been tested with a full threshold revision yet.</w:t>
      </w:r>
    </w:p>
    <w:p w14:paraId="6BCDE2E7" w14:textId="7F7B14B1" w:rsidR="002E24B1" w:rsidRDefault="00000000">
      <w:pPr>
        <w:pStyle w:val="Heading2"/>
        <w:keepNext/>
      </w:pPr>
      <w:r>
        <w:t>5.5 Enforcement and penalties</w:t>
      </w:r>
    </w:p>
    <w:p w14:paraId="2D38E1D2" w14:textId="77777777" w:rsidR="00C57E73" w:rsidRDefault="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Penalties should also increase with the tier. Tier 1 violations – such as failing to give notice or to document – are best dealt with using penalties and corrective orders. Tier 2 and Tier 3 violations especially when a critical incident is not reported or a deployment happens without the needed sign</w:t>
      </w:r>
      <w:r w:rsidRPr="00C57E73">
        <w:rPr>
          <w:rFonts w:ascii="Calibri" w:eastAsia="Calibri" w:hAnsi="Calibri" w:cs="Calibri"/>
          <w:b w:val="0"/>
          <w:bCs w:val="0"/>
          <w:color w:val="auto"/>
          <w:sz w:val="22"/>
          <w:szCs w:val="22"/>
        </w:rPr>
        <w:noBreakHyphen/>
        <w:t>off deserve penalties that're large enough to matter to a well</w:t>
      </w:r>
      <w:r w:rsidRPr="00C57E73">
        <w:rPr>
          <w:rFonts w:ascii="Calibri" w:eastAsia="Calibri" w:hAnsi="Calibri" w:cs="Calibri"/>
          <w:b w:val="0"/>
          <w:bCs w:val="0"/>
          <w:color w:val="auto"/>
          <w:sz w:val="22"/>
          <w:szCs w:val="22"/>
        </w:rPr>
        <w:noBreakHyphen/>
        <w:t>resourced frontier developer. California sets a cap of one million dollars, per violation as a benchmark. The right amount will depend on how serious the risk is and how big the developer is.</w:t>
      </w:r>
    </w:p>
    <w:p w14:paraId="4B449DC5" w14:textId="7CCF067D" w:rsidR="002E24B1" w:rsidRDefault="00000000">
      <w:pPr>
        <w:pStyle w:val="Heading1"/>
        <w:keepNext/>
      </w:pPr>
      <w:r>
        <w:t>6. Comparative Assessment</w:t>
      </w:r>
    </w:p>
    <w:p w14:paraId="22656D6E" w14:textId="77777777" w:rsidR="002E24B1" w:rsidRDefault="00000000">
      <w:pPr>
        <w:spacing w:after="200" w:line="276" w:lineRule="auto"/>
        <w:jc w:val="both"/>
      </w:pPr>
      <w:r>
        <w:t>Table 1 summarizes how the four regimes examined in Section 2 handle the trigger, pre-deployment requirement, and continuous-monitoring elements that the proposed framework treats as separable design choices.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600"/>
        <w:gridCol w:w="2600"/>
      </w:tblGrid>
      <w:tr w:rsidR="002E24B1" w14:paraId="7F605FE2" w14:textId="77777777">
        <w:tc>
          <w:tcPr>
            <w:tcW w:w="1500" w:type="dxa"/>
            <w:shd w:val="clear" w:color="auto" w:fill="1F3864"/>
            <w:tcMar>
              <w:top w:w="100" w:type="dxa"/>
              <w:left w:w="120" w:type="dxa"/>
              <w:bottom w:w="100" w:type="dxa"/>
              <w:right w:w="120" w:type="dxa"/>
            </w:tcMar>
            <w:vAlign w:val="center"/>
          </w:tcPr>
          <w:p w14:paraId="2823C6CA" w14:textId="77777777" w:rsidR="002E24B1" w:rsidRDefault="00000000">
            <w:r>
              <w:rPr>
                <w:b/>
                <w:bCs/>
                <w:color w:val="FFFFFF"/>
                <w:sz w:val="19"/>
                <w:szCs w:val="19"/>
              </w:rPr>
              <w:t>Jurisdiction</w:t>
            </w:r>
          </w:p>
        </w:tc>
        <w:tc>
          <w:tcPr>
            <w:tcW w:w="2400" w:type="dxa"/>
            <w:shd w:val="clear" w:color="auto" w:fill="1F3864"/>
            <w:tcMar>
              <w:top w:w="100" w:type="dxa"/>
              <w:left w:w="120" w:type="dxa"/>
              <w:bottom w:w="100" w:type="dxa"/>
              <w:right w:w="120" w:type="dxa"/>
            </w:tcMar>
            <w:vAlign w:val="center"/>
          </w:tcPr>
          <w:p w14:paraId="7F8E0533" w14:textId="77777777" w:rsidR="002E24B1" w:rsidRDefault="00000000">
            <w:r>
              <w:rPr>
                <w:b/>
                <w:bCs/>
                <w:color w:val="FFFFFF"/>
                <w:sz w:val="19"/>
                <w:szCs w:val="19"/>
              </w:rPr>
              <w:t>Trigger for coverage</w:t>
            </w:r>
          </w:p>
        </w:tc>
        <w:tc>
          <w:tcPr>
            <w:tcW w:w="2600" w:type="dxa"/>
            <w:shd w:val="clear" w:color="auto" w:fill="1F3864"/>
            <w:tcMar>
              <w:top w:w="100" w:type="dxa"/>
              <w:left w:w="120" w:type="dxa"/>
              <w:bottom w:w="100" w:type="dxa"/>
              <w:right w:w="120" w:type="dxa"/>
            </w:tcMar>
            <w:vAlign w:val="center"/>
          </w:tcPr>
          <w:p w14:paraId="066A8338" w14:textId="77777777" w:rsidR="002E24B1" w:rsidRDefault="00000000">
            <w:r>
              <w:rPr>
                <w:b/>
                <w:bCs/>
                <w:color w:val="FFFFFF"/>
                <w:sz w:val="19"/>
                <w:szCs w:val="19"/>
              </w:rPr>
              <w:t>Pre-deployment requirement</w:t>
            </w:r>
          </w:p>
        </w:tc>
        <w:tc>
          <w:tcPr>
            <w:tcW w:w="2600" w:type="dxa"/>
            <w:shd w:val="clear" w:color="auto" w:fill="1F3864"/>
            <w:tcMar>
              <w:top w:w="100" w:type="dxa"/>
              <w:left w:w="120" w:type="dxa"/>
              <w:bottom w:w="100" w:type="dxa"/>
              <w:right w:w="120" w:type="dxa"/>
            </w:tcMar>
            <w:vAlign w:val="center"/>
          </w:tcPr>
          <w:p w14:paraId="3F38C167" w14:textId="77777777" w:rsidR="002E24B1" w:rsidRDefault="00000000">
            <w:r>
              <w:rPr>
                <w:b/>
                <w:bCs/>
                <w:color w:val="FFFFFF"/>
                <w:sz w:val="19"/>
                <w:szCs w:val="19"/>
              </w:rPr>
              <w:t>Continuous / post-deployment element</w:t>
            </w:r>
          </w:p>
        </w:tc>
      </w:tr>
      <w:tr w:rsidR="002E24B1" w14:paraId="50E73156" w14:textId="77777777">
        <w:tc>
          <w:tcPr>
            <w:tcW w:w="1500" w:type="dxa"/>
            <w:tcMar>
              <w:top w:w="100" w:type="dxa"/>
              <w:left w:w="120" w:type="dxa"/>
              <w:bottom w:w="100" w:type="dxa"/>
              <w:right w:w="120" w:type="dxa"/>
            </w:tcMar>
            <w:vAlign w:val="center"/>
          </w:tcPr>
          <w:p w14:paraId="2F4B6EA4" w14:textId="77777777" w:rsidR="002E24B1" w:rsidRDefault="00000000">
            <w:r>
              <w:rPr>
                <w:sz w:val="19"/>
                <w:szCs w:val="19"/>
              </w:rPr>
              <w:t>EU (AI Act, GPAI Code of Practice)</w:t>
            </w:r>
          </w:p>
        </w:tc>
        <w:tc>
          <w:tcPr>
            <w:tcW w:w="2400" w:type="dxa"/>
            <w:tcMar>
              <w:top w:w="100" w:type="dxa"/>
              <w:left w:w="120" w:type="dxa"/>
              <w:bottom w:w="100" w:type="dxa"/>
              <w:right w:w="120" w:type="dxa"/>
            </w:tcMar>
            <w:vAlign w:val="center"/>
          </w:tcPr>
          <w:p w14:paraId="7BE0680F" w14:textId="77777777" w:rsidR="002E24B1" w:rsidRDefault="00000000">
            <w:r>
              <w:rPr>
                <w:sz w:val="19"/>
                <w:szCs w:val="19"/>
              </w:rPr>
              <w:t>Training compute above 10^25 FLOP is treated as a presumptive indicator of “systemic risk” for general-purpose AI models</w:t>
            </w:r>
          </w:p>
        </w:tc>
        <w:tc>
          <w:tcPr>
            <w:tcW w:w="2600" w:type="dxa"/>
            <w:shd w:val="clear" w:color="auto" w:fill="F2F2F2"/>
            <w:tcMar>
              <w:top w:w="100" w:type="dxa"/>
              <w:left w:w="120" w:type="dxa"/>
              <w:bottom w:w="100" w:type="dxa"/>
              <w:right w:w="120" w:type="dxa"/>
            </w:tcMar>
            <w:vAlign w:val="center"/>
          </w:tcPr>
          <w:p w14:paraId="6B050986" w14:textId="77777777" w:rsidR="002E24B1" w:rsidRDefault="00000000">
            <w:r>
              <w:rPr>
                <w:sz w:val="19"/>
                <w:szCs w:val="19"/>
              </w:rPr>
              <w:t>Systemic-risk providers must adopt a Safety and Security Framework, run model evaluations and adversarial testing, and document results before release</w:t>
            </w:r>
          </w:p>
        </w:tc>
        <w:tc>
          <w:tcPr>
            <w:tcW w:w="2600" w:type="dxa"/>
            <w:tcMar>
              <w:top w:w="100" w:type="dxa"/>
              <w:left w:w="120" w:type="dxa"/>
              <w:bottom w:w="100" w:type="dxa"/>
              <w:right w:w="120" w:type="dxa"/>
            </w:tcMar>
            <w:vAlign w:val="center"/>
          </w:tcPr>
          <w:p w14:paraId="3B4B401B" w14:textId="77777777" w:rsidR="002E24B1" w:rsidRDefault="00000000">
            <w:r>
              <w:rPr>
                <w:sz w:val="19"/>
                <w:szCs w:val="19"/>
              </w:rPr>
              <w:t>Ongoing incident tracking, mandatory reporting of serious incidents, and AI Office enforcement powers active since August 2026</w:t>
            </w:r>
          </w:p>
        </w:tc>
      </w:tr>
      <w:tr w:rsidR="002E24B1" w14:paraId="5E247D16" w14:textId="77777777">
        <w:tc>
          <w:tcPr>
            <w:tcW w:w="1500" w:type="dxa"/>
            <w:tcMar>
              <w:top w:w="100" w:type="dxa"/>
              <w:left w:w="120" w:type="dxa"/>
              <w:bottom w:w="100" w:type="dxa"/>
              <w:right w:w="120" w:type="dxa"/>
            </w:tcMar>
            <w:vAlign w:val="center"/>
          </w:tcPr>
          <w:p w14:paraId="505C8ECD" w14:textId="77777777" w:rsidR="002E24B1" w:rsidRDefault="00000000">
            <w:r>
              <w:rPr>
                <w:sz w:val="19"/>
                <w:szCs w:val="19"/>
              </w:rPr>
              <w:t>United States (federal)</w:t>
            </w:r>
          </w:p>
        </w:tc>
        <w:tc>
          <w:tcPr>
            <w:tcW w:w="2400" w:type="dxa"/>
            <w:tcMar>
              <w:top w:w="100" w:type="dxa"/>
              <w:left w:w="120" w:type="dxa"/>
              <w:bottom w:w="100" w:type="dxa"/>
              <w:right w:w="120" w:type="dxa"/>
            </w:tcMar>
            <w:vAlign w:val="center"/>
          </w:tcPr>
          <w:p w14:paraId="09DF3128" w14:textId="77777777" w:rsidR="002E24B1" w:rsidRDefault="00000000">
            <w:r>
              <w:rPr>
                <w:sz w:val="19"/>
                <w:szCs w:val="19"/>
              </w:rPr>
              <w:t>“Covered frontier models” to be defined under Executive Order 14409, with cyber capability as the initial focus</w:t>
            </w:r>
          </w:p>
        </w:tc>
        <w:tc>
          <w:tcPr>
            <w:tcW w:w="2600" w:type="dxa"/>
            <w:shd w:val="clear" w:color="auto" w:fill="F2F2F2"/>
            <w:tcMar>
              <w:top w:w="100" w:type="dxa"/>
              <w:left w:w="120" w:type="dxa"/>
              <w:bottom w:w="100" w:type="dxa"/>
              <w:right w:w="120" w:type="dxa"/>
            </w:tcMar>
            <w:vAlign w:val="center"/>
          </w:tcPr>
          <w:p w14:paraId="526D8779" w14:textId="77777777" w:rsidR="002E24B1" w:rsidRDefault="00000000">
            <w:r>
              <w:rPr>
                <w:sz w:val="19"/>
                <w:szCs w:val="19"/>
              </w:rPr>
              <w:t>Voluntary pre-release access (up to 30 days) to a classified benchmarking process for cyber risk; no mandatory licensing or preclearance</w:t>
            </w:r>
          </w:p>
        </w:tc>
        <w:tc>
          <w:tcPr>
            <w:tcW w:w="2600" w:type="dxa"/>
            <w:tcMar>
              <w:top w:w="100" w:type="dxa"/>
              <w:left w:w="120" w:type="dxa"/>
              <w:bottom w:w="100" w:type="dxa"/>
              <w:right w:w="120" w:type="dxa"/>
            </w:tcMar>
            <w:vAlign w:val="center"/>
          </w:tcPr>
          <w:p w14:paraId="4EF312C9" w14:textId="77777777" w:rsidR="002E24B1" w:rsidRDefault="00000000">
            <w:r>
              <w:rPr>
                <w:sz w:val="19"/>
                <w:szCs w:val="19"/>
              </w:rPr>
              <w:t>Federal agencies coordinate benchmarking and threat-sharing; no statutory continuous-monitoring duty at the federal level as of late 2026</w:t>
            </w:r>
          </w:p>
        </w:tc>
      </w:tr>
      <w:tr w:rsidR="002E24B1" w14:paraId="5C0B6AC0" w14:textId="77777777">
        <w:tc>
          <w:tcPr>
            <w:tcW w:w="1500" w:type="dxa"/>
            <w:tcMar>
              <w:top w:w="100" w:type="dxa"/>
              <w:left w:w="120" w:type="dxa"/>
              <w:bottom w:w="100" w:type="dxa"/>
              <w:right w:w="120" w:type="dxa"/>
            </w:tcMar>
            <w:vAlign w:val="center"/>
          </w:tcPr>
          <w:p w14:paraId="38DFAD8D" w14:textId="77777777" w:rsidR="002E24B1" w:rsidRDefault="00000000">
            <w:r>
              <w:rPr>
                <w:sz w:val="19"/>
                <w:szCs w:val="19"/>
              </w:rPr>
              <w:t>California (SB 53 / TFAIA)</w:t>
            </w:r>
          </w:p>
        </w:tc>
        <w:tc>
          <w:tcPr>
            <w:tcW w:w="2400" w:type="dxa"/>
            <w:tcMar>
              <w:top w:w="100" w:type="dxa"/>
              <w:left w:w="120" w:type="dxa"/>
              <w:bottom w:w="100" w:type="dxa"/>
              <w:right w:w="120" w:type="dxa"/>
            </w:tcMar>
            <w:vAlign w:val="center"/>
          </w:tcPr>
          <w:p w14:paraId="7811DE06" w14:textId="77777777" w:rsidR="002E24B1" w:rsidRDefault="00000000">
            <w:r>
              <w:rPr>
                <w:sz w:val="19"/>
                <w:szCs w:val="19"/>
              </w:rPr>
              <w:t>“Frontier developers” defined by training compute; heightened duties for “large frontier developers” above a revenue threshold</w:t>
            </w:r>
          </w:p>
        </w:tc>
        <w:tc>
          <w:tcPr>
            <w:tcW w:w="2600" w:type="dxa"/>
            <w:shd w:val="clear" w:color="auto" w:fill="F2F2F2"/>
            <w:tcMar>
              <w:top w:w="100" w:type="dxa"/>
              <w:left w:w="120" w:type="dxa"/>
              <w:bottom w:w="100" w:type="dxa"/>
              <w:right w:w="120" w:type="dxa"/>
            </w:tcMar>
            <w:vAlign w:val="center"/>
          </w:tcPr>
          <w:p w14:paraId="607F8A48" w14:textId="77777777" w:rsidR="002E24B1" w:rsidRDefault="00000000">
            <w:r>
              <w:rPr>
                <w:sz w:val="19"/>
                <w:szCs w:val="19"/>
              </w:rPr>
              <w:t>Publication of a frontier AI safety framework describing risk-assessment methodology before deploying a covered model</w:t>
            </w:r>
          </w:p>
        </w:tc>
        <w:tc>
          <w:tcPr>
            <w:tcW w:w="2600" w:type="dxa"/>
            <w:tcMar>
              <w:top w:w="100" w:type="dxa"/>
              <w:left w:w="120" w:type="dxa"/>
              <w:bottom w:w="100" w:type="dxa"/>
              <w:right w:w="120" w:type="dxa"/>
            </w:tcMar>
            <w:vAlign w:val="center"/>
          </w:tcPr>
          <w:p w14:paraId="17E8E0F9" w14:textId="77777777" w:rsidR="002E24B1" w:rsidRDefault="00000000">
            <w:r>
              <w:rPr>
                <w:sz w:val="19"/>
                <w:szCs w:val="19"/>
              </w:rPr>
              <w:t>Mandatory reporting of critical safety incidents to California’s Office of Emergency Services within 15 days (24 hours for imminent risk to life), plus whistleblower protections</w:t>
            </w:r>
          </w:p>
        </w:tc>
      </w:tr>
      <w:tr w:rsidR="002E24B1" w14:paraId="4919A59F" w14:textId="77777777">
        <w:tc>
          <w:tcPr>
            <w:tcW w:w="1500" w:type="dxa"/>
            <w:tcMar>
              <w:top w:w="100" w:type="dxa"/>
              <w:left w:w="120" w:type="dxa"/>
              <w:bottom w:w="100" w:type="dxa"/>
              <w:right w:w="120" w:type="dxa"/>
            </w:tcMar>
            <w:vAlign w:val="center"/>
          </w:tcPr>
          <w:p w14:paraId="3D0B2DBA" w14:textId="77777777" w:rsidR="002E24B1" w:rsidRDefault="00000000">
            <w:r>
              <w:rPr>
                <w:sz w:val="19"/>
                <w:szCs w:val="19"/>
              </w:rPr>
              <w:t>United Kingdom</w:t>
            </w:r>
          </w:p>
        </w:tc>
        <w:tc>
          <w:tcPr>
            <w:tcW w:w="2400" w:type="dxa"/>
            <w:tcMar>
              <w:top w:w="100" w:type="dxa"/>
              <w:left w:w="120" w:type="dxa"/>
              <w:bottom w:w="100" w:type="dxa"/>
              <w:right w:w="120" w:type="dxa"/>
            </w:tcMar>
            <w:vAlign w:val="center"/>
          </w:tcPr>
          <w:p w14:paraId="70E61A93" w14:textId="77777777" w:rsidR="002E24B1" w:rsidRDefault="00000000">
            <w:r>
              <w:rPr>
                <w:sz w:val="19"/>
                <w:szCs w:val="19"/>
              </w:rPr>
              <w:t>Non-statutory; AI Security Institute prioritizes models by capability judged through its own evaluation pipeline</w:t>
            </w:r>
          </w:p>
        </w:tc>
        <w:tc>
          <w:tcPr>
            <w:tcW w:w="2600" w:type="dxa"/>
            <w:shd w:val="clear" w:color="auto" w:fill="F2F2F2"/>
            <w:tcMar>
              <w:top w:w="100" w:type="dxa"/>
              <w:left w:w="120" w:type="dxa"/>
              <w:bottom w:w="100" w:type="dxa"/>
              <w:right w:w="120" w:type="dxa"/>
            </w:tcMar>
            <w:vAlign w:val="center"/>
          </w:tcPr>
          <w:p w14:paraId="469669B8" w14:textId="77777777" w:rsidR="002E24B1" w:rsidRDefault="00000000">
            <w:r>
              <w:rPr>
                <w:sz w:val="19"/>
                <w:szCs w:val="19"/>
              </w:rPr>
              <w:t>Voluntary pre-deployment testing agreements with leading developers; no binding legal trigger</w:t>
            </w:r>
          </w:p>
        </w:tc>
        <w:tc>
          <w:tcPr>
            <w:tcW w:w="2600" w:type="dxa"/>
            <w:tcMar>
              <w:top w:w="100" w:type="dxa"/>
              <w:left w:w="120" w:type="dxa"/>
              <w:bottom w:w="100" w:type="dxa"/>
              <w:right w:w="120" w:type="dxa"/>
            </w:tcMar>
            <w:vAlign w:val="center"/>
          </w:tcPr>
          <w:p w14:paraId="13629C7A" w14:textId="77777777" w:rsidR="002E24B1" w:rsidRDefault="00000000">
            <w:r>
              <w:rPr>
                <w:sz w:val="19"/>
                <w:szCs w:val="19"/>
              </w:rPr>
              <w:t>Ongoing capability evaluations and research publication; institute participates in the International AI Safety Report process</w:t>
            </w:r>
          </w:p>
        </w:tc>
      </w:tr>
    </w:tbl>
    <w:p w14:paraId="43DAC9A3" w14:textId="77777777" w:rsidR="00C57E73" w:rsidRDefault="00000000" w:rsidP="00C57E73">
      <w:pPr>
        <w:spacing w:before="80" w:after="240"/>
        <w:jc w:val="center"/>
        <w:rPr>
          <w:i/>
          <w:iCs/>
          <w:sz w:val="20"/>
          <w:szCs w:val="20"/>
        </w:rPr>
      </w:pPr>
      <w:r>
        <w:rPr>
          <w:i/>
          <w:iCs/>
          <w:sz w:val="20"/>
          <w:szCs w:val="20"/>
        </w:rPr>
        <w:t>Table 1. Comparative summary of frontier AI evaluation triggers across selected jurisdictions, as of September 2026.</w:t>
      </w:r>
    </w:p>
    <w:p w14:paraId="3798ED8A" w14:textId="3FBCAA37" w:rsidR="00C57E73" w:rsidRPr="00C57E73" w:rsidRDefault="00C57E73" w:rsidP="00C57E73">
      <w:pPr>
        <w:spacing w:before="80" w:after="240"/>
      </w:pPr>
      <w:r w:rsidRPr="00C57E73">
        <w:lastRenderedPageBreak/>
        <w:t>Two patterns stand out. First every regime uses a scale-based proxy. Compute, revenue or developer size. As either the sole or the primary gate in line with the critique in Section 3.1. None has yet adopted a two-stage screen-then-classify structure like the one proposed here. However the EU’s systemic-risk chapter and California’s incident-reporting duty both add risk- obligations on top of their scale-based gate. That is a step in the right direction.</w:t>
      </w:r>
    </w:p>
    <w:p w14:paraId="41BE4460" w14:textId="77777777" w:rsid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Second jurisdictions differ sharply on whether pre-deployment evaluation's voluntary or mandatory. The EU and California impose binding requirements tied to a trigger. The United States federal approach remains explicitly voluntary. The UK relies on negotiated access than statutory compulsion. This difference matters for the proposed frameworks -border recognition mechanism in Section 5.3. Mutual reliance is harder to make work between a regime and a voluntary one than between two mandatory regimes.</w:t>
      </w:r>
    </w:p>
    <w:p w14:paraId="4C43CCB4" w14:textId="3B763AE5" w:rsidR="002E24B1" w:rsidRDefault="00000000" w:rsidP="00C57E73">
      <w:pPr>
        <w:pStyle w:val="Heading1"/>
        <w:keepNext/>
      </w:pPr>
      <w:r>
        <w:t>7. Limitations and Open Problems</w:t>
      </w:r>
    </w:p>
    <w:p w14:paraId="7699AB1A" w14:textId="75C93B07"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Measurement validity: dangerous-capability benchmarks are proxies for real-world impact. A model’s performance on these benchmarks may not directly translate into risk when used by a specific threat actor with specific resources.</w:t>
      </w:r>
    </w:p>
    <w:p w14:paraId="19F20D28" w14:textId="538A2563"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Evaluator capacity: independent rigorous red-teaming of frontier models requires expertise and computing power. Most national regulators do not have this capability today. That is part of why voluntary access arrangements with developers have been so common in practice.</w:t>
      </w:r>
    </w:p>
    <w:p w14:paraId="010DBC0C" w14:textId="6D363488"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Open-weight models: once model weights are released openly post-deployment obligations like monitoring or revocable authorization become difficult to enforce. The developer loses control over downstream use or fine-tuning.</w:t>
      </w:r>
    </w:p>
    <w:p w14:paraId="545805F6" w14:textId="5E5A3D5E"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Capture and information asymmetry: developers hold the key evidence—training compute data, internal evaluation results—that regulators depend on to apply the framework. This creates a risk that self-reported figures understate capability or compute spending.</w:t>
      </w:r>
    </w:p>
    <w:p w14:paraId="50DF8F93" w14:textId="617B9D9B"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International fragmentation: without a treaty-level or standards-body mechanism for mutual recognition the cross-border reliance system proposed in Section 5.3 depends on voluntary convergence among major regulators. Such convergence has not yet been demonstrated at scale.</w:t>
      </w:r>
    </w:p>
    <w:p w14:paraId="29BA5AB2" w14:textId="77777777" w:rsid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xml:space="preserve">These limitations do not weaken the case for a tiered risk- framework over a single static threshold.. They do mean that any implementation will need sustained investment in public-sector evaluation </w:t>
      </w:r>
      <w:r w:rsidRPr="00C57E73">
        <w:rPr>
          <w:rFonts w:ascii="Calibri" w:eastAsia="Calibri" w:hAnsi="Calibri" w:cs="Calibri"/>
          <w:b w:val="0"/>
          <w:bCs w:val="0"/>
          <w:color w:val="auto"/>
          <w:sz w:val="22"/>
          <w:szCs w:val="22"/>
        </w:rPr>
        <w:lastRenderedPageBreak/>
        <w:t>capacity and in the science behind measuring capabilities. It cannot be achieved by reclassifying existing thresholds through legislation.</w:t>
      </w:r>
    </w:p>
    <w:p w14:paraId="25051639" w14:textId="46F114DE" w:rsidR="002E24B1" w:rsidRDefault="00000000" w:rsidP="00C57E73">
      <w:pPr>
        <w:pStyle w:val="Heading1"/>
        <w:keepNext/>
      </w:pPr>
      <w:r>
        <w:t>8. Recommendations</w:t>
      </w:r>
    </w:p>
    <w:p w14:paraId="5532FF12" w14:textId="5B0383D4"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Separate the coverage question from the intensity question. Use a cost multi-signal capability screen to decide which models get any scrutiny. Reserve resource-intensive independent evaluation for the subset flagged by the screen.</w:t>
      </w:r>
    </w:p>
    <w:p w14:paraId="0B240A6C" w14:textId="1CF4162D"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2. Index quantitative thresholds to a review cycle not to a fixed number in legislation. Designate a body to propose updates regularly.</w:t>
      </w:r>
    </w:p>
    <w:p w14:paraId="0F6165F9" w14:textId="2CB0FD59"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3. Treat -deployment capability-relevant changes. Such as material fine-tuning, new tool integration and critical incidents. As automatic triggers for re-evaluation. Don’t assume a single pre-deployment gate stays valid for the life of a model.</w:t>
      </w:r>
    </w:p>
    <w:p w14:paraId="3FBA27C8" w14:textId="6A4D25D3"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4. Build -border mutual recognition into the framework from the start. Use a " equivalent" standard for foreign evaluations that meet baseline methodological requirements. This avoids burdens that grow with the number of jurisdictions rather than risk.</w:t>
      </w:r>
    </w:p>
    <w:p w14:paraId="6522BA77" w14:textId="566E8E12"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5. Fund independent public-sector evaluation capacity as a priority. Voluntary developer-access arrangements are reasonable in the term but they are not a replacement for regulators’ own ability to verify claims.</w:t>
      </w:r>
    </w:p>
    <w:p w14:paraId="65F39159" w14:textId="77777777" w:rsid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6. Calibrate. Evaluation burden according to tier. Focus the compliance costs and enforcement attention on the smaller group of models where evaluation shows dangerous capability. Do not apply obligations across every model that clears an initial scale-based gate.</w:t>
      </w:r>
    </w:p>
    <w:p w14:paraId="6379058C" w14:textId="30E540CC" w:rsidR="002E24B1" w:rsidRDefault="00000000" w:rsidP="00C57E73">
      <w:pPr>
        <w:pStyle w:val="Heading1"/>
        <w:keepNext/>
      </w:pPr>
      <w:r>
        <w:t>9. Conclusion</w:t>
      </w:r>
    </w:p>
    <w:p w14:paraId="212987FC" w14:textId="27991220" w:rsidR="00C57E73" w:rsidRP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Governments regulating frontier AI face a moving target. The capabilities that pose catastrophic or systemic risk do not map cleanly onto the scale-based proxies. Training compute, revenue, user count. That current laws and executive orders use as regulatory triggers. The European Union, the United States, California and the United Kingdom have each made trade-offs among statutory bindingness, evaluation intensity and administrative feasibility. Each regime reflects the institutional context in which it was developed.</w:t>
      </w:r>
    </w:p>
    <w:p w14:paraId="1051A7A5" w14:textId="36591D68" w:rsidR="00C57E73" w:rsidRDefault="00C57E73" w:rsidP="00C57E73">
      <w:pPr>
        <w:pStyle w:val="Heading1"/>
        <w:keepNext/>
        <w:rPr>
          <w:rFonts w:ascii="Calibri" w:eastAsia="Calibri" w:hAnsi="Calibri" w:cs="Calibri"/>
          <w:b w:val="0"/>
          <w:bCs w:val="0"/>
          <w:color w:val="auto"/>
          <w:sz w:val="22"/>
          <w:szCs w:val="22"/>
        </w:rPr>
      </w:pPr>
      <w:r w:rsidRPr="00C57E73">
        <w:rPr>
          <w:rFonts w:ascii="Calibri" w:eastAsia="Calibri" w:hAnsi="Calibri" w:cs="Calibri"/>
          <w:b w:val="0"/>
          <w:bCs w:val="0"/>
          <w:color w:val="auto"/>
          <w:sz w:val="22"/>
          <w:szCs w:val="22"/>
        </w:rPr>
        <w:t xml:space="preserve">The framework proposed in this paper does not abandon scale-based signals. They remain administratively convenient and empirically useful. It refuses to let them do all the regulatory work. By separating a multi-signal capability screen from a risk-based classification that sets evaluation intensity and by building re-evaluation triggers and cross-border recognition into the design, from the start governments can align the burden of safety evaluation more closely with the actual risk a given model </w:t>
      </w:r>
      <w:r w:rsidRPr="00C57E73">
        <w:rPr>
          <w:rFonts w:ascii="Calibri" w:eastAsia="Calibri" w:hAnsi="Calibri" w:cs="Calibri"/>
          <w:b w:val="0"/>
          <w:bCs w:val="0"/>
          <w:color w:val="auto"/>
          <w:sz w:val="22"/>
          <w:szCs w:val="22"/>
        </w:rPr>
        <w:lastRenderedPageBreak/>
        <w:t>presents.. They can do so in a way that is more likely to stay sound as technology evolves and the proxies used to measure it continue to change.</w:t>
      </w:r>
    </w:p>
    <w:p w14:paraId="2BE71B73" w14:textId="67C87587" w:rsidR="002E24B1" w:rsidRDefault="00000000" w:rsidP="00C57E73">
      <w:pPr>
        <w:pStyle w:val="Heading1"/>
        <w:keepNext/>
      </w:pPr>
      <w:r>
        <w:t>References</w:t>
      </w:r>
    </w:p>
    <w:p w14:paraId="5C14C538" w14:textId="77777777" w:rsidR="002E24B1" w:rsidRDefault="00000000">
      <w:pPr>
        <w:spacing w:after="200"/>
        <w:ind w:left="460" w:hanging="460"/>
      </w:pPr>
      <w:r>
        <w:rPr>
          <w:sz w:val="20"/>
          <w:szCs w:val="20"/>
        </w:rPr>
        <w:t>California State Legislature. (2025). Senate Bill 53, Transparency in Frontier Artificial Intelligence Act. Signed September 29, 2025; effective January 1, 2026.</w:t>
      </w:r>
    </w:p>
    <w:p w14:paraId="23DEE943" w14:textId="77777777" w:rsidR="002E24B1" w:rsidRDefault="00000000">
      <w:pPr>
        <w:spacing w:after="200"/>
        <w:ind w:left="460" w:hanging="460"/>
      </w:pPr>
      <w:r>
        <w:rPr>
          <w:sz w:val="20"/>
          <w:szCs w:val="20"/>
        </w:rPr>
        <w:t>European Commission. (2025). General-Purpose AI Code of Practice. Published July 10, 2025; declared adequate August 1, 2025.</w:t>
      </w:r>
    </w:p>
    <w:p w14:paraId="39A762BE" w14:textId="77777777" w:rsidR="002E24B1" w:rsidRDefault="00000000">
      <w:pPr>
        <w:spacing w:after="200"/>
        <w:ind w:left="460" w:hanging="460"/>
      </w:pPr>
      <w:r>
        <w:rPr>
          <w:sz w:val="20"/>
          <w:szCs w:val="20"/>
        </w:rPr>
        <w:t>European Parliament and Council of the European Union. (2024). Regulation (EU) 2024/1689 laying down harmonised rules on artificial intelligence (Artificial Intelligence Act).</w:t>
      </w:r>
    </w:p>
    <w:p w14:paraId="6583DDBA" w14:textId="77777777" w:rsidR="002E24B1" w:rsidRDefault="00000000">
      <w:pPr>
        <w:spacing w:after="200"/>
        <w:ind w:left="460" w:hanging="460"/>
      </w:pPr>
      <w:r>
        <w:rPr>
          <w:sz w:val="20"/>
          <w:szCs w:val="20"/>
        </w:rPr>
        <w:t>Executive Office of the President. (2026). Executive Order 14409, Promoting Advanced Artificial Intelligence Innovation and Security. June 2, 2026.</w:t>
      </w:r>
    </w:p>
    <w:p w14:paraId="0EDE0616" w14:textId="77777777" w:rsidR="002E24B1" w:rsidRDefault="00000000">
      <w:pPr>
        <w:spacing w:after="200"/>
        <w:ind w:left="460" w:hanging="460"/>
      </w:pPr>
      <w:r>
        <w:rPr>
          <w:sz w:val="20"/>
          <w:szCs w:val="20"/>
        </w:rPr>
        <w:t>Executive Office of the President. (2025). Executive Order, Ensuring a National Policy Framework for Artificial Intelligence. December 11, 2025.</w:t>
      </w:r>
    </w:p>
    <w:p w14:paraId="769C217A" w14:textId="77777777" w:rsidR="002E24B1" w:rsidRDefault="00000000">
      <w:pPr>
        <w:spacing w:after="200"/>
        <w:ind w:left="460" w:hanging="460"/>
      </w:pPr>
      <w:r>
        <w:rPr>
          <w:sz w:val="20"/>
          <w:szCs w:val="20"/>
        </w:rPr>
        <w:t>Future of Privacy Forum. (2025). California's SB 53: The First Frontier AI Law, Explained.</w:t>
      </w:r>
    </w:p>
    <w:p w14:paraId="5EBD3AF5" w14:textId="77777777" w:rsidR="002E24B1" w:rsidRDefault="00000000">
      <w:pPr>
        <w:spacing w:after="200"/>
        <w:ind w:left="460" w:hanging="460"/>
      </w:pPr>
      <w:r>
        <w:rPr>
          <w:sz w:val="20"/>
          <w:szCs w:val="20"/>
        </w:rPr>
        <w:t>UK AI Security Institute. International AI Safety Report and pre-deployment testing agreements with frontier developers.</w:t>
      </w:r>
    </w:p>
    <w:p w14:paraId="1C8BA9BD" w14:textId="77777777" w:rsidR="002E24B1" w:rsidRDefault="00000000">
      <w:pPr>
        <w:spacing w:after="200"/>
        <w:ind w:left="460" w:hanging="460"/>
      </w:pPr>
      <w:r>
        <w:rPr>
          <w:sz w:val="20"/>
          <w:szCs w:val="20"/>
        </w:rPr>
        <w:t>U.S. Congressional Research Service. (2026). Executive Order 14409 Explained. IF13268.</w:t>
      </w:r>
    </w:p>
    <w:p w14:paraId="34FB7E3E" w14:textId="77777777" w:rsidR="002E24B1" w:rsidRDefault="00000000">
      <w:pPr>
        <w:spacing w:after="200"/>
        <w:ind w:left="460" w:hanging="460"/>
      </w:pPr>
      <w:r>
        <w:rPr>
          <w:sz w:val="20"/>
          <w:szCs w:val="20"/>
        </w:rPr>
        <w:t>Anthropic. (2025). Sharing our compliance framework for California's Transparency in Frontier AI Act.</w:t>
      </w:r>
    </w:p>
    <w:sectPr w:rsidR="002E24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F5B2" w14:textId="77777777" w:rsidR="00B02EC9" w:rsidRDefault="00B02EC9">
      <w:r>
        <w:separator/>
      </w:r>
    </w:p>
  </w:endnote>
  <w:endnote w:type="continuationSeparator" w:id="0">
    <w:p w14:paraId="5C682A7F" w14:textId="77777777" w:rsidR="00B02EC9" w:rsidRDefault="00B02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70FF" w14:textId="77777777" w:rsidR="002E24B1"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B691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E2565" w14:textId="77777777" w:rsidR="00B02EC9" w:rsidRDefault="00B02EC9">
      <w:r>
        <w:separator/>
      </w:r>
    </w:p>
  </w:footnote>
  <w:footnote w:type="continuationSeparator" w:id="0">
    <w:p w14:paraId="6799858E" w14:textId="77777777" w:rsidR="00B02EC9" w:rsidRDefault="00B02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1DC1" w14:textId="77777777" w:rsidR="002E24B1" w:rsidRDefault="00000000">
    <w:pPr>
      <w:jc w:val="right"/>
    </w:pPr>
    <w:r>
      <w:rPr>
        <w:i/>
        <w:iCs/>
        <w:color w:val="808080"/>
        <w:sz w:val="16"/>
        <w:szCs w:val="16"/>
      </w:rPr>
      <w:t>Frontier AI Safety Evaluations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3FE1"/>
    <w:multiLevelType w:val="hybridMultilevel"/>
    <w:tmpl w:val="9DE264D6"/>
    <w:lvl w:ilvl="0" w:tplc="D0F8515E">
      <w:start w:val="1"/>
      <w:numFmt w:val="decimal"/>
      <w:lvlText w:val="%1."/>
      <w:lvlJc w:val="left"/>
      <w:pPr>
        <w:ind w:left="460" w:hanging="260"/>
      </w:pPr>
    </w:lvl>
    <w:lvl w:ilvl="1" w:tplc="F55EC682">
      <w:numFmt w:val="decimal"/>
      <w:lvlText w:val=""/>
      <w:lvlJc w:val="left"/>
    </w:lvl>
    <w:lvl w:ilvl="2" w:tplc="FD623446">
      <w:numFmt w:val="decimal"/>
      <w:lvlText w:val=""/>
      <w:lvlJc w:val="left"/>
    </w:lvl>
    <w:lvl w:ilvl="3" w:tplc="C3482ACE">
      <w:numFmt w:val="decimal"/>
      <w:lvlText w:val=""/>
      <w:lvlJc w:val="left"/>
    </w:lvl>
    <w:lvl w:ilvl="4" w:tplc="AFE4629E">
      <w:numFmt w:val="decimal"/>
      <w:lvlText w:val=""/>
      <w:lvlJc w:val="left"/>
    </w:lvl>
    <w:lvl w:ilvl="5" w:tplc="B2723A30">
      <w:numFmt w:val="decimal"/>
      <w:lvlText w:val=""/>
      <w:lvlJc w:val="left"/>
    </w:lvl>
    <w:lvl w:ilvl="6" w:tplc="9FB8F5D0">
      <w:numFmt w:val="decimal"/>
      <w:lvlText w:val=""/>
      <w:lvlJc w:val="left"/>
    </w:lvl>
    <w:lvl w:ilvl="7" w:tplc="D8F81A7A">
      <w:numFmt w:val="decimal"/>
      <w:lvlText w:val=""/>
      <w:lvlJc w:val="left"/>
    </w:lvl>
    <w:lvl w:ilvl="8" w:tplc="0D327698">
      <w:numFmt w:val="decimal"/>
      <w:lvlText w:val=""/>
      <w:lvlJc w:val="left"/>
    </w:lvl>
  </w:abstractNum>
  <w:abstractNum w:abstractNumId="1" w15:restartNumberingAfterBreak="0">
    <w:nsid w:val="409976BA"/>
    <w:multiLevelType w:val="hybridMultilevel"/>
    <w:tmpl w:val="2166BCFC"/>
    <w:lvl w:ilvl="0" w:tplc="8A067902">
      <w:start w:val="1"/>
      <w:numFmt w:val="bullet"/>
      <w:lvlText w:val="•"/>
      <w:lvlJc w:val="left"/>
      <w:pPr>
        <w:ind w:left="460" w:hanging="260"/>
      </w:pPr>
    </w:lvl>
    <w:lvl w:ilvl="1" w:tplc="C4FA463A">
      <w:start w:val="1"/>
      <w:numFmt w:val="bullet"/>
      <w:lvlText w:val="◦"/>
      <w:lvlJc w:val="left"/>
      <w:pPr>
        <w:ind w:left="920" w:hanging="260"/>
      </w:pPr>
    </w:lvl>
    <w:lvl w:ilvl="2" w:tplc="7BECA37A">
      <w:numFmt w:val="decimal"/>
      <w:lvlText w:val=""/>
      <w:lvlJc w:val="left"/>
    </w:lvl>
    <w:lvl w:ilvl="3" w:tplc="323ED06E">
      <w:numFmt w:val="decimal"/>
      <w:lvlText w:val=""/>
      <w:lvlJc w:val="left"/>
    </w:lvl>
    <w:lvl w:ilvl="4" w:tplc="AE3E0A16">
      <w:numFmt w:val="decimal"/>
      <w:lvlText w:val=""/>
      <w:lvlJc w:val="left"/>
    </w:lvl>
    <w:lvl w:ilvl="5" w:tplc="4AB2F96C">
      <w:numFmt w:val="decimal"/>
      <w:lvlText w:val=""/>
      <w:lvlJc w:val="left"/>
    </w:lvl>
    <w:lvl w:ilvl="6" w:tplc="59B620EE">
      <w:numFmt w:val="decimal"/>
      <w:lvlText w:val=""/>
      <w:lvlJc w:val="left"/>
    </w:lvl>
    <w:lvl w:ilvl="7" w:tplc="98EE50E8">
      <w:numFmt w:val="decimal"/>
      <w:lvlText w:val=""/>
      <w:lvlJc w:val="left"/>
    </w:lvl>
    <w:lvl w:ilvl="8" w:tplc="37B8E798">
      <w:numFmt w:val="decimal"/>
      <w:lvlText w:val=""/>
      <w:lvlJc w:val="left"/>
    </w:lvl>
  </w:abstractNum>
  <w:abstractNum w:abstractNumId="2" w15:restartNumberingAfterBreak="0">
    <w:nsid w:val="7DB25BF1"/>
    <w:multiLevelType w:val="hybridMultilevel"/>
    <w:tmpl w:val="38A6C04E"/>
    <w:lvl w:ilvl="0" w:tplc="F5D6D636">
      <w:start w:val="1"/>
      <w:numFmt w:val="bullet"/>
      <w:lvlText w:val="●"/>
      <w:lvlJc w:val="left"/>
      <w:pPr>
        <w:ind w:left="720" w:hanging="360"/>
      </w:pPr>
    </w:lvl>
    <w:lvl w:ilvl="1" w:tplc="502C0940">
      <w:start w:val="1"/>
      <w:numFmt w:val="bullet"/>
      <w:lvlText w:val="○"/>
      <w:lvlJc w:val="left"/>
      <w:pPr>
        <w:ind w:left="1440" w:hanging="360"/>
      </w:pPr>
    </w:lvl>
    <w:lvl w:ilvl="2" w:tplc="5CDA8BA6">
      <w:start w:val="1"/>
      <w:numFmt w:val="bullet"/>
      <w:lvlText w:val="■"/>
      <w:lvlJc w:val="left"/>
      <w:pPr>
        <w:ind w:left="2160" w:hanging="360"/>
      </w:pPr>
    </w:lvl>
    <w:lvl w:ilvl="3" w:tplc="CE784D8C">
      <w:start w:val="1"/>
      <w:numFmt w:val="bullet"/>
      <w:lvlText w:val="●"/>
      <w:lvlJc w:val="left"/>
      <w:pPr>
        <w:ind w:left="2880" w:hanging="360"/>
      </w:pPr>
    </w:lvl>
    <w:lvl w:ilvl="4" w:tplc="633EAD54">
      <w:start w:val="1"/>
      <w:numFmt w:val="bullet"/>
      <w:lvlText w:val="○"/>
      <w:lvlJc w:val="left"/>
      <w:pPr>
        <w:ind w:left="3600" w:hanging="360"/>
      </w:pPr>
    </w:lvl>
    <w:lvl w:ilvl="5" w:tplc="1B26EEAE">
      <w:start w:val="1"/>
      <w:numFmt w:val="bullet"/>
      <w:lvlText w:val="■"/>
      <w:lvlJc w:val="left"/>
      <w:pPr>
        <w:ind w:left="4320" w:hanging="360"/>
      </w:pPr>
    </w:lvl>
    <w:lvl w:ilvl="6" w:tplc="279E2C1A">
      <w:start w:val="1"/>
      <w:numFmt w:val="bullet"/>
      <w:lvlText w:val="●"/>
      <w:lvlJc w:val="left"/>
      <w:pPr>
        <w:ind w:left="5040" w:hanging="360"/>
      </w:pPr>
    </w:lvl>
    <w:lvl w:ilvl="7" w:tplc="559CBE62">
      <w:start w:val="1"/>
      <w:numFmt w:val="bullet"/>
      <w:lvlText w:val="●"/>
      <w:lvlJc w:val="left"/>
      <w:pPr>
        <w:ind w:left="5760" w:hanging="360"/>
      </w:pPr>
    </w:lvl>
    <w:lvl w:ilvl="8" w:tplc="2C58A446">
      <w:start w:val="1"/>
      <w:numFmt w:val="bullet"/>
      <w:lvlText w:val="●"/>
      <w:lvlJc w:val="left"/>
      <w:pPr>
        <w:ind w:left="6480" w:hanging="360"/>
      </w:pPr>
    </w:lvl>
  </w:abstractNum>
  <w:num w:numId="1" w16cid:durableId="1167746156">
    <w:abstractNumId w:val="2"/>
    <w:lvlOverride w:ilvl="0">
      <w:startOverride w:val="1"/>
    </w:lvlOverride>
  </w:num>
  <w:num w:numId="2" w16cid:durableId="885335351">
    <w:abstractNumId w:val="1"/>
    <w:lvlOverride w:ilvl="0">
      <w:startOverride w:val="1"/>
    </w:lvlOverride>
  </w:num>
  <w:num w:numId="3" w16cid:durableId="1209682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4B1"/>
    <w:rsid w:val="000C0010"/>
    <w:rsid w:val="00267868"/>
    <w:rsid w:val="002E24B1"/>
    <w:rsid w:val="00931EC1"/>
    <w:rsid w:val="00B02EC9"/>
    <w:rsid w:val="00C40C85"/>
    <w:rsid w:val="00C57E73"/>
    <w:rsid w:val="00DB6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9121"/>
  <w15:docId w15:val="{3F1B03A1-3CFF-4BE4-8E72-155A5652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1F3864"/>
      <w:sz w:val="30"/>
      <w:szCs w:val="30"/>
    </w:rPr>
  </w:style>
  <w:style w:type="paragraph" w:styleId="Heading2">
    <w:name w:val="heading 2"/>
    <w:uiPriority w:val="9"/>
    <w:unhideWhenUsed/>
    <w:qFormat/>
    <w:pPr>
      <w:spacing w:before="260" w:after="120"/>
      <w:outlineLvl w:val="1"/>
    </w:pPr>
    <w:rPr>
      <w:rFonts w:ascii="Georgia" w:eastAsia="Georgia" w:hAnsi="Georgia" w:cs="Georgia"/>
      <w:b/>
      <w:bCs/>
      <w:color w:val="2E5395"/>
      <w:sz w:val="25"/>
      <w:szCs w:val="25"/>
    </w:rPr>
  </w:style>
  <w:style w:type="paragraph" w:styleId="Heading3">
    <w:name w:val="heading 3"/>
    <w:uiPriority w:val="9"/>
    <w:semiHidden/>
    <w:unhideWhenUsed/>
    <w:qFormat/>
    <w:pPr>
      <w:spacing w:before="200" w:after="100"/>
      <w:outlineLvl w:val="2"/>
    </w:pPr>
    <w:rPr>
      <w:rFonts w:ascii="Georgia" w:eastAsia="Georgia" w:hAnsi="Georgia" w:cs="Georgia"/>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57E7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Satyarthi</cp:lastModifiedBy>
  <cp:revision>3</cp:revision>
  <dcterms:created xsi:type="dcterms:W3CDTF">2026-09-13T11:59:00Z</dcterms:created>
  <dcterms:modified xsi:type="dcterms:W3CDTF">2026-09-13T13:17:00Z</dcterms:modified>
</cp:coreProperties>
</file>