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BB2F" w14:textId="77777777" w:rsidR="00572490" w:rsidRDefault="00000000">
      <w:pPr>
        <w:spacing w:before="1600"/>
        <w:jc w:val="center"/>
      </w:pPr>
      <w:r>
        <w:rPr>
          <w:b/>
          <w:bCs/>
          <w:color w:val="1F3864"/>
          <w:sz w:val="40"/>
          <w:szCs w:val="40"/>
        </w:rPr>
        <w:t>Who Decides When AI Is Too Dangerous?</w:t>
      </w:r>
    </w:p>
    <w:p w14:paraId="4813C72D" w14:textId="77777777" w:rsidR="00572490" w:rsidRDefault="00000000">
      <w:pPr>
        <w:spacing w:before="200" w:after="600"/>
        <w:jc w:val="center"/>
      </w:pPr>
      <w:r>
        <w:rPr>
          <w:i/>
          <w:iCs/>
          <w:color w:val="2E5395"/>
          <w:sz w:val="28"/>
          <w:szCs w:val="28"/>
        </w:rPr>
        <w:t>Toward a Capability-Based Threshold for Mandatory Frontier AI Safety Evaluations</w:t>
      </w:r>
    </w:p>
    <w:p w14:paraId="39CCDFAA" w14:textId="77777777" w:rsidR="00572490" w:rsidRDefault="00000000">
      <w:pPr>
        <w:spacing w:before="1200"/>
        <w:jc w:val="center"/>
      </w:pPr>
      <w:r>
        <w:rPr>
          <w:color w:val="444444"/>
        </w:rPr>
        <w:t>A Research Paper on Frontier AI Governance</w:t>
      </w:r>
    </w:p>
    <w:p w14:paraId="03AD6031" w14:textId="348349A3" w:rsidR="00572490" w:rsidRDefault="006F273D">
      <w:pPr>
        <w:spacing w:before="100"/>
        <w:jc w:val="center"/>
      </w:pPr>
      <w:r>
        <w:rPr>
          <w:color w:val="444444"/>
        </w:rPr>
        <w:t>Aditya Satyarthi</w:t>
      </w:r>
    </w:p>
    <w:p w14:paraId="2D4FECB4" w14:textId="77777777" w:rsidR="00572490" w:rsidRDefault="00000000">
      <w:r>
        <w:br w:type="page"/>
      </w:r>
    </w:p>
    <w:p w14:paraId="6E387201" w14:textId="77777777" w:rsidR="00572490" w:rsidRDefault="00000000">
      <w:pPr>
        <w:pStyle w:val="Heading1"/>
      </w:pPr>
      <w:r>
        <w:lastRenderedPageBreak/>
        <w:t>Abstract</w:t>
      </w:r>
    </w:p>
    <w:p w14:paraId="4FFE4DC4" w14:textId="77777777" w:rsidR="00D422CB" w:rsidRDefault="00D422CB" w:rsidP="00D422CB">
      <w:r>
        <w:t xml:space="preserve">Frontier artificial intelligence systems are now often trained using compute than is required to trigger mandatory oversight under the European Union AI Act, Californias Transparency in Frontier Artificial Intelligence Act (SB 53) New Yorks RAISE Act and </w:t>
      </w:r>
      <w:proofErr w:type="spellStart"/>
      <w:r>
        <w:t>Illinoiss</w:t>
      </w:r>
      <w:proofErr w:type="spellEnd"/>
      <w:r>
        <w:t xml:space="preserve"> SB 315.</w:t>
      </w:r>
    </w:p>
    <w:p w14:paraId="69FA3051" w14:textId="77777777" w:rsidR="00D422CB" w:rsidRDefault="00D422CB" w:rsidP="00D422CB"/>
    <w:p w14:paraId="3E1C84A5" w14:textId="77777777" w:rsidR="00D422CB" w:rsidRDefault="00D422CB" w:rsidP="00D422CB">
      <w:r>
        <w:t xml:space="preserve">None of these rules answer a plain question that a legislator, a company safety team or a fellowship reviewer must ask: how dangerous does a model need to be before a </w:t>
      </w:r>
      <w:proofErr w:type="gramStart"/>
      <w:r>
        <w:t>law forces</w:t>
      </w:r>
      <w:proofErr w:type="gramEnd"/>
      <w:r>
        <w:t xml:space="preserve"> someone to pause and examine it?</w:t>
      </w:r>
    </w:p>
    <w:p w14:paraId="67197306" w14:textId="77777777" w:rsidR="00D422CB" w:rsidRDefault="00D422CB" w:rsidP="00D422CB"/>
    <w:p w14:paraId="565E9926" w14:textId="77777777" w:rsidR="00D422CB" w:rsidRDefault="00D422CB" w:rsidP="00D422CB">
      <w:r>
        <w:t xml:space="preserve">Compute thresholds answer </w:t>
      </w:r>
      <w:proofErr w:type="gramStart"/>
      <w:r>
        <w:t>a</w:t>
      </w:r>
      <w:proofErr w:type="gramEnd"/>
      <w:r>
        <w:t xml:space="preserve"> easier question: how expensive </w:t>
      </w:r>
      <w:proofErr w:type="gramStart"/>
      <w:r>
        <w:t>was it</w:t>
      </w:r>
      <w:proofErr w:type="gramEnd"/>
      <w:r>
        <w:t xml:space="preserve"> to build the model. They are becoming separate from risk because algorithmic efficiency improves and post</w:t>
      </w:r>
      <w:r>
        <w:rPr>
          <w:rFonts w:ascii="Cambria Math" w:hAnsi="Cambria Math" w:cs="Cambria Math"/>
        </w:rPr>
        <w:t>‑</w:t>
      </w:r>
      <w:r>
        <w:t>training methods give power without more pre</w:t>
      </w:r>
      <w:r>
        <w:rPr>
          <w:rFonts w:ascii="Cambria Math" w:hAnsi="Cambria Math" w:cs="Cambria Math"/>
        </w:rPr>
        <w:t>‑</w:t>
      </w:r>
      <w:r>
        <w:t>training compute.</w:t>
      </w:r>
    </w:p>
    <w:p w14:paraId="06263D32" w14:textId="77777777" w:rsidR="00D422CB" w:rsidRDefault="00D422CB" w:rsidP="00D422CB"/>
    <w:p w14:paraId="04065A58" w14:textId="77777777" w:rsidR="00D422CB" w:rsidRDefault="00D422CB" w:rsidP="00D422CB">
      <w:r>
        <w:t>This paper says that mandatory frontier safety checks should start when dangerous capability is shown or likely, not just because training cost is high.</w:t>
      </w:r>
    </w:p>
    <w:p w14:paraId="02C497C5" w14:textId="77777777" w:rsidR="00D422CB" w:rsidRDefault="00D422CB" w:rsidP="00D422CB"/>
    <w:p w14:paraId="4AFF2414" w14:textId="77777777" w:rsidR="00D422CB" w:rsidRDefault="00D422CB" w:rsidP="00D422CB">
      <w:r>
        <w:t>It proposes a four</w:t>
      </w:r>
      <w:r>
        <w:rPr>
          <w:rFonts w:ascii="Cambria Math" w:hAnsi="Cambria Math" w:cs="Cambria Math"/>
        </w:rPr>
        <w:t>‑</w:t>
      </w:r>
      <w:r>
        <w:t>tier Capability</w:t>
      </w:r>
      <w:r>
        <w:rPr>
          <w:rFonts w:ascii="Cambria Math" w:hAnsi="Cambria Math" w:cs="Cambria Math"/>
        </w:rPr>
        <w:t>‑</w:t>
      </w:r>
      <w:r>
        <w:t>Based Threshold (CBT) framework.</w:t>
      </w:r>
    </w:p>
    <w:p w14:paraId="3917DFFF" w14:textId="77777777" w:rsidR="00D422CB" w:rsidRDefault="00D422CB" w:rsidP="00D422CB"/>
    <w:p w14:paraId="63F9041D" w14:textId="77777777" w:rsidR="00D422CB" w:rsidRDefault="00D422CB" w:rsidP="00D422CB">
      <w:r>
        <w:t>In this framework compute is only a cheap first filter.</w:t>
      </w:r>
    </w:p>
    <w:p w14:paraId="631FBB81" w14:textId="77777777" w:rsidR="00D422CB" w:rsidRDefault="00D422CB" w:rsidP="00D422CB"/>
    <w:p w14:paraId="53691E13" w14:textId="77777777" w:rsidR="00D422CB" w:rsidRDefault="00D422CB" w:rsidP="00D422CB">
      <w:r>
        <w:t>After that standard, domain</w:t>
      </w:r>
      <w:r>
        <w:rPr>
          <w:rFonts w:ascii="Cambria Math" w:hAnsi="Cambria Math" w:cs="Cambria Math"/>
        </w:rPr>
        <w:t>‑</w:t>
      </w:r>
      <w:r>
        <w:t>specific dangerous</w:t>
      </w:r>
      <w:r>
        <w:rPr>
          <w:rFonts w:ascii="Cambria Math" w:hAnsi="Cambria Math" w:cs="Cambria Math"/>
        </w:rPr>
        <w:t>‑</w:t>
      </w:r>
      <w:r>
        <w:t>capability checks are done by a mixed public</w:t>
      </w:r>
      <w:r>
        <w:rPr>
          <w:rFonts w:ascii="Cambria Math" w:hAnsi="Cambria Math" w:cs="Cambria Math"/>
        </w:rPr>
        <w:t>‑</w:t>
      </w:r>
      <w:r>
        <w:t>private team.</w:t>
      </w:r>
    </w:p>
    <w:p w14:paraId="02B3B36B" w14:textId="77777777" w:rsidR="00D422CB" w:rsidRDefault="00D422CB" w:rsidP="00D422CB"/>
    <w:p w14:paraId="42F6D4A8" w14:textId="77777777" w:rsidR="00D422CB" w:rsidRDefault="00D422CB" w:rsidP="00D422CB">
      <w:r>
        <w:t>The paper explains who must run the checks how thresholds are set and changed, what to do when a model passes a threshold and how the framework can work with laws and voluntary rules instead of replacing them.</w:t>
      </w:r>
    </w:p>
    <w:p w14:paraId="12490123" w14:textId="77777777" w:rsidR="00D422CB" w:rsidRDefault="00D422CB" w:rsidP="00D422CB"/>
    <w:p w14:paraId="788CF0AC" w14:textId="15BD4680" w:rsidR="00572490" w:rsidRDefault="00D422CB" w:rsidP="00D422CB">
      <w:r>
        <w:t>It ends by addressing the framework’s weaknesses—measurement validity, regulatory capture and the speed gap between law and model development—rather than pretending the problem is solved.</w:t>
      </w:r>
      <w:r>
        <w:br w:type="page"/>
      </w:r>
    </w:p>
    <w:p w14:paraId="51F9E0F5" w14:textId="77777777" w:rsidR="00572490" w:rsidRDefault="00000000">
      <w:pPr>
        <w:pStyle w:val="Heading1"/>
      </w:pPr>
      <w:r>
        <w:lastRenderedPageBreak/>
        <w:t>1. Introduction</w:t>
      </w:r>
    </w:p>
    <w:p w14:paraId="0A271801"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In August 2025 the EU AI Act’s General</w:t>
      </w:r>
      <w:r w:rsidRPr="00D422CB">
        <w:rPr>
          <w:rFonts w:ascii="Calibri" w:hAnsi="Calibri" w:cs="Calibri"/>
          <w:color w:val="000000" w:themeColor="text1"/>
          <w:sz w:val="22"/>
          <w:szCs w:val="22"/>
        </w:rPr>
        <w:noBreakHyphen/>
        <w:t>Purpose AI Code of Practice started to apply to developers whose models were trained with than 10^25 floating</w:t>
      </w:r>
      <w:r w:rsidRPr="00D422CB">
        <w:rPr>
          <w:rFonts w:ascii="Calibri" w:hAnsi="Calibri" w:cs="Calibri"/>
          <w:color w:val="000000" w:themeColor="text1"/>
          <w:sz w:val="22"/>
          <w:szCs w:val="22"/>
        </w:rPr>
        <w:noBreakHyphen/>
        <w:t>point operations (FLOPs).</w:t>
      </w:r>
    </w:p>
    <w:p w14:paraId="18D088C7"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In January 2026 California’s SB 53 applied the rule at 10^26 FLOPs for developers earning more than $500 million each year.</w:t>
      </w:r>
    </w:p>
    <w:p w14:paraId="131BE66E"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New York’s RAISE Act and Illinois’s SB 315 will add tests in 2027 and 2028.</w:t>
      </w:r>
    </w:p>
    <w:p w14:paraId="3063BCEA"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Each of these laws was written, debated and passed on the assumption that training compute can stand in for how capable and thus how dangerous a model might be.</w:t>
      </w:r>
    </w:p>
    <w:p w14:paraId="7D532443"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That assumption is being challenged.</w:t>
      </w:r>
    </w:p>
    <w:p w14:paraId="79A31493"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Efficiency gains have shown that low</w:t>
      </w:r>
      <w:r w:rsidRPr="00D422CB">
        <w:rPr>
          <w:rFonts w:ascii="Calibri" w:hAnsi="Calibri" w:cs="Calibri"/>
          <w:color w:val="000000" w:themeColor="text1"/>
          <w:sz w:val="22"/>
          <w:szCs w:val="22"/>
        </w:rPr>
        <w:noBreakHyphen/>
        <w:t>compute models can reach performance.</w:t>
      </w:r>
    </w:p>
    <w:p w14:paraId="00593D86"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A fixed FLOP count no longer reliably tells models from safe ones.</w:t>
      </w:r>
    </w:p>
    <w:p w14:paraId="7A99E35E"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A model trained below a threshold can. Beat a model trained above it.</w:t>
      </w:r>
    </w:p>
    <w:p w14:paraId="7CB474FF"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At the time post</w:t>
      </w:r>
      <w:r w:rsidRPr="00D422CB">
        <w:rPr>
          <w:rFonts w:ascii="Calibri" w:hAnsi="Calibri" w:cs="Calibri"/>
          <w:color w:val="000000" w:themeColor="text1"/>
          <w:sz w:val="22"/>
          <w:szCs w:val="22"/>
        </w:rPr>
        <w:noBreakHyphen/>
        <w:t>training techniques—fine</w:t>
      </w:r>
      <w:r w:rsidRPr="00D422CB">
        <w:rPr>
          <w:rFonts w:ascii="Calibri" w:hAnsi="Calibri" w:cs="Calibri"/>
          <w:color w:val="000000" w:themeColor="text1"/>
          <w:sz w:val="22"/>
          <w:szCs w:val="22"/>
        </w:rPr>
        <w:noBreakHyphen/>
        <w:t>tuning, scaffolding, tool use and inference</w:t>
      </w:r>
      <w:r w:rsidRPr="00D422CB">
        <w:rPr>
          <w:rFonts w:ascii="Calibri" w:hAnsi="Calibri" w:cs="Calibri"/>
          <w:color w:val="000000" w:themeColor="text1"/>
          <w:sz w:val="22"/>
          <w:szCs w:val="22"/>
        </w:rPr>
        <w:noBreakHyphen/>
        <w:t xml:space="preserve">time compute—can raise a model’s real capability far beyond what its training compute would </w:t>
      </w:r>
      <w:proofErr w:type="gramStart"/>
      <w:r w:rsidRPr="00D422CB">
        <w:rPr>
          <w:rFonts w:ascii="Calibri" w:hAnsi="Calibri" w:cs="Calibri"/>
          <w:color w:val="000000" w:themeColor="text1"/>
          <w:sz w:val="22"/>
          <w:szCs w:val="22"/>
        </w:rPr>
        <w:t>suggest</w:t>
      </w:r>
      <w:proofErr w:type="gramEnd"/>
      <w:r w:rsidRPr="00D422CB">
        <w:rPr>
          <w:rFonts w:ascii="Calibri" w:hAnsi="Calibri" w:cs="Calibri"/>
          <w:color w:val="000000" w:themeColor="text1"/>
          <w:sz w:val="22"/>
          <w:szCs w:val="22"/>
        </w:rPr>
        <w:t xml:space="preserve"> and these changes do not trigger any training</w:t>
      </w:r>
      <w:r w:rsidRPr="00D422CB">
        <w:rPr>
          <w:rFonts w:ascii="Calibri" w:hAnsi="Calibri" w:cs="Calibri"/>
          <w:color w:val="000000" w:themeColor="text1"/>
          <w:sz w:val="22"/>
          <w:szCs w:val="22"/>
        </w:rPr>
        <w:noBreakHyphen/>
        <w:t>time threshold.</w:t>
      </w:r>
    </w:p>
    <w:p w14:paraId="31F95FC9"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 xml:space="preserve">Regulators built </w:t>
      </w:r>
      <w:proofErr w:type="gramStart"/>
      <w:r w:rsidRPr="00D422CB">
        <w:rPr>
          <w:rFonts w:ascii="Calibri" w:hAnsi="Calibri" w:cs="Calibri"/>
          <w:color w:val="000000" w:themeColor="text1"/>
          <w:sz w:val="22"/>
          <w:szCs w:val="22"/>
        </w:rPr>
        <w:t>a</w:t>
      </w:r>
      <w:proofErr w:type="gramEnd"/>
      <w:r w:rsidRPr="00D422CB">
        <w:rPr>
          <w:rFonts w:ascii="Calibri" w:hAnsi="Calibri" w:cs="Calibri"/>
          <w:color w:val="000000" w:themeColor="text1"/>
          <w:sz w:val="22"/>
          <w:szCs w:val="22"/>
        </w:rPr>
        <w:t xml:space="preserve"> auditable proxy and then saw the link between the proxy and real catastrophic capability weaken.</w:t>
      </w:r>
    </w:p>
    <w:p w14:paraId="46DC7351"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This paper takes seriously why regulators chose compute at first: it is objective can be verified ahead of time and is hard to fake.</w:t>
      </w:r>
    </w:p>
    <w:p w14:paraId="1240C757"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It argues that compute should stay for its real strength—a rough early filter deciding who must show work.</w:t>
      </w:r>
    </w:p>
    <w:p w14:paraId="5A2C1112"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The real question—whether a model is too dangerous to use without safeguards—should be answered by capability checks based on domain</w:t>
      </w:r>
      <w:r w:rsidRPr="00D422CB">
        <w:rPr>
          <w:rFonts w:ascii="Calibri" w:hAnsi="Calibri" w:cs="Calibri"/>
          <w:color w:val="000000" w:themeColor="text1"/>
          <w:sz w:val="22"/>
          <w:szCs w:val="22"/>
        </w:rPr>
        <w:noBreakHyphen/>
        <w:t>specific harm thresholds.</w:t>
      </w:r>
    </w:p>
    <w:p w14:paraId="6797CFC8" w14:textId="77777777" w:rsidR="00D422CB" w:rsidRPr="00D422CB" w:rsidRDefault="00D422CB" w:rsidP="00D422CB">
      <w:pPr>
        <w:pStyle w:val="NormalWeb"/>
        <w:shd w:val="clear" w:color="auto" w:fill="FFFFFF"/>
        <w:spacing w:before="150" w:beforeAutospacing="0"/>
        <w:rPr>
          <w:rFonts w:ascii="Calibri" w:hAnsi="Calibri" w:cs="Calibri"/>
          <w:color w:val="000000" w:themeColor="text1"/>
          <w:sz w:val="22"/>
          <w:szCs w:val="22"/>
        </w:rPr>
      </w:pPr>
      <w:r w:rsidRPr="00D422CB">
        <w:rPr>
          <w:rFonts w:ascii="Calibri" w:hAnsi="Calibri" w:cs="Calibri"/>
          <w:color w:val="000000" w:themeColor="text1"/>
          <w:sz w:val="22"/>
          <w:szCs w:val="22"/>
        </w:rPr>
        <w:t>The main contribution of this paper is not the idea that capability checks matter—everyone in labs, academia and government already knows that—. A clear institutional answer to a hard question, in the title: who runs these checks, who can say a threshold is crossed and what legal steps follow.</w:t>
      </w:r>
    </w:p>
    <w:p w14:paraId="4EBFDB94" w14:textId="77777777" w:rsidR="00572490" w:rsidRDefault="00000000">
      <w:pPr>
        <w:pStyle w:val="Heading1"/>
      </w:pPr>
      <w:r>
        <w:t>2. The Governance Problem: Defining “Too Dangerous”</w:t>
      </w:r>
    </w:p>
    <w:p w14:paraId="3157A298" w14:textId="77777777" w:rsidR="00572490" w:rsidRDefault="00000000">
      <w:pPr>
        <w:pStyle w:val="Heading2"/>
      </w:pPr>
      <w:r>
        <w:t>2.1 Why Thresholds Matter</w:t>
      </w:r>
    </w:p>
    <w:p w14:paraId="38AE4603" w14:textId="77777777" w:rsidR="00D422CB" w:rsidRDefault="00D422CB">
      <w:pPr>
        <w:pStyle w:val="Heading2"/>
        <w:rPr>
          <w:b w:val="0"/>
          <w:bCs w:val="0"/>
          <w:color w:val="auto"/>
          <w:sz w:val="22"/>
          <w:szCs w:val="22"/>
        </w:rPr>
      </w:pPr>
      <w:r w:rsidRPr="00D422CB">
        <w:rPr>
          <w:b w:val="0"/>
          <w:bCs w:val="0"/>
          <w:color w:val="auto"/>
          <w:sz w:val="22"/>
          <w:szCs w:val="22"/>
        </w:rPr>
        <w:lastRenderedPageBreak/>
        <w:t>A threshold has three jobs in AI governance at the time. It acts as a filter separating the number of frontier developers who have special responsibilities from the much larger group of normal AI uses that don’t. It works as a trigger turning a fact. A model crossed line X. Into a result like a required report, a needed protection or a limit on use. It also serves as a signal letting developers know ahead of time what they are expected to do so safety work can be planned of done on the spot. Any good system needs to do all three things and the challenge in rules comes from the fact that compute and capability are good at different parts: compute is great at filtering and bad at triggering while capability checks are a fair trigger but without standardization bad at sending a signal because developers can’t fully know what an evaluation will find.</w:t>
      </w:r>
    </w:p>
    <w:p w14:paraId="0E716A15" w14:textId="7BE91A98" w:rsidR="00572490" w:rsidRDefault="00000000">
      <w:pPr>
        <w:pStyle w:val="Heading2"/>
      </w:pPr>
      <w:r>
        <w:t>2.2 The Current Patchwork</w:t>
      </w:r>
    </w:p>
    <w:p w14:paraId="0347E082" w14:textId="07871AE4" w:rsidR="00D422CB" w:rsidRPr="00D422CB" w:rsidRDefault="00D422CB" w:rsidP="00D422CB">
      <w:pPr>
        <w:spacing w:after="200" w:line="276" w:lineRule="auto"/>
        <w:jc w:val="both"/>
      </w:pPr>
      <w:r w:rsidRPr="00D422CB">
        <w:t xml:space="preserve">The table below shows where major laws and voluntary systems currently set their limits. The pattern is the same: every system uses compute as the only automatic trigger and treats capability checks either as a choice the lab makes (in the case of lab Responsible Scaling Policies and Preparedness/Frontier Governance Frameworks) or as a choice a regulator makes instead of a legal result (as, in the European </w:t>
      </w:r>
      <w:proofErr w:type="spellStart"/>
      <w:r w:rsidRPr="00D422CB">
        <w:t>Commissions</w:t>
      </w:r>
      <w:proofErr w:type="spellEnd"/>
      <w:r w:rsidRPr="00D422CB">
        <w:t xml:space="preserve"> power to label a model as high-risk regardless of compute).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200"/>
        <w:gridCol w:w="3000"/>
      </w:tblGrid>
      <w:tr w:rsidR="00572490" w14:paraId="14B2B757" w14:textId="77777777">
        <w:tc>
          <w:tcPr>
            <w:tcW w:w="2000" w:type="dxa"/>
            <w:shd w:val="clear" w:color="auto" w:fill="1F3864"/>
            <w:tcMar>
              <w:top w:w="80" w:type="dxa"/>
              <w:left w:w="100" w:type="dxa"/>
              <w:bottom w:w="80" w:type="dxa"/>
              <w:right w:w="100" w:type="dxa"/>
            </w:tcMar>
          </w:tcPr>
          <w:p w14:paraId="73D53B47" w14:textId="77777777" w:rsidR="00572490" w:rsidRDefault="00000000">
            <w:r>
              <w:rPr>
                <w:b/>
                <w:bCs/>
                <w:color w:val="FFFFFF"/>
                <w:sz w:val="19"/>
                <w:szCs w:val="19"/>
              </w:rPr>
              <w:t>Regime</w:t>
            </w:r>
          </w:p>
        </w:tc>
        <w:tc>
          <w:tcPr>
            <w:tcW w:w="2600" w:type="dxa"/>
            <w:shd w:val="clear" w:color="auto" w:fill="1F3864"/>
            <w:tcMar>
              <w:top w:w="80" w:type="dxa"/>
              <w:left w:w="100" w:type="dxa"/>
              <w:bottom w:w="80" w:type="dxa"/>
              <w:right w:w="100" w:type="dxa"/>
            </w:tcMar>
          </w:tcPr>
          <w:p w14:paraId="56500788" w14:textId="77777777" w:rsidR="00572490" w:rsidRDefault="00000000">
            <w:r>
              <w:rPr>
                <w:b/>
                <w:bCs/>
                <w:color w:val="FFFFFF"/>
                <w:sz w:val="19"/>
                <w:szCs w:val="19"/>
              </w:rPr>
              <w:t>Automatic Trigger</w:t>
            </w:r>
          </w:p>
        </w:tc>
        <w:tc>
          <w:tcPr>
            <w:tcW w:w="2200" w:type="dxa"/>
            <w:shd w:val="clear" w:color="auto" w:fill="1F3864"/>
            <w:tcMar>
              <w:top w:w="80" w:type="dxa"/>
              <w:left w:w="100" w:type="dxa"/>
              <w:bottom w:w="80" w:type="dxa"/>
              <w:right w:w="100" w:type="dxa"/>
            </w:tcMar>
          </w:tcPr>
          <w:p w14:paraId="573DC63F" w14:textId="77777777" w:rsidR="00572490" w:rsidRDefault="00000000">
            <w:r>
              <w:rPr>
                <w:b/>
                <w:bCs/>
                <w:color w:val="FFFFFF"/>
                <w:sz w:val="19"/>
                <w:szCs w:val="19"/>
              </w:rPr>
              <w:t>Capability Role</w:t>
            </w:r>
          </w:p>
        </w:tc>
        <w:tc>
          <w:tcPr>
            <w:tcW w:w="3000" w:type="dxa"/>
            <w:shd w:val="clear" w:color="auto" w:fill="1F3864"/>
            <w:tcMar>
              <w:top w:w="80" w:type="dxa"/>
              <w:left w:w="100" w:type="dxa"/>
              <w:bottom w:w="80" w:type="dxa"/>
              <w:right w:w="100" w:type="dxa"/>
            </w:tcMar>
          </w:tcPr>
          <w:p w14:paraId="77EB308E" w14:textId="77777777" w:rsidR="00572490" w:rsidRDefault="00000000">
            <w:r>
              <w:rPr>
                <w:b/>
                <w:bCs/>
                <w:color w:val="FFFFFF"/>
                <w:sz w:val="19"/>
                <w:szCs w:val="19"/>
              </w:rPr>
              <w:t>Core Obligation</w:t>
            </w:r>
          </w:p>
        </w:tc>
      </w:tr>
      <w:tr w:rsidR="00572490" w14:paraId="4F4FB8F1" w14:textId="77777777">
        <w:tc>
          <w:tcPr>
            <w:tcW w:w="2000" w:type="dxa"/>
            <w:tcMar>
              <w:top w:w="80" w:type="dxa"/>
              <w:left w:w="100" w:type="dxa"/>
              <w:bottom w:w="80" w:type="dxa"/>
              <w:right w:w="100" w:type="dxa"/>
            </w:tcMar>
          </w:tcPr>
          <w:p w14:paraId="273052E8" w14:textId="77777777" w:rsidR="00572490" w:rsidRDefault="00000000">
            <w:r>
              <w:rPr>
                <w:color w:val="000000"/>
                <w:sz w:val="19"/>
                <w:szCs w:val="19"/>
              </w:rPr>
              <w:t>EU AI Act (GPAI, systemic risk)</w:t>
            </w:r>
          </w:p>
        </w:tc>
        <w:tc>
          <w:tcPr>
            <w:tcW w:w="2600" w:type="dxa"/>
            <w:tcMar>
              <w:top w:w="80" w:type="dxa"/>
              <w:left w:w="100" w:type="dxa"/>
              <w:bottom w:w="80" w:type="dxa"/>
              <w:right w:w="100" w:type="dxa"/>
            </w:tcMar>
          </w:tcPr>
          <w:p w14:paraId="03E96102" w14:textId="77777777" w:rsidR="00572490" w:rsidRDefault="00000000">
            <w:r>
              <w:rPr>
                <w:color w:val="000000"/>
                <w:sz w:val="19"/>
                <w:szCs w:val="19"/>
              </w:rPr>
              <w:t>&gt;10^25 FLOPs</w:t>
            </w:r>
          </w:p>
        </w:tc>
        <w:tc>
          <w:tcPr>
            <w:tcW w:w="2200" w:type="dxa"/>
            <w:tcMar>
              <w:top w:w="80" w:type="dxa"/>
              <w:left w:w="100" w:type="dxa"/>
              <w:bottom w:w="80" w:type="dxa"/>
              <w:right w:w="100" w:type="dxa"/>
            </w:tcMar>
          </w:tcPr>
          <w:p w14:paraId="2B3B2B39" w14:textId="77777777" w:rsidR="00572490" w:rsidRDefault="00000000">
            <w:r>
              <w:rPr>
                <w:color w:val="000000"/>
                <w:sz w:val="19"/>
                <w:szCs w:val="19"/>
              </w:rPr>
              <w:t xml:space="preserve">Commission may designate a model as </w:t>
            </w:r>
            <w:proofErr w:type="gramStart"/>
            <w:r>
              <w:rPr>
                <w:color w:val="000000"/>
                <w:sz w:val="19"/>
                <w:szCs w:val="19"/>
              </w:rPr>
              <w:t>systemic-risk</w:t>
            </w:r>
            <w:proofErr w:type="gramEnd"/>
            <w:r>
              <w:rPr>
                <w:color w:val="000000"/>
                <w:sz w:val="19"/>
                <w:szCs w:val="19"/>
              </w:rPr>
              <w:t xml:space="preserve"> on capability grounds regardless of compute</w:t>
            </w:r>
          </w:p>
        </w:tc>
        <w:tc>
          <w:tcPr>
            <w:tcW w:w="3000" w:type="dxa"/>
            <w:tcMar>
              <w:top w:w="80" w:type="dxa"/>
              <w:left w:w="100" w:type="dxa"/>
              <w:bottom w:w="80" w:type="dxa"/>
              <w:right w:w="100" w:type="dxa"/>
            </w:tcMar>
          </w:tcPr>
          <w:p w14:paraId="17F5E49A" w14:textId="77777777" w:rsidR="00572490" w:rsidRDefault="00000000">
            <w:r>
              <w:rPr>
                <w:color w:val="000000"/>
                <w:sz w:val="19"/>
                <w:szCs w:val="19"/>
              </w:rPr>
              <w:t>Risk assessment, evaluations, incident reporting, model/system-card publication</w:t>
            </w:r>
          </w:p>
        </w:tc>
      </w:tr>
      <w:tr w:rsidR="00572490" w14:paraId="3CFD2121" w14:textId="77777777">
        <w:tc>
          <w:tcPr>
            <w:tcW w:w="2000" w:type="dxa"/>
            <w:tcMar>
              <w:top w:w="80" w:type="dxa"/>
              <w:left w:w="100" w:type="dxa"/>
              <w:bottom w:w="80" w:type="dxa"/>
              <w:right w:w="100" w:type="dxa"/>
            </w:tcMar>
          </w:tcPr>
          <w:p w14:paraId="4076DCF4" w14:textId="77777777" w:rsidR="00572490" w:rsidRDefault="00000000">
            <w:r>
              <w:rPr>
                <w:color w:val="000000"/>
                <w:sz w:val="19"/>
                <w:szCs w:val="19"/>
              </w:rPr>
              <w:t>California SB 53</w:t>
            </w:r>
          </w:p>
        </w:tc>
        <w:tc>
          <w:tcPr>
            <w:tcW w:w="2600" w:type="dxa"/>
            <w:tcMar>
              <w:top w:w="80" w:type="dxa"/>
              <w:left w:w="100" w:type="dxa"/>
              <w:bottom w:w="80" w:type="dxa"/>
              <w:right w:w="100" w:type="dxa"/>
            </w:tcMar>
          </w:tcPr>
          <w:p w14:paraId="2B074998" w14:textId="77777777" w:rsidR="00572490" w:rsidRDefault="00000000">
            <w:r>
              <w:rPr>
                <w:color w:val="000000"/>
                <w:sz w:val="19"/>
                <w:szCs w:val="19"/>
              </w:rPr>
              <w:t>&gt;10^26 FLOPs (heavier duties above $500M revenue)</w:t>
            </w:r>
          </w:p>
        </w:tc>
        <w:tc>
          <w:tcPr>
            <w:tcW w:w="2200" w:type="dxa"/>
            <w:tcMar>
              <w:top w:w="80" w:type="dxa"/>
              <w:left w:w="100" w:type="dxa"/>
              <w:bottom w:w="80" w:type="dxa"/>
              <w:right w:w="100" w:type="dxa"/>
            </w:tcMar>
          </w:tcPr>
          <w:p w14:paraId="519F1499" w14:textId="77777777" w:rsidR="00572490" w:rsidRDefault="00000000">
            <w:r>
              <w:rPr>
                <w:color w:val="000000"/>
                <w:sz w:val="19"/>
                <w:szCs w:val="19"/>
              </w:rPr>
              <w:t>Not a trigger; referenced only inside each developer's own published framework</w:t>
            </w:r>
          </w:p>
        </w:tc>
        <w:tc>
          <w:tcPr>
            <w:tcW w:w="3000" w:type="dxa"/>
            <w:tcMar>
              <w:top w:w="80" w:type="dxa"/>
              <w:left w:w="100" w:type="dxa"/>
              <w:bottom w:w="80" w:type="dxa"/>
              <w:right w:w="100" w:type="dxa"/>
            </w:tcMar>
          </w:tcPr>
          <w:p w14:paraId="5EE61D41" w14:textId="77777777" w:rsidR="00572490" w:rsidRDefault="00000000">
            <w:r>
              <w:rPr>
                <w:color w:val="000000"/>
                <w:sz w:val="19"/>
                <w:szCs w:val="19"/>
              </w:rPr>
              <w:t>Published safety framework, incident reports, whistleblower protections</w:t>
            </w:r>
          </w:p>
        </w:tc>
      </w:tr>
      <w:tr w:rsidR="00572490" w14:paraId="45FB6A6D" w14:textId="77777777">
        <w:tc>
          <w:tcPr>
            <w:tcW w:w="2000" w:type="dxa"/>
            <w:tcMar>
              <w:top w:w="80" w:type="dxa"/>
              <w:left w:w="100" w:type="dxa"/>
              <w:bottom w:w="80" w:type="dxa"/>
              <w:right w:w="100" w:type="dxa"/>
            </w:tcMar>
          </w:tcPr>
          <w:p w14:paraId="55ECB2A6" w14:textId="77777777" w:rsidR="00572490" w:rsidRDefault="00000000">
            <w:r>
              <w:rPr>
                <w:color w:val="000000"/>
                <w:sz w:val="19"/>
                <w:szCs w:val="19"/>
              </w:rPr>
              <w:t>NY RAISE Act / IL SB 315</w:t>
            </w:r>
          </w:p>
        </w:tc>
        <w:tc>
          <w:tcPr>
            <w:tcW w:w="2600" w:type="dxa"/>
            <w:tcMar>
              <w:top w:w="80" w:type="dxa"/>
              <w:left w:w="100" w:type="dxa"/>
              <w:bottom w:w="80" w:type="dxa"/>
              <w:right w:w="100" w:type="dxa"/>
            </w:tcMar>
          </w:tcPr>
          <w:p w14:paraId="748E64F7" w14:textId="77777777" w:rsidR="00572490" w:rsidRDefault="00000000">
            <w:r>
              <w:rPr>
                <w:color w:val="000000"/>
                <w:sz w:val="19"/>
                <w:szCs w:val="19"/>
              </w:rPr>
              <w:t>Same 10^26 FLOP / $500M test as SB 53</w:t>
            </w:r>
          </w:p>
        </w:tc>
        <w:tc>
          <w:tcPr>
            <w:tcW w:w="2200" w:type="dxa"/>
            <w:tcMar>
              <w:top w:w="80" w:type="dxa"/>
              <w:left w:w="100" w:type="dxa"/>
              <w:bottom w:w="80" w:type="dxa"/>
              <w:right w:w="100" w:type="dxa"/>
            </w:tcMar>
          </w:tcPr>
          <w:p w14:paraId="15C44FB2" w14:textId="77777777" w:rsidR="00572490" w:rsidRDefault="00000000">
            <w:r>
              <w:rPr>
                <w:color w:val="000000"/>
                <w:sz w:val="19"/>
                <w:szCs w:val="19"/>
              </w:rPr>
              <w:t>Not a trigger</w:t>
            </w:r>
          </w:p>
        </w:tc>
        <w:tc>
          <w:tcPr>
            <w:tcW w:w="3000" w:type="dxa"/>
            <w:tcMar>
              <w:top w:w="80" w:type="dxa"/>
              <w:left w:w="100" w:type="dxa"/>
              <w:bottom w:w="80" w:type="dxa"/>
              <w:right w:w="100" w:type="dxa"/>
            </w:tcMar>
          </w:tcPr>
          <w:p w14:paraId="27320BCC" w14:textId="77777777" w:rsidR="00572490" w:rsidRDefault="00000000">
            <w:proofErr w:type="gramStart"/>
            <w:r>
              <w:rPr>
                <w:color w:val="000000"/>
                <w:sz w:val="19"/>
                <w:szCs w:val="19"/>
              </w:rPr>
              <w:t>Similar to</w:t>
            </w:r>
            <w:proofErr w:type="gramEnd"/>
            <w:r>
              <w:rPr>
                <w:color w:val="000000"/>
                <w:sz w:val="19"/>
                <w:szCs w:val="19"/>
              </w:rPr>
              <w:t xml:space="preserve"> SB 53, plus faster incident reporting and (IL) third-party audits</w:t>
            </w:r>
          </w:p>
        </w:tc>
      </w:tr>
      <w:tr w:rsidR="00572490" w14:paraId="3309777F" w14:textId="77777777">
        <w:tc>
          <w:tcPr>
            <w:tcW w:w="2000" w:type="dxa"/>
            <w:tcMar>
              <w:top w:w="80" w:type="dxa"/>
              <w:left w:w="100" w:type="dxa"/>
              <w:bottom w:w="80" w:type="dxa"/>
              <w:right w:w="100" w:type="dxa"/>
            </w:tcMar>
          </w:tcPr>
          <w:p w14:paraId="592E9EDA" w14:textId="77777777" w:rsidR="00572490" w:rsidRDefault="00000000">
            <w:r>
              <w:rPr>
                <w:color w:val="000000"/>
                <w:sz w:val="19"/>
                <w:szCs w:val="19"/>
              </w:rPr>
              <w:t>Lab frameworks (Anthropic RSP, OpenAI Preparedness/FGF, Amazon, others)</w:t>
            </w:r>
          </w:p>
        </w:tc>
        <w:tc>
          <w:tcPr>
            <w:tcW w:w="2600" w:type="dxa"/>
            <w:tcMar>
              <w:top w:w="80" w:type="dxa"/>
              <w:left w:w="100" w:type="dxa"/>
              <w:bottom w:w="80" w:type="dxa"/>
              <w:right w:w="100" w:type="dxa"/>
            </w:tcMar>
          </w:tcPr>
          <w:p w14:paraId="6C91076E" w14:textId="77777777" w:rsidR="00572490" w:rsidRDefault="00000000">
            <w:r>
              <w:rPr>
                <w:color w:val="000000"/>
                <w:sz w:val="19"/>
                <w:szCs w:val="19"/>
              </w:rPr>
              <w:t>Self-determined; not legally binding</w:t>
            </w:r>
          </w:p>
        </w:tc>
        <w:tc>
          <w:tcPr>
            <w:tcW w:w="2200" w:type="dxa"/>
            <w:tcMar>
              <w:top w:w="80" w:type="dxa"/>
              <w:left w:w="100" w:type="dxa"/>
              <w:bottom w:w="80" w:type="dxa"/>
              <w:right w:w="100" w:type="dxa"/>
            </w:tcMar>
          </w:tcPr>
          <w:p w14:paraId="12D6F8EE" w14:textId="77777777" w:rsidR="00572490" w:rsidRDefault="00000000">
            <w:r>
              <w:rPr>
                <w:color w:val="000000"/>
                <w:sz w:val="19"/>
                <w:szCs w:val="19"/>
              </w:rPr>
              <w:t>Central: defines Capability/Critical Capability Thresholds across CBRN, cyber, and autonomous AI R&amp;D</w:t>
            </w:r>
          </w:p>
        </w:tc>
        <w:tc>
          <w:tcPr>
            <w:tcW w:w="3000" w:type="dxa"/>
            <w:tcMar>
              <w:top w:w="80" w:type="dxa"/>
              <w:left w:w="100" w:type="dxa"/>
              <w:bottom w:w="80" w:type="dxa"/>
              <w:right w:w="100" w:type="dxa"/>
            </w:tcMar>
          </w:tcPr>
          <w:p w14:paraId="5C188093" w14:textId="77777777" w:rsidR="00572490" w:rsidRDefault="00000000">
            <w:r>
              <w:rPr>
                <w:color w:val="000000"/>
                <w:sz w:val="19"/>
                <w:szCs w:val="19"/>
              </w:rPr>
              <w:t>Internal safeguard tiers (e.g., ASL levels), applied voluntarily by the lab that wrote them</w:t>
            </w:r>
          </w:p>
        </w:tc>
      </w:tr>
    </w:tbl>
    <w:p w14:paraId="0D3A12CA" w14:textId="77777777" w:rsidR="00572490" w:rsidRDefault="00000000">
      <w:pPr>
        <w:spacing w:before="80" w:after="240"/>
        <w:jc w:val="center"/>
      </w:pPr>
      <w:r>
        <w:rPr>
          <w:i/>
          <w:iCs/>
          <w:color w:val="555555"/>
          <w:sz w:val="18"/>
          <w:szCs w:val="18"/>
        </w:rPr>
        <w:t>Table 1. Compute is the near-universal statutory trigger; capability thresholds exist but are either discretionary (EU) or entirely voluntary (lab frameworks).</w:t>
      </w:r>
    </w:p>
    <w:p w14:paraId="51B85F9A" w14:textId="77777777" w:rsidR="00D422CB" w:rsidRDefault="00D422CB">
      <w:pPr>
        <w:pStyle w:val="Heading1"/>
        <w:rPr>
          <w:b w:val="0"/>
          <w:bCs w:val="0"/>
          <w:color w:val="auto"/>
          <w:sz w:val="22"/>
          <w:szCs w:val="22"/>
        </w:rPr>
      </w:pPr>
      <w:r w:rsidRPr="00D422CB">
        <w:rPr>
          <w:b w:val="0"/>
          <w:bCs w:val="0"/>
          <w:color w:val="auto"/>
          <w:sz w:val="22"/>
          <w:szCs w:val="22"/>
        </w:rPr>
        <w:t xml:space="preserve">This patchwork creates </w:t>
      </w:r>
      <w:proofErr w:type="gramStart"/>
      <w:r w:rsidRPr="00D422CB">
        <w:rPr>
          <w:b w:val="0"/>
          <w:bCs w:val="0"/>
          <w:color w:val="auto"/>
          <w:sz w:val="22"/>
          <w:szCs w:val="22"/>
        </w:rPr>
        <w:t>an</w:t>
      </w:r>
      <w:proofErr w:type="gramEnd"/>
      <w:r w:rsidRPr="00D422CB">
        <w:rPr>
          <w:b w:val="0"/>
          <w:bCs w:val="0"/>
          <w:color w:val="auto"/>
          <w:sz w:val="22"/>
          <w:szCs w:val="22"/>
        </w:rPr>
        <w:t xml:space="preserve"> correctable problem: a model can fall below every legal compute limit yet exceed a lab’s own internal threshold for needing strong safeguards with no outside authority able to force the safeguards to be used. On the hand a model might cross the compute threshold and face full legal paperwork even if </w:t>
      </w:r>
      <w:proofErr w:type="spellStart"/>
      <w:r w:rsidRPr="00D422CB">
        <w:rPr>
          <w:b w:val="0"/>
          <w:bCs w:val="0"/>
          <w:color w:val="auto"/>
          <w:sz w:val="22"/>
          <w:szCs w:val="22"/>
        </w:rPr>
        <w:t>its</w:t>
      </w:r>
      <w:proofErr w:type="spellEnd"/>
      <w:r w:rsidRPr="00D422CB">
        <w:rPr>
          <w:b w:val="0"/>
          <w:bCs w:val="0"/>
          <w:color w:val="auto"/>
          <w:sz w:val="22"/>
          <w:szCs w:val="22"/>
        </w:rPr>
        <w:t xml:space="preserve"> nowhere close to any real danger, consuming time and resources that could be better used elsewhere. These aren’t possibilities. They’re the expected results of tying legal rules to a single variable. Training compute. Which is, at best a late and easily manipulated signal of the actual concern: what the model can </w:t>
      </w:r>
      <w:proofErr w:type="gramStart"/>
      <w:r w:rsidRPr="00D422CB">
        <w:rPr>
          <w:b w:val="0"/>
          <w:bCs w:val="0"/>
          <w:color w:val="auto"/>
          <w:sz w:val="22"/>
          <w:szCs w:val="22"/>
        </w:rPr>
        <w:t>actually do</w:t>
      </w:r>
      <w:proofErr w:type="gramEnd"/>
      <w:r w:rsidRPr="00D422CB">
        <w:rPr>
          <w:b w:val="0"/>
          <w:bCs w:val="0"/>
          <w:color w:val="auto"/>
          <w:sz w:val="22"/>
          <w:szCs w:val="22"/>
        </w:rPr>
        <w:t>.</w:t>
      </w:r>
    </w:p>
    <w:p w14:paraId="0AF79E09" w14:textId="3BD767DD" w:rsidR="00572490" w:rsidRDefault="00000000">
      <w:pPr>
        <w:pStyle w:val="Heading1"/>
      </w:pPr>
      <w:r>
        <w:lastRenderedPageBreak/>
        <w:t>3. Two Paradigms: Compute Thresholds and Capability Thresholds</w:t>
      </w:r>
    </w:p>
    <w:p w14:paraId="587680E8" w14:textId="77777777" w:rsidR="00572490" w:rsidRDefault="00000000">
      <w:pPr>
        <w:pStyle w:val="Heading2"/>
      </w:pPr>
      <w:r>
        <w:t>3.1 Compute Thresholds: Strengths and Structural Failures</w:t>
      </w:r>
    </w:p>
    <w:p w14:paraId="34BA902A" w14:textId="33E67658" w:rsidR="00D422CB" w:rsidRPr="00D422CB" w:rsidRDefault="00D422CB" w:rsidP="00D422CB">
      <w:pPr>
        <w:pStyle w:val="Heading2"/>
        <w:rPr>
          <w:b w:val="0"/>
          <w:bCs w:val="0"/>
          <w:color w:val="auto"/>
          <w:sz w:val="22"/>
          <w:szCs w:val="22"/>
        </w:rPr>
      </w:pPr>
      <w:r w:rsidRPr="00D422CB">
        <w:rPr>
          <w:b w:val="0"/>
          <w:bCs w:val="0"/>
          <w:color w:val="auto"/>
          <w:sz w:val="22"/>
          <w:szCs w:val="22"/>
        </w:rPr>
        <w:t xml:space="preserve">The argument for using compute thresholds is real and valid. A capability-based system can’t ignore it. A training run of </w:t>
      </w:r>
      <w:proofErr w:type="gramStart"/>
      <w:r w:rsidRPr="00D422CB">
        <w:rPr>
          <w:b w:val="0"/>
          <w:bCs w:val="0"/>
          <w:color w:val="auto"/>
          <w:sz w:val="22"/>
          <w:szCs w:val="22"/>
        </w:rPr>
        <w:t>a number of</w:t>
      </w:r>
      <w:proofErr w:type="gramEnd"/>
      <w:r w:rsidRPr="00D422CB">
        <w:rPr>
          <w:b w:val="0"/>
          <w:bCs w:val="0"/>
          <w:color w:val="auto"/>
          <w:sz w:val="22"/>
          <w:szCs w:val="22"/>
        </w:rPr>
        <w:t xml:space="preserve"> FLOPs either took place or it didn’t. The number is physically defined. It can be estimated in advance based on hardware and training </w:t>
      </w:r>
      <w:proofErr w:type="gramStart"/>
      <w:r w:rsidRPr="00D422CB">
        <w:rPr>
          <w:b w:val="0"/>
          <w:bCs w:val="0"/>
          <w:color w:val="auto"/>
          <w:sz w:val="22"/>
          <w:szCs w:val="22"/>
        </w:rPr>
        <w:t>time..</w:t>
      </w:r>
      <w:proofErr w:type="gramEnd"/>
      <w:r w:rsidRPr="00D422CB">
        <w:rPr>
          <w:b w:val="0"/>
          <w:bCs w:val="0"/>
          <w:color w:val="auto"/>
          <w:sz w:val="22"/>
          <w:szCs w:val="22"/>
        </w:rPr>
        <w:t xml:space="preserve"> Once the training is done it’s hard to fake. Especially with hardware export controls and cloud provider records in place. Compute thresholds let regulators identify who is building a model before it’s even trained. That’s when disclosure and pre-registration rules are most useful. That’s why compute is the anchor in every legal framework. It should stay part of any system. Not be thrown out.</w:t>
      </w:r>
    </w:p>
    <w:p w14:paraId="0EC84407" w14:textId="77777777" w:rsidR="00D422CB" w:rsidRDefault="00D422CB" w:rsidP="00D422CB">
      <w:pPr>
        <w:pStyle w:val="Heading2"/>
        <w:rPr>
          <w:b w:val="0"/>
          <w:bCs w:val="0"/>
          <w:color w:val="auto"/>
          <w:sz w:val="22"/>
          <w:szCs w:val="22"/>
        </w:rPr>
      </w:pPr>
      <w:r w:rsidRPr="00D422CB">
        <w:rPr>
          <w:b w:val="0"/>
          <w:bCs w:val="0"/>
          <w:color w:val="auto"/>
          <w:sz w:val="22"/>
          <w:szCs w:val="22"/>
        </w:rPr>
        <w:t xml:space="preserve">Compute has three deep structural weaknesses that no tweaking of thresholds can fix. First algorithmic efficiency substitution: newer models keep proving that smarter architecture and better training methods can achieve the performance with far less compute. </w:t>
      </w:r>
      <w:proofErr w:type="gramStart"/>
      <w:r w:rsidRPr="00D422CB">
        <w:rPr>
          <w:b w:val="0"/>
          <w:bCs w:val="0"/>
          <w:color w:val="auto"/>
          <w:sz w:val="22"/>
          <w:szCs w:val="22"/>
        </w:rPr>
        <w:t>So</w:t>
      </w:r>
      <w:proofErr w:type="gramEnd"/>
      <w:r w:rsidRPr="00D422CB">
        <w:rPr>
          <w:b w:val="0"/>
          <w:bCs w:val="0"/>
          <w:color w:val="auto"/>
          <w:sz w:val="22"/>
          <w:szCs w:val="22"/>
        </w:rPr>
        <w:t xml:space="preserve"> a fixed FLOP line drawn today won’t mean the thing in two years. Second post-training decoupling: fine-tuning, retrieval augmentation, agentic systems and increased inference-time compute can all boost what a deployed system can do. Without changing the training FLOP count that determines regulation. Third and simplest: compute measures how much it cost to make a model, not what it can do or what it’s meant to do. It was always a proxy. The measurable thing available in 2023–2024. Not because training cost mattered </w:t>
      </w:r>
      <w:proofErr w:type="gramStart"/>
      <w:r w:rsidRPr="00D422CB">
        <w:rPr>
          <w:b w:val="0"/>
          <w:bCs w:val="0"/>
          <w:color w:val="auto"/>
          <w:sz w:val="22"/>
          <w:szCs w:val="22"/>
        </w:rPr>
        <w:t>in itself but</w:t>
      </w:r>
      <w:proofErr w:type="gramEnd"/>
      <w:r w:rsidRPr="00D422CB">
        <w:rPr>
          <w:b w:val="0"/>
          <w:bCs w:val="0"/>
          <w:color w:val="auto"/>
          <w:sz w:val="22"/>
          <w:szCs w:val="22"/>
        </w:rPr>
        <w:t xml:space="preserve"> because it was the only thing that could be tracked reliably.</w:t>
      </w:r>
    </w:p>
    <w:p w14:paraId="10E6E7A8" w14:textId="5845F4AC" w:rsidR="00572490" w:rsidRDefault="00000000" w:rsidP="00D422CB">
      <w:pPr>
        <w:pStyle w:val="Heading2"/>
      </w:pPr>
      <w:r>
        <w:t>3.2 Capability Thresholds: Promise and Measurement Problems</w:t>
      </w:r>
    </w:p>
    <w:p w14:paraId="5F3DBE83" w14:textId="6BA6CB6D" w:rsidR="00D422CB" w:rsidRPr="00D422CB" w:rsidRDefault="00D422CB" w:rsidP="00D422CB">
      <w:pPr>
        <w:pStyle w:val="Heading2"/>
        <w:rPr>
          <w:b w:val="0"/>
          <w:bCs w:val="0"/>
          <w:color w:val="auto"/>
          <w:sz w:val="22"/>
          <w:szCs w:val="22"/>
        </w:rPr>
      </w:pPr>
      <w:r w:rsidRPr="00D422CB">
        <w:rPr>
          <w:b w:val="0"/>
          <w:bCs w:val="0"/>
          <w:color w:val="auto"/>
          <w:sz w:val="22"/>
          <w:szCs w:val="22"/>
        </w:rPr>
        <w:t>Capability thresholds go after the concern: can the model do the dangerous thing? Evaluating capabilities. As formalized in lab safety frameworks and academic research on frontier AI. Looks at model performance on tasks that stand in for real-world risks. For example: can the model help someone new make an agent? Can it carry out a -stage cyberattack on a secure system? Can it direct AI research enough to keep improving itself without human help? Major lab frameworks now define their Capability or Critical Capability Thresholds around these areas: CBRN weapons, offensive cyber, autonomous AI R&amp;D and increasingly model autonomy and risks tied to loss of control.</w:t>
      </w:r>
    </w:p>
    <w:p w14:paraId="249AA48B" w14:textId="77777777" w:rsidR="00D422CB" w:rsidRDefault="00D422CB" w:rsidP="00D422CB">
      <w:pPr>
        <w:pStyle w:val="Heading2"/>
        <w:rPr>
          <w:b w:val="0"/>
          <w:bCs w:val="0"/>
          <w:color w:val="auto"/>
          <w:sz w:val="22"/>
          <w:szCs w:val="22"/>
        </w:rPr>
      </w:pPr>
      <w:r w:rsidRPr="00D422CB">
        <w:rPr>
          <w:b w:val="0"/>
          <w:bCs w:val="0"/>
          <w:color w:val="auto"/>
          <w:sz w:val="22"/>
          <w:szCs w:val="22"/>
        </w:rPr>
        <w:t xml:space="preserve">Capability evaluation is hard in ways that compute measurement is not. Proving a model lacks a capability is much harder than proving it has one. That means any incomplete test suite will tend to miss dangers. A model might fail every test and still be dangerous if the right prompt or setup triggers it. Models react strongly to how they’re tested. Two evaluators testing the model can end up with different results based on how they prompt it what tools they allow or how they tune the </w:t>
      </w:r>
      <w:proofErr w:type="gramStart"/>
      <w:r w:rsidRPr="00D422CB">
        <w:rPr>
          <w:b w:val="0"/>
          <w:bCs w:val="0"/>
          <w:color w:val="auto"/>
          <w:sz w:val="22"/>
          <w:szCs w:val="22"/>
        </w:rPr>
        <w:t>test..</w:t>
      </w:r>
      <w:proofErr w:type="gramEnd"/>
      <w:r w:rsidRPr="00D422CB">
        <w:rPr>
          <w:b w:val="0"/>
          <w:bCs w:val="0"/>
          <w:color w:val="auto"/>
          <w:sz w:val="22"/>
          <w:szCs w:val="22"/>
        </w:rPr>
        <w:t xml:space="preserve"> Evaluations are costly and slow. Unlike compute measurement, which is instant and needs no red-teaming experience. A system relying on capability evaluation with no compute filter would need government or outside groups to test every model release, from every developer. That kind of capacity doesn’t exist anywhere at that scale today.</w:t>
      </w:r>
    </w:p>
    <w:p w14:paraId="6FAB02ED" w14:textId="77777777" w:rsidR="00D422CB" w:rsidRDefault="00000000" w:rsidP="00D422CB">
      <w:pPr>
        <w:pStyle w:val="Heading2"/>
      </w:pPr>
      <w:r>
        <w:t>3.3 Existing Hybrid Approaches</w:t>
      </w:r>
    </w:p>
    <w:p w14:paraId="0E5EB83B" w14:textId="5BEEB538" w:rsidR="00D422CB" w:rsidRPr="00D422CB" w:rsidRDefault="00D422CB" w:rsidP="00D422CB">
      <w:pPr>
        <w:pStyle w:val="Heading2"/>
      </w:pPr>
      <w:r w:rsidRPr="00D422CB">
        <w:rPr>
          <w:b w:val="0"/>
          <w:bCs w:val="0"/>
          <w:color w:val="auto"/>
          <w:sz w:val="22"/>
          <w:szCs w:val="22"/>
        </w:rPr>
        <w:t xml:space="preserve">The EU AI Act’s systemic-risk designation power is the direct effort we’ve seen so far at a hybrid approach. Compute usage sets the default threshold for evaluation. The European Commission keeps </w:t>
      </w:r>
      <w:r w:rsidRPr="00D422CB">
        <w:rPr>
          <w:b w:val="0"/>
          <w:bCs w:val="0"/>
          <w:color w:val="auto"/>
          <w:sz w:val="22"/>
          <w:szCs w:val="22"/>
        </w:rPr>
        <w:lastRenderedPageBreak/>
        <w:t xml:space="preserve">the ability to label a model as </w:t>
      </w:r>
      <w:proofErr w:type="gramStart"/>
      <w:r w:rsidRPr="00D422CB">
        <w:rPr>
          <w:b w:val="0"/>
          <w:bCs w:val="0"/>
          <w:color w:val="auto"/>
          <w:sz w:val="22"/>
          <w:szCs w:val="22"/>
        </w:rPr>
        <w:t>systemic-risk</w:t>
      </w:r>
      <w:proofErr w:type="gramEnd"/>
      <w:r w:rsidRPr="00D422CB">
        <w:rPr>
          <w:b w:val="0"/>
          <w:bCs w:val="0"/>
          <w:color w:val="auto"/>
          <w:sz w:val="22"/>
          <w:szCs w:val="22"/>
        </w:rPr>
        <w:t xml:space="preserve"> "if it is found that such model has capabilities or an impact equivalent to those captured by the set threshold " even if it wasn’t trained using the usual compute levels. This structure. Compute as the starting point, capability as the override. Makes sense in </w:t>
      </w:r>
      <w:proofErr w:type="gramStart"/>
      <w:r w:rsidRPr="00D422CB">
        <w:rPr>
          <w:b w:val="0"/>
          <w:bCs w:val="0"/>
          <w:color w:val="auto"/>
          <w:sz w:val="22"/>
          <w:szCs w:val="22"/>
        </w:rPr>
        <w:t>principle..</w:t>
      </w:r>
      <w:proofErr w:type="gramEnd"/>
      <w:r w:rsidRPr="00D422CB">
        <w:rPr>
          <w:b w:val="0"/>
          <w:bCs w:val="0"/>
          <w:color w:val="auto"/>
          <w:sz w:val="22"/>
          <w:szCs w:val="22"/>
        </w:rPr>
        <w:t xml:space="preserve"> Right </w:t>
      </w:r>
      <w:proofErr w:type="gramStart"/>
      <w:r w:rsidRPr="00D422CB">
        <w:rPr>
          <w:b w:val="0"/>
          <w:bCs w:val="0"/>
          <w:color w:val="auto"/>
          <w:sz w:val="22"/>
          <w:szCs w:val="22"/>
        </w:rPr>
        <w:t>now</w:t>
      </w:r>
      <w:proofErr w:type="gramEnd"/>
      <w:r w:rsidRPr="00D422CB">
        <w:rPr>
          <w:b w:val="0"/>
          <w:bCs w:val="0"/>
          <w:color w:val="auto"/>
          <w:sz w:val="22"/>
          <w:szCs w:val="22"/>
        </w:rPr>
        <w:t xml:space="preserve"> the override power is used in a way that feels ad hoc. It depends on one regulator’s judgment, not a pre-defined process with published standards that developers can </w:t>
      </w:r>
      <w:proofErr w:type="gramStart"/>
      <w:r w:rsidRPr="00D422CB">
        <w:rPr>
          <w:b w:val="0"/>
          <w:bCs w:val="0"/>
          <w:color w:val="auto"/>
          <w:sz w:val="22"/>
          <w:szCs w:val="22"/>
        </w:rPr>
        <w:t>actually plan</w:t>
      </w:r>
      <w:proofErr w:type="gramEnd"/>
      <w:r w:rsidRPr="00D422CB">
        <w:rPr>
          <w:b w:val="0"/>
          <w:bCs w:val="0"/>
          <w:color w:val="auto"/>
          <w:sz w:val="22"/>
          <w:szCs w:val="22"/>
        </w:rPr>
        <w:t xml:space="preserve"> around.</w:t>
      </w:r>
    </w:p>
    <w:p w14:paraId="247B81E3" w14:textId="798BEE00" w:rsidR="00D422CB" w:rsidRPr="00D422CB" w:rsidRDefault="00D422CB" w:rsidP="00D422CB">
      <w:pPr>
        <w:pStyle w:val="Heading1"/>
        <w:rPr>
          <w:b w:val="0"/>
          <w:bCs w:val="0"/>
          <w:color w:val="auto"/>
          <w:sz w:val="22"/>
          <w:szCs w:val="22"/>
        </w:rPr>
      </w:pPr>
      <w:r w:rsidRPr="00D422CB">
        <w:rPr>
          <w:b w:val="0"/>
          <w:bCs w:val="0"/>
          <w:color w:val="auto"/>
          <w:sz w:val="22"/>
          <w:szCs w:val="22"/>
        </w:rPr>
        <w:t xml:space="preserve">Meanwhile lab frameworks take the route. They rely entirely on capability thresholds and often only on </w:t>
      </w:r>
      <w:proofErr w:type="gramStart"/>
      <w:r w:rsidRPr="00D422CB">
        <w:rPr>
          <w:b w:val="0"/>
          <w:bCs w:val="0"/>
          <w:color w:val="auto"/>
          <w:sz w:val="22"/>
          <w:szCs w:val="22"/>
        </w:rPr>
        <w:t>them..</w:t>
      </w:r>
      <w:proofErr w:type="gramEnd"/>
      <w:r w:rsidRPr="00D422CB">
        <w:rPr>
          <w:b w:val="0"/>
          <w:bCs w:val="0"/>
          <w:color w:val="auto"/>
          <w:sz w:val="22"/>
          <w:szCs w:val="22"/>
        </w:rPr>
        <w:t xml:space="preserve"> These thresholds aren’t set by an outside body. They are made up by the labs themselves. The models are evaluated internally. The safeguards depend solely on the developer’s own governance. There's no check unless a few places require public disclosure of the framework. </w:t>
      </w:r>
      <w:proofErr w:type="gramStart"/>
      <w:r w:rsidRPr="00D422CB">
        <w:rPr>
          <w:b w:val="0"/>
          <w:bCs w:val="0"/>
          <w:color w:val="auto"/>
          <w:sz w:val="22"/>
          <w:szCs w:val="22"/>
        </w:rPr>
        <w:t>So</w:t>
      </w:r>
      <w:proofErr w:type="gramEnd"/>
      <w:r w:rsidRPr="00D422CB">
        <w:rPr>
          <w:b w:val="0"/>
          <w:bCs w:val="0"/>
          <w:color w:val="auto"/>
          <w:sz w:val="22"/>
          <w:szCs w:val="22"/>
        </w:rPr>
        <w:t xml:space="preserve"> neither system connects measurement to verification.</w:t>
      </w:r>
    </w:p>
    <w:p w14:paraId="1583BA3A" w14:textId="1454AB90" w:rsidR="00D422CB" w:rsidRDefault="00D422CB" w:rsidP="00D422CB">
      <w:pPr>
        <w:pStyle w:val="Heading1"/>
        <w:rPr>
          <w:b w:val="0"/>
          <w:bCs w:val="0"/>
          <w:color w:val="auto"/>
          <w:sz w:val="22"/>
          <w:szCs w:val="22"/>
        </w:rPr>
      </w:pPr>
      <w:r w:rsidRPr="00D422CB">
        <w:rPr>
          <w:b w:val="0"/>
          <w:bCs w:val="0"/>
          <w:color w:val="auto"/>
          <w:sz w:val="22"/>
          <w:szCs w:val="22"/>
        </w:rPr>
        <w:t>That missing link. The gap between how models</w:t>
      </w:r>
      <w:r>
        <w:rPr>
          <w:b w:val="0"/>
          <w:bCs w:val="0"/>
          <w:color w:val="auto"/>
          <w:sz w:val="22"/>
          <w:szCs w:val="22"/>
        </w:rPr>
        <w:t xml:space="preserve"> ar</w:t>
      </w:r>
      <w:r w:rsidRPr="00D422CB">
        <w:rPr>
          <w:b w:val="0"/>
          <w:bCs w:val="0"/>
          <w:color w:val="auto"/>
          <w:sz w:val="22"/>
          <w:szCs w:val="22"/>
        </w:rPr>
        <w:t>e measured and whether that measurement is confirmed by someone outside the developer’s control. Is exactly what this paper aims to fix.</w:t>
      </w:r>
    </w:p>
    <w:p w14:paraId="09F795B5" w14:textId="7C9FB22F" w:rsidR="00572490" w:rsidRDefault="00000000" w:rsidP="00D422CB">
      <w:pPr>
        <w:pStyle w:val="Heading1"/>
      </w:pPr>
      <w:r>
        <w:t>4. A Proposed Framework: The Tiered Capability Threshold (TCT) Model</w:t>
      </w:r>
    </w:p>
    <w:p w14:paraId="7A36FCB1" w14:textId="77777777" w:rsidR="00572490" w:rsidRDefault="00000000">
      <w:pPr>
        <w:pStyle w:val="Heading2"/>
      </w:pPr>
      <w:r>
        <w:t>4.1 Design Principles</w:t>
      </w:r>
    </w:p>
    <w:p w14:paraId="78BC7A74" w14:textId="77777777" w:rsidR="00D422CB" w:rsidRPr="00D422CB" w:rsidRDefault="00D422CB" w:rsidP="00D422CB">
      <w:pPr>
        <w:spacing w:after="200" w:line="276" w:lineRule="auto"/>
        <w:jc w:val="both"/>
      </w:pPr>
      <w:r w:rsidRPr="00D422CB">
        <w:t xml:space="preserve">1. Compute is a filter, not a verdict. It should decide who needs to go through </w:t>
      </w:r>
      <w:proofErr w:type="gramStart"/>
      <w:r w:rsidRPr="00D422CB">
        <w:t>evaluation..</w:t>
      </w:r>
      <w:proofErr w:type="gramEnd"/>
      <w:r w:rsidRPr="00D422CB">
        <w:t xml:space="preserve"> It should never be the final call on whether a model is dangerous.</w:t>
      </w:r>
    </w:p>
    <w:p w14:paraId="71B29E16" w14:textId="77777777" w:rsidR="00D422CB" w:rsidRPr="00D422CB" w:rsidRDefault="00D422CB" w:rsidP="00D422CB">
      <w:pPr>
        <w:spacing w:after="200" w:line="276" w:lineRule="auto"/>
        <w:jc w:val="both"/>
      </w:pPr>
      <w:r w:rsidRPr="00D422CB">
        <w:t xml:space="preserve">2. Thresholds must be </w:t>
      </w:r>
      <w:proofErr w:type="gramStart"/>
      <w:r w:rsidRPr="00D422CB">
        <w:t>domain-specific</w:t>
      </w:r>
      <w:proofErr w:type="gramEnd"/>
      <w:r w:rsidRPr="00D422CB">
        <w:t>. There is no line that says a model is "too dangerous." Different areas like chemical-radiological-nuclear threats, autonomous cyber offense, autonomous AI research and development and loss-of-control-relevant autonomy all need their own thresholds, their own testing methods and their own safety measures.</w:t>
      </w:r>
    </w:p>
    <w:p w14:paraId="6C67AC33" w14:textId="77777777" w:rsidR="00D422CB" w:rsidRPr="00D422CB" w:rsidRDefault="00D422CB" w:rsidP="00D422CB">
      <w:pPr>
        <w:spacing w:after="200" w:line="276" w:lineRule="auto"/>
        <w:jc w:val="both"/>
      </w:pPr>
      <w:r w:rsidRPr="00D422CB">
        <w:t>3. Evaluation and enforcement authority must be separate from the developer being evaluated. For models, above the top tier. Developers shouldn’t have to hand over weights to a body that might not even have proper security protections.</w:t>
      </w:r>
    </w:p>
    <w:p w14:paraId="60460441" w14:textId="77777777" w:rsidR="00D422CB" w:rsidRPr="00D422CB" w:rsidRDefault="00D422CB" w:rsidP="00D422CB">
      <w:pPr>
        <w:spacing w:after="200" w:line="276" w:lineRule="auto"/>
        <w:jc w:val="both"/>
      </w:pPr>
      <w:r w:rsidRPr="00D422CB">
        <w:t>4. Thresholds must be able to change. They can't wait for laws. That means creating a standing body with limited, delegated power to update thresholds faster than Parliament can act.</w:t>
      </w:r>
    </w:p>
    <w:p w14:paraId="791E28D2" w14:textId="77777777" w:rsidR="00D422CB" w:rsidRPr="00D422CB" w:rsidRDefault="00D422CB" w:rsidP="00D422CB">
      <w:pPr>
        <w:spacing w:after="200" w:line="276" w:lineRule="auto"/>
        <w:jc w:val="both"/>
      </w:pPr>
      <w:r w:rsidRPr="00D422CB">
        <w:t>5. The framework must degrade gracefully. If a developer can’t reach government evaluators or if a model falls into a zone there must still be a clear path forward. No compliance dead ends.</w:t>
      </w:r>
    </w:p>
    <w:p w14:paraId="03117AD5" w14:textId="77777777" w:rsidR="00572490" w:rsidRDefault="00000000">
      <w:pPr>
        <w:spacing w:after="200" w:line="276" w:lineRule="auto"/>
        <w:jc w:val="both"/>
      </w:pPr>
      <w:r>
        <w:t>These principles translate into four tiers, summarized in Table 2 and detailed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400"/>
      </w:tblGrid>
      <w:tr w:rsidR="00572490" w14:paraId="016B9E83" w14:textId="77777777">
        <w:tc>
          <w:tcPr>
            <w:tcW w:w="1600" w:type="dxa"/>
            <w:shd w:val="clear" w:color="auto" w:fill="1F3864"/>
            <w:tcMar>
              <w:top w:w="80" w:type="dxa"/>
              <w:left w:w="100" w:type="dxa"/>
              <w:bottom w:w="80" w:type="dxa"/>
              <w:right w:w="100" w:type="dxa"/>
            </w:tcMar>
          </w:tcPr>
          <w:p w14:paraId="50A20276" w14:textId="77777777" w:rsidR="00572490" w:rsidRDefault="00000000">
            <w:r>
              <w:rPr>
                <w:b/>
                <w:bCs/>
                <w:color w:val="FFFFFF"/>
                <w:sz w:val="19"/>
                <w:szCs w:val="19"/>
              </w:rPr>
              <w:t>Tier</w:t>
            </w:r>
          </w:p>
        </w:tc>
        <w:tc>
          <w:tcPr>
            <w:tcW w:w="2600" w:type="dxa"/>
            <w:shd w:val="clear" w:color="auto" w:fill="1F3864"/>
            <w:tcMar>
              <w:top w:w="80" w:type="dxa"/>
              <w:left w:w="100" w:type="dxa"/>
              <w:bottom w:w="80" w:type="dxa"/>
              <w:right w:w="100" w:type="dxa"/>
            </w:tcMar>
          </w:tcPr>
          <w:p w14:paraId="724554D7" w14:textId="77777777" w:rsidR="00572490" w:rsidRDefault="00000000">
            <w:r>
              <w:rPr>
                <w:b/>
                <w:bCs/>
                <w:color w:val="FFFFFF"/>
                <w:sz w:val="19"/>
                <w:szCs w:val="19"/>
              </w:rPr>
              <w:t>Trigger</w:t>
            </w:r>
          </w:p>
        </w:tc>
        <w:tc>
          <w:tcPr>
            <w:tcW w:w="3200" w:type="dxa"/>
            <w:shd w:val="clear" w:color="auto" w:fill="1F3864"/>
            <w:tcMar>
              <w:top w:w="80" w:type="dxa"/>
              <w:left w:w="100" w:type="dxa"/>
              <w:bottom w:w="80" w:type="dxa"/>
              <w:right w:w="100" w:type="dxa"/>
            </w:tcMar>
          </w:tcPr>
          <w:p w14:paraId="68D4A321" w14:textId="77777777" w:rsidR="00572490" w:rsidRDefault="00000000">
            <w:r>
              <w:rPr>
                <w:b/>
                <w:bCs/>
                <w:color w:val="FFFFFF"/>
                <w:sz w:val="19"/>
                <w:szCs w:val="19"/>
              </w:rPr>
              <w:t>Requirement</w:t>
            </w:r>
          </w:p>
        </w:tc>
        <w:tc>
          <w:tcPr>
            <w:tcW w:w="2400" w:type="dxa"/>
            <w:shd w:val="clear" w:color="auto" w:fill="1F3864"/>
            <w:tcMar>
              <w:top w:w="80" w:type="dxa"/>
              <w:left w:w="100" w:type="dxa"/>
              <w:bottom w:w="80" w:type="dxa"/>
              <w:right w:w="100" w:type="dxa"/>
            </w:tcMar>
          </w:tcPr>
          <w:p w14:paraId="40831FE6" w14:textId="77777777" w:rsidR="00572490" w:rsidRDefault="00000000">
            <w:r>
              <w:rPr>
                <w:b/>
                <w:bCs/>
                <w:color w:val="FFFFFF"/>
                <w:sz w:val="19"/>
                <w:szCs w:val="19"/>
              </w:rPr>
              <w:t>Decision Authority</w:t>
            </w:r>
          </w:p>
        </w:tc>
      </w:tr>
      <w:tr w:rsidR="00572490" w14:paraId="7DBBB907" w14:textId="77777777">
        <w:tc>
          <w:tcPr>
            <w:tcW w:w="1600" w:type="dxa"/>
            <w:tcMar>
              <w:top w:w="80" w:type="dxa"/>
              <w:left w:w="100" w:type="dxa"/>
              <w:bottom w:w="80" w:type="dxa"/>
              <w:right w:w="100" w:type="dxa"/>
            </w:tcMar>
          </w:tcPr>
          <w:p w14:paraId="18ACC6E8" w14:textId="77777777" w:rsidR="00572490" w:rsidRDefault="00000000">
            <w:r>
              <w:rPr>
                <w:color w:val="000000"/>
                <w:sz w:val="19"/>
                <w:szCs w:val="19"/>
              </w:rPr>
              <w:t>0 — Screening</w:t>
            </w:r>
          </w:p>
        </w:tc>
        <w:tc>
          <w:tcPr>
            <w:tcW w:w="2600" w:type="dxa"/>
            <w:tcMar>
              <w:top w:w="80" w:type="dxa"/>
              <w:left w:w="100" w:type="dxa"/>
              <w:bottom w:w="80" w:type="dxa"/>
              <w:right w:w="100" w:type="dxa"/>
            </w:tcMar>
          </w:tcPr>
          <w:p w14:paraId="3757786B" w14:textId="77777777" w:rsidR="00572490" w:rsidRDefault="00000000">
            <w:r>
              <w:rPr>
                <w:color w:val="000000"/>
                <w:sz w:val="19"/>
                <w:szCs w:val="19"/>
              </w:rPr>
              <w:t>Training compute above a low, periodically revised floor (initially aligned to existing EU/US thresholds)</w:t>
            </w:r>
          </w:p>
        </w:tc>
        <w:tc>
          <w:tcPr>
            <w:tcW w:w="3200" w:type="dxa"/>
            <w:tcMar>
              <w:top w:w="80" w:type="dxa"/>
              <w:left w:w="100" w:type="dxa"/>
              <w:bottom w:w="80" w:type="dxa"/>
              <w:right w:w="100" w:type="dxa"/>
            </w:tcMar>
          </w:tcPr>
          <w:p w14:paraId="31B36073" w14:textId="77777777" w:rsidR="00572490" w:rsidRDefault="00000000">
            <w:r>
              <w:rPr>
                <w:color w:val="000000"/>
                <w:sz w:val="19"/>
                <w:szCs w:val="19"/>
              </w:rPr>
              <w:t>Pre-registration with a designated authority; disclosure of training compute, intended release, and modality</w:t>
            </w:r>
          </w:p>
        </w:tc>
        <w:tc>
          <w:tcPr>
            <w:tcW w:w="2400" w:type="dxa"/>
            <w:tcMar>
              <w:top w:w="80" w:type="dxa"/>
              <w:left w:w="100" w:type="dxa"/>
              <w:bottom w:w="80" w:type="dxa"/>
              <w:right w:w="100" w:type="dxa"/>
            </w:tcMar>
          </w:tcPr>
          <w:p w14:paraId="4987E728" w14:textId="77777777" w:rsidR="00572490" w:rsidRDefault="00000000">
            <w:r>
              <w:rPr>
                <w:color w:val="000000"/>
                <w:sz w:val="19"/>
                <w:szCs w:val="19"/>
              </w:rPr>
              <w:t>Developer self-report, spot-audited</w:t>
            </w:r>
          </w:p>
        </w:tc>
      </w:tr>
      <w:tr w:rsidR="00572490" w14:paraId="0A1B86DE" w14:textId="77777777">
        <w:tc>
          <w:tcPr>
            <w:tcW w:w="1600" w:type="dxa"/>
            <w:tcMar>
              <w:top w:w="80" w:type="dxa"/>
              <w:left w:w="100" w:type="dxa"/>
              <w:bottom w:w="80" w:type="dxa"/>
              <w:right w:w="100" w:type="dxa"/>
            </w:tcMar>
          </w:tcPr>
          <w:p w14:paraId="25B63708" w14:textId="77777777" w:rsidR="00572490" w:rsidRDefault="00000000">
            <w:r>
              <w:rPr>
                <w:color w:val="000000"/>
                <w:sz w:val="19"/>
                <w:szCs w:val="19"/>
              </w:rPr>
              <w:lastRenderedPageBreak/>
              <w:t>1 — Baseline Evaluation</w:t>
            </w:r>
          </w:p>
        </w:tc>
        <w:tc>
          <w:tcPr>
            <w:tcW w:w="2600" w:type="dxa"/>
            <w:tcMar>
              <w:top w:w="80" w:type="dxa"/>
              <w:left w:w="100" w:type="dxa"/>
              <w:bottom w:w="80" w:type="dxa"/>
              <w:right w:w="100" w:type="dxa"/>
            </w:tcMar>
          </w:tcPr>
          <w:p w14:paraId="5A6A008D" w14:textId="77777777" w:rsidR="00572490" w:rsidRDefault="00000000">
            <w:r>
              <w:rPr>
                <w:color w:val="000000"/>
                <w:sz w:val="19"/>
                <w:szCs w:val="19"/>
              </w:rPr>
              <w:t>Any Tier 0 model, plus any model reaching Tier 1 via capability escalation (see 4.5)</w:t>
            </w:r>
          </w:p>
        </w:tc>
        <w:tc>
          <w:tcPr>
            <w:tcW w:w="3200" w:type="dxa"/>
            <w:tcMar>
              <w:top w:w="80" w:type="dxa"/>
              <w:left w:w="100" w:type="dxa"/>
              <w:bottom w:w="80" w:type="dxa"/>
              <w:right w:w="100" w:type="dxa"/>
            </w:tcMar>
          </w:tcPr>
          <w:p w14:paraId="2FA4087A" w14:textId="77777777" w:rsidR="00572490" w:rsidRDefault="00000000">
            <w:r>
              <w:rPr>
                <w:color w:val="000000"/>
                <w:sz w:val="19"/>
                <w:szCs w:val="19"/>
              </w:rPr>
              <w:t>Standardized baseline battery across all four risk domains, run pre-deployment</w:t>
            </w:r>
          </w:p>
        </w:tc>
        <w:tc>
          <w:tcPr>
            <w:tcW w:w="2400" w:type="dxa"/>
            <w:tcMar>
              <w:top w:w="80" w:type="dxa"/>
              <w:left w:w="100" w:type="dxa"/>
              <w:bottom w:w="80" w:type="dxa"/>
              <w:right w:w="100" w:type="dxa"/>
            </w:tcMar>
          </w:tcPr>
          <w:p w14:paraId="42E5EF56" w14:textId="77777777" w:rsidR="00572490" w:rsidRDefault="00000000">
            <w:r>
              <w:rPr>
                <w:color w:val="000000"/>
                <w:sz w:val="19"/>
                <w:szCs w:val="19"/>
              </w:rPr>
              <w:t>Developer-run, using government-published test suites; results filed with the authority</w:t>
            </w:r>
          </w:p>
        </w:tc>
      </w:tr>
      <w:tr w:rsidR="00572490" w14:paraId="70D39EF4" w14:textId="77777777">
        <w:tc>
          <w:tcPr>
            <w:tcW w:w="1600" w:type="dxa"/>
            <w:tcMar>
              <w:top w:w="80" w:type="dxa"/>
              <w:left w:w="100" w:type="dxa"/>
              <w:bottom w:w="80" w:type="dxa"/>
              <w:right w:w="100" w:type="dxa"/>
            </w:tcMar>
          </w:tcPr>
          <w:p w14:paraId="5D11B735" w14:textId="77777777" w:rsidR="00572490" w:rsidRDefault="00000000">
            <w:r>
              <w:rPr>
                <w:color w:val="000000"/>
                <w:sz w:val="19"/>
                <w:szCs w:val="19"/>
              </w:rPr>
              <w:t>2 — Domain Threshold</w:t>
            </w:r>
          </w:p>
        </w:tc>
        <w:tc>
          <w:tcPr>
            <w:tcW w:w="2600" w:type="dxa"/>
            <w:tcMar>
              <w:top w:w="80" w:type="dxa"/>
              <w:left w:w="100" w:type="dxa"/>
              <w:bottom w:w="80" w:type="dxa"/>
              <w:right w:w="100" w:type="dxa"/>
            </w:tcMar>
          </w:tcPr>
          <w:p w14:paraId="0BAE4DD0" w14:textId="77777777" w:rsidR="00572490" w:rsidRDefault="00000000">
            <w:r>
              <w:rPr>
                <w:color w:val="000000"/>
                <w:sz w:val="19"/>
                <w:szCs w:val="19"/>
              </w:rPr>
              <w:t>Baseline battery score in any domain exceeds the published domain threshold</w:t>
            </w:r>
          </w:p>
        </w:tc>
        <w:tc>
          <w:tcPr>
            <w:tcW w:w="3200" w:type="dxa"/>
            <w:tcMar>
              <w:top w:w="80" w:type="dxa"/>
              <w:left w:w="100" w:type="dxa"/>
              <w:bottom w:w="80" w:type="dxa"/>
              <w:right w:w="100" w:type="dxa"/>
            </w:tcMar>
          </w:tcPr>
          <w:p w14:paraId="38EBEB12" w14:textId="77777777" w:rsidR="00572490" w:rsidRDefault="00000000">
            <w:r>
              <w:rPr>
                <w:color w:val="000000"/>
                <w:sz w:val="19"/>
                <w:szCs w:val="19"/>
              </w:rPr>
              <w:t>Independent, third-party or government-institute evaluation with expanded model access before deployment</w:t>
            </w:r>
          </w:p>
        </w:tc>
        <w:tc>
          <w:tcPr>
            <w:tcW w:w="2400" w:type="dxa"/>
            <w:tcMar>
              <w:top w:w="80" w:type="dxa"/>
              <w:left w:w="100" w:type="dxa"/>
              <w:bottom w:w="80" w:type="dxa"/>
              <w:right w:w="100" w:type="dxa"/>
            </w:tcMar>
          </w:tcPr>
          <w:p w14:paraId="4DA5E875" w14:textId="77777777" w:rsidR="00572490" w:rsidRDefault="00000000">
            <w:r>
              <w:rPr>
                <w:color w:val="000000"/>
                <w:sz w:val="19"/>
                <w:szCs w:val="19"/>
              </w:rPr>
              <w:t>Accredited third-party evaluator or national AI Safety Institute; developer may contest findings</w:t>
            </w:r>
          </w:p>
        </w:tc>
      </w:tr>
      <w:tr w:rsidR="00572490" w14:paraId="6DD33D5A" w14:textId="77777777">
        <w:tc>
          <w:tcPr>
            <w:tcW w:w="1600" w:type="dxa"/>
            <w:tcMar>
              <w:top w:w="80" w:type="dxa"/>
              <w:left w:w="100" w:type="dxa"/>
              <w:bottom w:w="80" w:type="dxa"/>
              <w:right w:w="100" w:type="dxa"/>
            </w:tcMar>
          </w:tcPr>
          <w:p w14:paraId="0185D74D" w14:textId="77777777" w:rsidR="00572490" w:rsidRDefault="00000000">
            <w:r>
              <w:rPr>
                <w:color w:val="000000"/>
                <w:sz w:val="19"/>
                <w:szCs w:val="19"/>
              </w:rPr>
              <w:t>3 — Safeguard-Gated Deployment</w:t>
            </w:r>
          </w:p>
        </w:tc>
        <w:tc>
          <w:tcPr>
            <w:tcW w:w="2600" w:type="dxa"/>
            <w:tcMar>
              <w:top w:w="80" w:type="dxa"/>
              <w:left w:w="100" w:type="dxa"/>
              <w:bottom w:w="80" w:type="dxa"/>
              <w:right w:w="100" w:type="dxa"/>
            </w:tcMar>
          </w:tcPr>
          <w:p w14:paraId="06A164BE" w14:textId="77777777" w:rsidR="00572490" w:rsidRDefault="00000000">
            <w:r>
              <w:rPr>
                <w:color w:val="000000"/>
                <w:sz w:val="19"/>
                <w:szCs w:val="19"/>
              </w:rPr>
              <w:t>Independent evaluation confirms dangerous capability at or above the domain threshold</w:t>
            </w:r>
          </w:p>
        </w:tc>
        <w:tc>
          <w:tcPr>
            <w:tcW w:w="3200" w:type="dxa"/>
            <w:tcMar>
              <w:top w:w="80" w:type="dxa"/>
              <w:left w:w="100" w:type="dxa"/>
              <w:bottom w:w="80" w:type="dxa"/>
              <w:right w:w="100" w:type="dxa"/>
            </w:tcMar>
          </w:tcPr>
          <w:p w14:paraId="78A2703D" w14:textId="77777777" w:rsidR="00572490" w:rsidRDefault="00000000">
            <w:r>
              <w:rPr>
                <w:color w:val="000000"/>
                <w:sz w:val="19"/>
                <w:szCs w:val="19"/>
              </w:rPr>
              <w:t>Deployment conditioned on specified safeguards (access controls, monitoring, refusal robustness) verified before release; may include a deployment pause</w:t>
            </w:r>
          </w:p>
        </w:tc>
        <w:tc>
          <w:tcPr>
            <w:tcW w:w="2400" w:type="dxa"/>
            <w:tcMar>
              <w:top w:w="80" w:type="dxa"/>
              <w:left w:w="100" w:type="dxa"/>
              <w:bottom w:w="80" w:type="dxa"/>
              <w:right w:w="100" w:type="dxa"/>
            </w:tcMar>
          </w:tcPr>
          <w:p w14:paraId="0AB8C7BC" w14:textId="77777777" w:rsidR="00572490" w:rsidRDefault="00000000">
            <w:r>
              <w:rPr>
                <w:color w:val="000000"/>
                <w:sz w:val="19"/>
                <w:szCs w:val="19"/>
              </w:rPr>
              <w:t>National regulator, informed by evaluator findings; subject to expedited judicial review</w:t>
            </w:r>
          </w:p>
        </w:tc>
      </w:tr>
    </w:tbl>
    <w:p w14:paraId="5BE59F87" w14:textId="77777777" w:rsidR="00572490" w:rsidRDefault="00000000">
      <w:pPr>
        <w:spacing w:before="80" w:after="240"/>
        <w:jc w:val="center"/>
      </w:pPr>
      <w:r>
        <w:rPr>
          <w:i/>
          <w:iCs/>
          <w:color w:val="555555"/>
          <w:sz w:val="18"/>
          <w:szCs w:val="18"/>
        </w:rPr>
        <w:t>Table 2. The Tiered Capability Threshold model. Each tier's trigger determines who evaluates the model and what authority can act on the result.</w:t>
      </w:r>
    </w:p>
    <w:p w14:paraId="1325E55F" w14:textId="77777777" w:rsidR="00572490" w:rsidRDefault="00000000">
      <w:pPr>
        <w:pStyle w:val="Heading2"/>
      </w:pPr>
      <w:r>
        <w:t>4.2 Tier 0 — Compute-Based Screening Filter</w:t>
      </w:r>
    </w:p>
    <w:p w14:paraId="6270C8BB" w14:textId="77777777" w:rsidR="00D422CB" w:rsidRDefault="00D422CB">
      <w:pPr>
        <w:pStyle w:val="Heading2"/>
        <w:rPr>
          <w:b w:val="0"/>
          <w:bCs w:val="0"/>
          <w:color w:val="auto"/>
          <w:sz w:val="22"/>
          <w:szCs w:val="22"/>
        </w:rPr>
      </w:pPr>
      <w:r w:rsidRPr="00D422CB">
        <w:rPr>
          <w:b w:val="0"/>
          <w:bCs w:val="0"/>
          <w:color w:val="auto"/>
          <w:sz w:val="22"/>
          <w:szCs w:val="22"/>
        </w:rPr>
        <w:t>Tier 0 keeps the existing statutory compute thresholds largely as they are. There is no reason to drop a filter that costs regulators nothing and already has support across the EU, California, New York and Illinois. What changes is how the framework treats the filter’s purpose. Crossing the filter triggers registration and disclosure not a presumption of danger. This fixes the problem where heavy paperwork attaches automatically to models that have compute but may be safe. Crucially Tier 0 also adds an independent trigger that is missing in current law: a model that has not passed the compute threshold but is credibly reported – by an evaluator, a competitor, an incident report or the developer’s own internal testing – to exceed a Tier 2 domain threshold will be pulled into the framework regardless of its training compute. This closes the algorithmic</w:t>
      </w:r>
      <w:r w:rsidRPr="00D422CB">
        <w:rPr>
          <w:b w:val="0"/>
          <w:bCs w:val="0"/>
          <w:color w:val="auto"/>
          <w:sz w:val="22"/>
          <w:szCs w:val="22"/>
        </w:rPr>
        <w:noBreakHyphen/>
        <w:t xml:space="preserve">efficiency loophole: a </w:t>
      </w:r>
      <w:proofErr w:type="gramStart"/>
      <w:r w:rsidRPr="00D422CB">
        <w:rPr>
          <w:b w:val="0"/>
          <w:bCs w:val="0"/>
          <w:color w:val="auto"/>
          <w:sz w:val="22"/>
          <w:szCs w:val="22"/>
        </w:rPr>
        <w:t>small capable</w:t>
      </w:r>
      <w:proofErr w:type="gramEnd"/>
      <w:r w:rsidRPr="00D422CB">
        <w:rPr>
          <w:b w:val="0"/>
          <w:bCs w:val="0"/>
          <w:color w:val="auto"/>
          <w:sz w:val="22"/>
          <w:szCs w:val="22"/>
        </w:rPr>
        <w:t xml:space="preserve"> model cannot simply sit below the compute line.</w:t>
      </w:r>
    </w:p>
    <w:p w14:paraId="540D5BA3" w14:textId="4A2AAE62" w:rsidR="00572490" w:rsidRDefault="00000000">
      <w:pPr>
        <w:pStyle w:val="Heading2"/>
      </w:pPr>
      <w:r>
        <w:t>4.3 Tier 1 — Mandatory Baseline Evaluation</w:t>
      </w:r>
    </w:p>
    <w:p w14:paraId="046AAB38" w14:textId="77777777" w:rsidR="00D422CB" w:rsidRDefault="00D422CB">
      <w:pPr>
        <w:pStyle w:val="Heading2"/>
        <w:rPr>
          <w:b w:val="0"/>
          <w:bCs w:val="0"/>
          <w:color w:val="auto"/>
          <w:sz w:val="22"/>
          <w:szCs w:val="22"/>
        </w:rPr>
      </w:pPr>
      <w:r w:rsidRPr="00D422CB">
        <w:rPr>
          <w:b w:val="0"/>
          <w:bCs w:val="0"/>
          <w:color w:val="auto"/>
          <w:sz w:val="22"/>
          <w:szCs w:val="22"/>
        </w:rPr>
        <w:t>Every Tier 0 developer must run a baseline battery before public or API deployment. The battery covers, at minimum, biological and chemical weapons uplift, offensive cyber capability, autonomous AI research and development and deceptive or power</w:t>
      </w:r>
      <w:r w:rsidRPr="00D422CB">
        <w:rPr>
          <w:b w:val="0"/>
          <w:bCs w:val="0"/>
          <w:color w:val="auto"/>
          <w:sz w:val="22"/>
          <w:szCs w:val="22"/>
        </w:rPr>
        <w:noBreakHyphen/>
        <w:t>seeking behaviour linked to loss of control. The battery itself is. Version</w:t>
      </w:r>
      <w:r w:rsidRPr="00D422CB">
        <w:rPr>
          <w:b w:val="0"/>
          <w:bCs w:val="0"/>
          <w:color w:val="auto"/>
          <w:sz w:val="22"/>
          <w:szCs w:val="22"/>
        </w:rPr>
        <w:noBreakHyphen/>
        <w:t>controlled by the standing technical panel described in Section 4.6. It borrows directly from the dangerous</w:t>
      </w:r>
      <w:r w:rsidRPr="00D422CB">
        <w:rPr>
          <w:b w:val="0"/>
          <w:bCs w:val="0"/>
          <w:color w:val="auto"/>
          <w:sz w:val="22"/>
          <w:szCs w:val="22"/>
        </w:rPr>
        <w:noBreakHyphen/>
        <w:t>capability evaluation methodology already used inside lab frameworks – multiple</w:t>
      </w:r>
      <w:r w:rsidRPr="00D422CB">
        <w:rPr>
          <w:b w:val="0"/>
          <w:bCs w:val="0"/>
          <w:color w:val="auto"/>
          <w:sz w:val="22"/>
          <w:szCs w:val="22"/>
        </w:rPr>
        <w:noBreakHyphen/>
        <w:t>choice and open</w:t>
      </w:r>
      <w:r w:rsidRPr="00D422CB">
        <w:rPr>
          <w:b w:val="0"/>
          <w:bCs w:val="0"/>
          <w:color w:val="auto"/>
          <w:sz w:val="22"/>
          <w:szCs w:val="22"/>
        </w:rPr>
        <w:noBreakHyphen/>
        <w:t>ended proxy tasks tool</w:t>
      </w:r>
      <w:r w:rsidRPr="00D422CB">
        <w:rPr>
          <w:b w:val="0"/>
          <w:bCs w:val="0"/>
          <w:color w:val="auto"/>
          <w:sz w:val="22"/>
          <w:szCs w:val="22"/>
        </w:rPr>
        <w:noBreakHyphen/>
        <w:t>augmented red</w:t>
      </w:r>
      <w:r w:rsidRPr="00D422CB">
        <w:rPr>
          <w:b w:val="0"/>
          <w:bCs w:val="0"/>
          <w:color w:val="auto"/>
          <w:sz w:val="22"/>
          <w:szCs w:val="22"/>
        </w:rPr>
        <w:noBreakHyphen/>
        <w:t>teaming and where human uplift trials. The developer runs the battery themselves because only the developer can practically run tens of thousands of internal evaluation queries against a pre</w:t>
      </w:r>
      <w:r w:rsidRPr="00D422CB">
        <w:rPr>
          <w:b w:val="0"/>
          <w:bCs w:val="0"/>
          <w:color w:val="auto"/>
          <w:sz w:val="22"/>
          <w:szCs w:val="22"/>
        </w:rPr>
        <w:noBreakHyphen/>
        <w:t xml:space="preserve">release model. </w:t>
      </w:r>
      <w:proofErr w:type="gramStart"/>
      <w:r w:rsidRPr="00D422CB">
        <w:rPr>
          <w:b w:val="0"/>
          <w:bCs w:val="0"/>
          <w:color w:val="auto"/>
          <w:sz w:val="22"/>
          <w:szCs w:val="22"/>
        </w:rPr>
        <w:t>However</w:t>
      </w:r>
      <w:proofErr w:type="gramEnd"/>
      <w:r w:rsidRPr="00D422CB">
        <w:rPr>
          <w:b w:val="0"/>
          <w:bCs w:val="0"/>
          <w:color w:val="auto"/>
          <w:sz w:val="22"/>
          <w:szCs w:val="22"/>
        </w:rPr>
        <w:t xml:space="preserve"> the developer must file transcripts and scoring methodology with the designated authority, not just a summary score. Filing the raw evaluation record – not a pass/fail statement – allows Tier 2 review to be truly independent rather than a re</w:t>
      </w:r>
      <w:r w:rsidRPr="00D422CB">
        <w:rPr>
          <w:b w:val="0"/>
          <w:bCs w:val="0"/>
          <w:color w:val="auto"/>
          <w:sz w:val="22"/>
          <w:szCs w:val="22"/>
        </w:rPr>
        <w:noBreakHyphen/>
        <w:t>litigation of the developer’s own summary.</w:t>
      </w:r>
    </w:p>
    <w:p w14:paraId="426CEAA0" w14:textId="4BA141EB" w:rsidR="00572490" w:rsidRDefault="00000000">
      <w:pPr>
        <w:pStyle w:val="Heading2"/>
      </w:pPr>
      <w:r>
        <w:t>4.4 Tier 2 — Domain-Specific Dangerous Capability Thresholds</w:t>
      </w:r>
    </w:p>
    <w:p w14:paraId="30C5B1FA" w14:textId="77777777" w:rsidR="00D422CB" w:rsidRDefault="00D422CB">
      <w:pPr>
        <w:pStyle w:val="Heading2"/>
        <w:rPr>
          <w:b w:val="0"/>
          <w:bCs w:val="0"/>
          <w:color w:val="auto"/>
          <w:sz w:val="22"/>
          <w:szCs w:val="22"/>
        </w:rPr>
      </w:pPr>
      <w:r w:rsidRPr="00D422CB">
        <w:rPr>
          <w:b w:val="0"/>
          <w:bCs w:val="0"/>
          <w:color w:val="auto"/>
          <w:sz w:val="22"/>
          <w:szCs w:val="22"/>
        </w:rPr>
        <w:t xml:space="preserve">A baseline score above a published domain threshold sends the model to evaluation. The thresholds should be defined like the careful lab frameworks </w:t>
      </w:r>
      <w:proofErr w:type="gramStart"/>
      <w:r w:rsidRPr="00D422CB">
        <w:rPr>
          <w:b w:val="0"/>
          <w:bCs w:val="0"/>
          <w:color w:val="auto"/>
          <w:sz w:val="22"/>
          <w:szCs w:val="22"/>
        </w:rPr>
        <w:t>do:</w:t>
      </w:r>
      <w:proofErr w:type="gramEnd"/>
      <w:r w:rsidRPr="00D422CB">
        <w:rPr>
          <w:b w:val="0"/>
          <w:bCs w:val="0"/>
          <w:color w:val="auto"/>
          <w:sz w:val="22"/>
          <w:szCs w:val="22"/>
        </w:rPr>
        <w:t xml:space="preserve"> not as a single benchmark number but as a </w:t>
      </w:r>
      <w:r w:rsidRPr="00D422CB">
        <w:rPr>
          <w:b w:val="0"/>
          <w:bCs w:val="0"/>
          <w:color w:val="auto"/>
          <w:sz w:val="22"/>
          <w:szCs w:val="22"/>
        </w:rPr>
        <w:lastRenderedPageBreak/>
        <w:t xml:space="preserve">qualitative capability description. For </w:t>
      </w:r>
      <w:proofErr w:type="gramStart"/>
      <w:r w:rsidRPr="00D422CB">
        <w:rPr>
          <w:b w:val="0"/>
          <w:bCs w:val="0"/>
          <w:color w:val="auto"/>
          <w:sz w:val="22"/>
          <w:szCs w:val="22"/>
        </w:rPr>
        <w:t>example</w:t>
      </w:r>
      <w:proofErr w:type="gramEnd"/>
      <w:r w:rsidRPr="00D422CB">
        <w:rPr>
          <w:b w:val="0"/>
          <w:bCs w:val="0"/>
          <w:color w:val="auto"/>
          <w:sz w:val="22"/>
          <w:szCs w:val="22"/>
        </w:rPr>
        <w:t xml:space="preserve"> providing uplift to a non</w:t>
      </w:r>
      <w:r w:rsidRPr="00D422CB">
        <w:rPr>
          <w:b w:val="0"/>
          <w:bCs w:val="0"/>
          <w:color w:val="auto"/>
          <w:sz w:val="22"/>
          <w:szCs w:val="22"/>
        </w:rPr>
        <w:noBreakHyphen/>
        <w:t>expert attempting to acquire a biological weapon compared to existing public resources. This description is turned into a proxy task suite that the standing panel updates as elicitation techniques improve. Independent evaluation at this tier can be performed by an AI Safety Institute, such as those already operating in the UK and the US or by an accredited third</w:t>
      </w:r>
      <w:r w:rsidRPr="00D422CB">
        <w:rPr>
          <w:b w:val="0"/>
          <w:bCs w:val="0"/>
          <w:color w:val="auto"/>
          <w:sz w:val="22"/>
          <w:szCs w:val="22"/>
        </w:rPr>
        <w:noBreakHyphen/>
        <w:t>party evaluator under contract. The evaluator uses expanded model access – activations, minimally</w:t>
      </w:r>
      <w:r w:rsidRPr="00D422CB">
        <w:rPr>
          <w:b w:val="0"/>
          <w:bCs w:val="0"/>
          <w:color w:val="auto"/>
          <w:sz w:val="22"/>
          <w:szCs w:val="22"/>
        </w:rPr>
        <w:noBreakHyphen/>
      </w:r>
      <w:proofErr w:type="spellStart"/>
      <w:r w:rsidRPr="00D422CB">
        <w:rPr>
          <w:b w:val="0"/>
          <w:bCs w:val="0"/>
          <w:color w:val="auto"/>
          <w:sz w:val="22"/>
          <w:szCs w:val="22"/>
        </w:rPr>
        <w:t>guardrailed</w:t>
      </w:r>
      <w:proofErr w:type="spellEnd"/>
      <w:r w:rsidRPr="00D422CB">
        <w:rPr>
          <w:b w:val="0"/>
          <w:bCs w:val="0"/>
          <w:color w:val="auto"/>
          <w:sz w:val="22"/>
          <w:szCs w:val="22"/>
        </w:rPr>
        <w:t xml:space="preserve"> variants and fine</w:t>
      </w:r>
      <w:r w:rsidRPr="00D422CB">
        <w:rPr>
          <w:b w:val="0"/>
          <w:bCs w:val="0"/>
          <w:color w:val="auto"/>
          <w:sz w:val="22"/>
          <w:szCs w:val="22"/>
        </w:rPr>
        <w:noBreakHyphen/>
        <w:t>tuning access – to what frontier labs already give to government evaluators under voluntary testing arrangements. The developer keeps the right to contest a Tier 2 finding through a defined appeal before it triggers Tier 3 consequences. This protects against an evaluator’s methodological error becoming an irreversible deployment block.</w:t>
      </w:r>
    </w:p>
    <w:p w14:paraId="14EDD91F" w14:textId="29B8C762" w:rsidR="00572490" w:rsidRDefault="00000000">
      <w:pPr>
        <w:pStyle w:val="Heading2"/>
      </w:pPr>
      <w:r>
        <w:t>4.5 Tier 3 — Escalation and Safeguard Requirements</w:t>
      </w:r>
    </w:p>
    <w:p w14:paraId="74C8A9C1" w14:textId="77777777" w:rsidR="00D422CB" w:rsidRDefault="00D422CB">
      <w:pPr>
        <w:pStyle w:val="Heading2"/>
        <w:rPr>
          <w:b w:val="0"/>
          <w:bCs w:val="0"/>
          <w:color w:val="auto"/>
          <w:sz w:val="22"/>
          <w:szCs w:val="22"/>
        </w:rPr>
      </w:pPr>
      <w:r w:rsidRPr="00D422CB">
        <w:rPr>
          <w:b w:val="0"/>
          <w:bCs w:val="0"/>
          <w:color w:val="auto"/>
          <w:sz w:val="22"/>
          <w:szCs w:val="22"/>
        </w:rPr>
        <w:t xml:space="preserve">A confirmed Tier 2 finding does not automatically mean a deployment ban. It means deployment is conditioned on safeguards that match the capability found. For </w:t>
      </w:r>
      <w:proofErr w:type="gramStart"/>
      <w:r w:rsidRPr="00D422CB">
        <w:rPr>
          <w:b w:val="0"/>
          <w:bCs w:val="0"/>
          <w:color w:val="auto"/>
          <w:sz w:val="22"/>
          <w:szCs w:val="22"/>
        </w:rPr>
        <w:t>instance</w:t>
      </w:r>
      <w:proofErr w:type="gramEnd"/>
      <w:r w:rsidRPr="00D422CB">
        <w:rPr>
          <w:b w:val="0"/>
          <w:bCs w:val="0"/>
          <w:color w:val="auto"/>
          <w:sz w:val="22"/>
          <w:szCs w:val="22"/>
        </w:rPr>
        <w:t xml:space="preserve"> tiered access. Know</w:t>
      </w:r>
      <w:r w:rsidRPr="00D422CB">
        <w:rPr>
          <w:b w:val="0"/>
          <w:bCs w:val="0"/>
          <w:color w:val="auto"/>
          <w:sz w:val="22"/>
          <w:szCs w:val="22"/>
        </w:rPr>
        <w:noBreakHyphen/>
        <w:t>your</w:t>
      </w:r>
      <w:r w:rsidRPr="00D422CB">
        <w:rPr>
          <w:b w:val="0"/>
          <w:bCs w:val="0"/>
          <w:color w:val="auto"/>
          <w:sz w:val="22"/>
          <w:szCs w:val="22"/>
        </w:rPr>
        <w:noBreakHyphen/>
        <w:t>customer requirements for a model with cyber</w:t>
      </w:r>
      <w:r w:rsidRPr="00D422CB">
        <w:rPr>
          <w:b w:val="0"/>
          <w:bCs w:val="0"/>
          <w:color w:val="auto"/>
          <w:sz w:val="22"/>
          <w:szCs w:val="22"/>
        </w:rPr>
        <w:noBreakHyphen/>
        <w:t>offense uplift or jailbreak</w:t>
      </w:r>
      <w:r w:rsidRPr="00D422CB">
        <w:rPr>
          <w:b w:val="0"/>
          <w:bCs w:val="0"/>
          <w:color w:val="auto"/>
          <w:sz w:val="22"/>
          <w:szCs w:val="22"/>
        </w:rPr>
        <w:noBreakHyphen/>
        <w:t>robust refusal behaviour verified by the same evaluator for a model with CBRN uplift. Only findings in the capability band roughly the most severe tier in existing lab frameworks trigger a deployment pause while safeguards are verified. Any such pause is time</w:t>
      </w:r>
      <w:r w:rsidRPr="00D422CB">
        <w:rPr>
          <w:b w:val="0"/>
          <w:bCs w:val="0"/>
          <w:color w:val="auto"/>
          <w:sz w:val="22"/>
          <w:szCs w:val="22"/>
        </w:rPr>
        <w:noBreakHyphen/>
        <w:t>bound. Must be subject to expedited judicial or administrative review so that a government body cannot block deployment indefinitely without a reviewable evidentiary basis. This mirrors the structure most lab frameworks already claim to follow the change is that a Tier 3 finding is now independently verified and legally binding rather than self</w:t>
      </w:r>
      <w:r w:rsidRPr="00D422CB">
        <w:rPr>
          <w:b w:val="0"/>
          <w:bCs w:val="0"/>
          <w:color w:val="auto"/>
          <w:sz w:val="22"/>
          <w:szCs w:val="22"/>
        </w:rPr>
        <w:noBreakHyphen/>
        <w:t>certified.</w:t>
      </w:r>
    </w:p>
    <w:p w14:paraId="73E1CD2A" w14:textId="22DC3421" w:rsidR="00572490" w:rsidRDefault="00000000">
      <w:pPr>
        <w:pStyle w:val="Heading2"/>
      </w:pPr>
      <w:r>
        <w:t>4.6 The Update Mechanism: A Standing Technical Panel</w:t>
      </w:r>
    </w:p>
    <w:p w14:paraId="5FC1E94D" w14:textId="77777777" w:rsidR="00216A13" w:rsidRDefault="00216A13">
      <w:pPr>
        <w:pStyle w:val="Heading1"/>
        <w:rPr>
          <w:b w:val="0"/>
          <w:bCs w:val="0"/>
          <w:color w:val="auto"/>
          <w:sz w:val="22"/>
          <w:szCs w:val="22"/>
        </w:rPr>
      </w:pPr>
      <w:r w:rsidRPr="00216A13">
        <w:rPr>
          <w:b w:val="0"/>
          <w:bCs w:val="0"/>
          <w:color w:val="auto"/>
          <w:sz w:val="22"/>
          <w:szCs w:val="22"/>
        </w:rPr>
        <w:t xml:space="preserve">very element of this framework that requires a number – the Tier 0 compute floor, the Tier 1 battery the Tier 2 domain thresholds – will become wrong within two to three years if fixed in statute. </w:t>
      </w:r>
      <w:proofErr w:type="gramStart"/>
      <w:r w:rsidRPr="00216A13">
        <w:rPr>
          <w:b w:val="0"/>
          <w:bCs w:val="0"/>
          <w:color w:val="auto"/>
          <w:sz w:val="22"/>
          <w:szCs w:val="22"/>
        </w:rPr>
        <w:t>Therefore</w:t>
      </w:r>
      <w:proofErr w:type="gramEnd"/>
      <w:r w:rsidRPr="00216A13">
        <w:rPr>
          <w:b w:val="0"/>
          <w:bCs w:val="0"/>
          <w:color w:val="auto"/>
          <w:sz w:val="22"/>
          <w:szCs w:val="22"/>
        </w:rPr>
        <w:t xml:space="preserve"> the framework gives authority to revise all quantitative and evaluation</w:t>
      </w:r>
      <w:r w:rsidRPr="00216A13">
        <w:rPr>
          <w:b w:val="0"/>
          <w:bCs w:val="0"/>
          <w:color w:val="auto"/>
          <w:sz w:val="22"/>
          <w:szCs w:val="22"/>
        </w:rPr>
        <w:noBreakHyphen/>
        <w:t xml:space="preserve">design elements to a technical panel. This panel is </w:t>
      </w:r>
      <w:proofErr w:type="gramStart"/>
      <w:r w:rsidRPr="00216A13">
        <w:rPr>
          <w:b w:val="0"/>
          <w:bCs w:val="0"/>
          <w:color w:val="auto"/>
          <w:sz w:val="22"/>
          <w:szCs w:val="22"/>
        </w:rPr>
        <w:t>similar to</w:t>
      </w:r>
      <w:proofErr w:type="gramEnd"/>
      <w:r w:rsidRPr="00216A13">
        <w:rPr>
          <w:b w:val="0"/>
          <w:bCs w:val="0"/>
          <w:color w:val="auto"/>
          <w:sz w:val="22"/>
          <w:szCs w:val="22"/>
        </w:rPr>
        <w:t xml:space="preserve"> the European Commission’s delegated</w:t>
      </w:r>
      <w:r w:rsidRPr="00216A13">
        <w:rPr>
          <w:b w:val="0"/>
          <w:bCs w:val="0"/>
          <w:color w:val="auto"/>
          <w:sz w:val="22"/>
          <w:szCs w:val="22"/>
        </w:rPr>
        <w:noBreakHyphen/>
        <w:t xml:space="preserve">act power to update the AI Act’s FLOP thresholds without legislative </w:t>
      </w:r>
      <w:proofErr w:type="gramStart"/>
      <w:r w:rsidRPr="00216A13">
        <w:rPr>
          <w:b w:val="0"/>
          <w:bCs w:val="0"/>
          <w:color w:val="auto"/>
          <w:sz w:val="22"/>
          <w:szCs w:val="22"/>
        </w:rPr>
        <w:t>reauthorization</w:t>
      </w:r>
      <w:proofErr w:type="gramEnd"/>
      <w:r w:rsidRPr="00216A13">
        <w:rPr>
          <w:b w:val="0"/>
          <w:bCs w:val="0"/>
          <w:color w:val="auto"/>
          <w:sz w:val="22"/>
          <w:szCs w:val="22"/>
        </w:rPr>
        <w:t xml:space="preserve"> but it covers capability thresholds and evaluation methodology not only compute. The panel should include members from AI Safety Institutes, independent academic evaluation groups and rotating secondees from frontier developers who recuse themselves from votes that affect their own employer’s models. This structure is closer to a technical standards body such as IEEE or NIST than to a regulatory agency because the problem – keeping evaluation methodology in step, with elicitation technique – is a standards problem before it is a political one.</w:t>
      </w:r>
    </w:p>
    <w:p w14:paraId="6F5EF1C9" w14:textId="1A80F19E" w:rsidR="00572490" w:rsidRDefault="00000000">
      <w:pPr>
        <w:pStyle w:val="Heading1"/>
      </w:pPr>
      <w:r>
        <w:t>5. Institutional Design: Who Decides?</w:t>
      </w:r>
    </w:p>
    <w:p w14:paraId="286E99DE" w14:textId="77777777" w:rsidR="00572490" w:rsidRDefault="00000000">
      <w:pPr>
        <w:pStyle w:val="Heading2"/>
      </w:pPr>
      <w:r>
        <w:t>5.1 The Case Against Self-Assessment Alone</w:t>
      </w:r>
    </w:p>
    <w:p w14:paraId="3ECECFD1" w14:textId="77777777" w:rsidR="00216A13" w:rsidRDefault="00216A13">
      <w:pPr>
        <w:pStyle w:val="Heading2"/>
        <w:rPr>
          <w:b w:val="0"/>
          <w:bCs w:val="0"/>
          <w:color w:val="auto"/>
          <w:sz w:val="22"/>
          <w:szCs w:val="22"/>
        </w:rPr>
      </w:pPr>
      <w:r w:rsidRPr="00216A13">
        <w:rPr>
          <w:b w:val="0"/>
          <w:bCs w:val="0"/>
          <w:color w:val="auto"/>
          <w:sz w:val="22"/>
          <w:szCs w:val="22"/>
        </w:rPr>
        <w:t>The main reason not to let developers check their models is not that developers lie. It is because a developer who checks its work has a built</w:t>
      </w:r>
      <w:r w:rsidRPr="00216A13">
        <w:rPr>
          <w:b w:val="0"/>
          <w:bCs w:val="0"/>
          <w:color w:val="auto"/>
          <w:sz w:val="22"/>
          <w:szCs w:val="22"/>
        </w:rPr>
        <w:noBreakHyphen/>
        <w:t xml:space="preserve">in unfair advantage. If a developer misses a feature the harm is spread out shows up later and usually hurts other people. If a developer marks its model as dangerous the harm is quick, focused and hurts the developer with lost money and a weaker market position. This unfair situation happens even if the developer is honest. It does not need intentions; it just comes from </w:t>
      </w:r>
      <w:r w:rsidRPr="00216A13">
        <w:rPr>
          <w:b w:val="0"/>
          <w:bCs w:val="0"/>
          <w:color w:val="auto"/>
          <w:sz w:val="22"/>
          <w:szCs w:val="22"/>
        </w:rPr>
        <w:lastRenderedPageBreak/>
        <w:t>normal business pressures dealing with uncertain facts. This is why financial audits, medicine tests and airplane safety checks are done by outsiders for trustworthy companies and why the new system requires an extra level of independent review.</w:t>
      </w:r>
    </w:p>
    <w:p w14:paraId="5C094328" w14:textId="2F35D23A" w:rsidR="00572490" w:rsidRDefault="00000000">
      <w:pPr>
        <w:pStyle w:val="Heading2"/>
      </w:pPr>
      <w:r>
        <w:t>5.2 A Multi-Stakeholder Evaluation Architecture</w:t>
      </w:r>
    </w:p>
    <w:p w14:paraId="718A40C4" w14:textId="77777777" w:rsidR="00216A13" w:rsidRDefault="00216A13">
      <w:pPr>
        <w:pStyle w:val="Heading2"/>
        <w:rPr>
          <w:b w:val="0"/>
          <w:bCs w:val="0"/>
          <w:color w:val="auto"/>
          <w:sz w:val="22"/>
          <w:szCs w:val="22"/>
        </w:rPr>
      </w:pPr>
      <w:r w:rsidRPr="00216A13">
        <w:rPr>
          <w:b w:val="0"/>
          <w:bCs w:val="0"/>
          <w:color w:val="auto"/>
          <w:sz w:val="22"/>
          <w:szCs w:val="22"/>
        </w:rPr>
        <w:t xml:space="preserve">The plan does not put all power into one government office. There are two reasons. First the government does not yet have people and tools to do all the work. Second one office that does all the checking could be easily taken over by interests. </w:t>
      </w:r>
      <w:proofErr w:type="gramStart"/>
      <w:r w:rsidRPr="00216A13">
        <w:rPr>
          <w:b w:val="0"/>
          <w:bCs w:val="0"/>
          <w:color w:val="auto"/>
          <w:sz w:val="22"/>
          <w:szCs w:val="22"/>
        </w:rPr>
        <w:t>Instead</w:t>
      </w:r>
      <w:proofErr w:type="gramEnd"/>
      <w:r w:rsidRPr="00216A13">
        <w:rPr>
          <w:b w:val="0"/>
          <w:bCs w:val="0"/>
          <w:color w:val="auto"/>
          <w:sz w:val="22"/>
          <w:szCs w:val="22"/>
        </w:rPr>
        <w:t xml:space="preserve"> Tier 2 checking is split among three kinds of groups that follow the rules set by the panel in Section 4.6. One group is AI Safety Institutes. They handle the dangerous tests, like CBRN and loss</w:t>
      </w:r>
      <w:r w:rsidRPr="00216A13">
        <w:rPr>
          <w:b w:val="0"/>
          <w:bCs w:val="0"/>
          <w:color w:val="auto"/>
          <w:sz w:val="22"/>
          <w:szCs w:val="22"/>
        </w:rPr>
        <w:noBreakHyphen/>
        <w:t>of</w:t>
      </w:r>
      <w:r w:rsidRPr="00216A13">
        <w:rPr>
          <w:b w:val="0"/>
          <w:bCs w:val="0"/>
          <w:color w:val="auto"/>
          <w:sz w:val="22"/>
          <w:szCs w:val="22"/>
        </w:rPr>
        <w:noBreakHyphen/>
        <w:t>control checks, where the government’s own data and secret information are most needed. The second group is accredited third</w:t>
      </w:r>
      <w:r w:rsidRPr="00216A13">
        <w:rPr>
          <w:b w:val="0"/>
          <w:bCs w:val="0"/>
          <w:color w:val="auto"/>
          <w:sz w:val="22"/>
          <w:szCs w:val="22"/>
        </w:rPr>
        <w:noBreakHyphen/>
        <w:t xml:space="preserve">party evaluators. These are the nonprofit and university groups that already look at new models. They handle cyber. Ai research tests where experts live outside government. The third group is for developers who are too small for full independent checks. They use an attestation system and must share their check records with the panel so that samples can be reviewed. This plan is </w:t>
      </w:r>
      <w:proofErr w:type="gramStart"/>
      <w:r w:rsidRPr="00216A13">
        <w:rPr>
          <w:b w:val="0"/>
          <w:bCs w:val="0"/>
          <w:color w:val="auto"/>
          <w:sz w:val="22"/>
          <w:szCs w:val="22"/>
        </w:rPr>
        <w:t>similar to</w:t>
      </w:r>
      <w:proofErr w:type="gramEnd"/>
      <w:r w:rsidRPr="00216A13">
        <w:rPr>
          <w:b w:val="0"/>
          <w:bCs w:val="0"/>
          <w:color w:val="auto"/>
          <w:sz w:val="22"/>
          <w:szCs w:val="22"/>
        </w:rPr>
        <w:t xml:space="preserve"> how financial audits use firms that follow public rules instead of one government audit office. The government stays involved for the most sensitive areas, where only the government has the right data.</w:t>
      </w:r>
    </w:p>
    <w:p w14:paraId="54445B3C" w14:textId="57B262EF" w:rsidR="00572490" w:rsidRDefault="00000000">
      <w:pPr>
        <w:pStyle w:val="Heading2"/>
      </w:pPr>
      <w:r>
        <w:t>5.3 International Coordination and Mutual Recognition</w:t>
      </w:r>
    </w:p>
    <w:p w14:paraId="2258E2A3" w14:textId="77777777" w:rsidR="00216A13" w:rsidRDefault="00216A13">
      <w:pPr>
        <w:pStyle w:val="Heading1"/>
        <w:rPr>
          <w:b w:val="0"/>
          <w:bCs w:val="0"/>
          <w:color w:val="auto"/>
          <w:sz w:val="22"/>
          <w:szCs w:val="22"/>
        </w:rPr>
      </w:pPr>
      <w:r w:rsidRPr="00216A13">
        <w:rPr>
          <w:b w:val="0"/>
          <w:bCs w:val="0"/>
          <w:color w:val="auto"/>
          <w:sz w:val="22"/>
          <w:szCs w:val="22"/>
        </w:rPr>
        <w:t xml:space="preserve">If each country runs the rules in its way developers will look for the easiest place to launch. That is the problem that caused the compute limits in the first place. When a developer </w:t>
      </w:r>
      <w:proofErr w:type="gramStart"/>
      <w:r w:rsidRPr="00216A13">
        <w:rPr>
          <w:b w:val="0"/>
          <w:bCs w:val="0"/>
          <w:color w:val="auto"/>
          <w:sz w:val="22"/>
          <w:szCs w:val="22"/>
        </w:rPr>
        <w:t>has to</w:t>
      </w:r>
      <w:proofErr w:type="gramEnd"/>
      <w:r w:rsidRPr="00216A13">
        <w:rPr>
          <w:b w:val="0"/>
          <w:bCs w:val="0"/>
          <w:color w:val="auto"/>
          <w:sz w:val="22"/>
          <w:szCs w:val="22"/>
        </w:rPr>
        <w:t xml:space="preserve"> meet Tier 2 rules in the EU, US or UK it will try to launch in the country with the lowest bar. </w:t>
      </w:r>
      <w:proofErr w:type="gramStart"/>
      <w:r w:rsidRPr="00216A13">
        <w:rPr>
          <w:b w:val="0"/>
          <w:bCs w:val="0"/>
          <w:color w:val="auto"/>
          <w:sz w:val="22"/>
          <w:szCs w:val="22"/>
        </w:rPr>
        <w:t>Therefore</w:t>
      </w:r>
      <w:proofErr w:type="gramEnd"/>
      <w:r w:rsidRPr="00216A13">
        <w:rPr>
          <w:b w:val="0"/>
          <w:bCs w:val="0"/>
          <w:color w:val="auto"/>
          <w:sz w:val="22"/>
          <w:szCs w:val="22"/>
        </w:rPr>
        <w:t xml:space="preserve"> the rules should be made so that one country’s Tier 2 result is automatically accepted by the others. This is how airplane safety checks and financial audit rules work: they use technical rules instead of one world regulator. The technical panel in Section 4.6 should handle this cross</w:t>
      </w:r>
      <w:r w:rsidRPr="00216A13">
        <w:rPr>
          <w:b w:val="0"/>
          <w:bCs w:val="0"/>
          <w:color w:val="auto"/>
          <w:sz w:val="22"/>
          <w:szCs w:val="22"/>
        </w:rPr>
        <w:noBreakHyphen/>
        <w:t>country acceptance because it already keeps the checking methods the same. Existing global meetings, like the network of AI Safety Institutes and the follow</w:t>
      </w:r>
      <w:r w:rsidRPr="00216A13">
        <w:rPr>
          <w:b w:val="0"/>
          <w:bCs w:val="0"/>
          <w:color w:val="auto"/>
          <w:sz w:val="22"/>
          <w:szCs w:val="22"/>
        </w:rPr>
        <w:noBreakHyphen/>
        <w:t xml:space="preserve">on process, after the Seoul and Bletchley AI Safety Summits already give a ready forum so we do not need a </w:t>
      </w:r>
      <w:proofErr w:type="gramStart"/>
      <w:r w:rsidRPr="00216A13">
        <w:rPr>
          <w:b w:val="0"/>
          <w:bCs w:val="0"/>
          <w:color w:val="auto"/>
          <w:sz w:val="22"/>
          <w:szCs w:val="22"/>
        </w:rPr>
        <w:t>brand new</w:t>
      </w:r>
      <w:proofErr w:type="gramEnd"/>
      <w:r w:rsidRPr="00216A13">
        <w:rPr>
          <w:b w:val="0"/>
          <w:bCs w:val="0"/>
          <w:color w:val="auto"/>
          <w:sz w:val="22"/>
          <w:szCs w:val="22"/>
        </w:rPr>
        <w:t xml:space="preserve"> treaty body.</w:t>
      </w:r>
    </w:p>
    <w:p w14:paraId="361DC9C9" w14:textId="01BBF2A9" w:rsidR="00572490" w:rsidRDefault="00000000">
      <w:pPr>
        <w:pStyle w:val="Heading1"/>
      </w:pPr>
      <w:r>
        <w:t>6. Addressing Anticipated Objections</w:t>
      </w:r>
    </w:p>
    <w:p w14:paraId="2FD2E73B" w14:textId="77777777" w:rsidR="00572490" w:rsidRDefault="00000000">
      <w:pPr>
        <w:pStyle w:val="Heading2"/>
      </w:pPr>
      <w:r>
        <w:t>6.1 Algorithmic Efficiency and the Moving Target Problem</w:t>
      </w:r>
    </w:p>
    <w:p w14:paraId="48FD99A6" w14:textId="5803421C" w:rsidR="00572490" w:rsidRDefault="00216A13">
      <w:pPr>
        <w:spacing w:after="200" w:line="276" w:lineRule="auto"/>
        <w:jc w:val="both"/>
      </w:pPr>
      <w:r w:rsidRPr="00216A13">
        <w:t xml:space="preserve">If capability itself is the target does the </w:t>
      </w:r>
      <w:proofErr w:type="gramStart"/>
      <w:r w:rsidRPr="00216A13">
        <w:t>framework</w:t>
      </w:r>
      <w:proofErr w:type="gramEnd"/>
      <w:r w:rsidRPr="00216A13">
        <w:t xml:space="preserve"> simply shift the moving</w:t>
      </w:r>
      <w:r w:rsidRPr="00216A13">
        <w:noBreakHyphen/>
        <w:t xml:space="preserve">target problem from compute to capability because evaluation methods will always be behind the elicitation technique? Partially, </w:t>
      </w:r>
      <w:proofErr w:type="gramStart"/>
      <w:r w:rsidRPr="00216A13">
        <w:t>yes..</w:t>
      </w:r>
      <w:proofErr w:type="gramEnd"/>
      <w:r w:rsidRPr="00216A13">
        <w:t xml:space="preserve"> The framework is stronger against this failure mode than a compute threshold for two reasons. First capability evaluation can be run again on a model that's already in use using a better elicitation technique. A compute threshold cannot be applied backwards to a model that was cheap to train. The Tier 0 capability</w:t>
      </w:r>
      <w:r w:rsidRPr="00216A13">
        <w:noBreakHyphen/>
        <w:t>escalation trigger in Section 4.2 was created to catch a model that passes evaluation today but later is found dangerous by an elicitation method. Second because thresholds are updated by a standing panel instead of by law the time lag between a new elicitation technique appearing and the evaluation suite adding it is measured by the panel’s revision cycle. That cycle can be set in months not in the cycle of legal amendment that currently controls compute thresholds</w:t>
      </w:r>
      <w:r>
        <w:t>.</w:t>
      </w:r>
    </w:p>
    <w:p w14:paraId="43FC5FA1" w14:textId="77777777" w:rsidR="00572490" w:rsidRDefault="00000000">
      <w:pPr>
        <w:pStyle w:val="Heading2"/>
      </w:pPr>
      <w:r>
        <w:lastRenderedPageBreak/>
        <w:t>6.2 Post-Training Enhancement and Fine-Tuning Risk</w:t>
      </w:r>
    </w:p>
    <w:p w14:paraId="04F47D08" w14:textId="77777777" w:rsidR="00216A13" w:rsidRDefault="00216A13">
      <w:pPr>
        <w:pStyle w:val="Heading2"/>
        <w:rPr>
          <w:b w:val="0"/>
          <w:bCs w:val="0"/>
          <w:color w:val="auto"/>
          <w:sz w:val="22"/>
          <w:szCs w:val="22"/>
        </w:rPr>
      </w:pPr>
      <w:r w:rsidRPr="00216A13">
        <w:rPr>
          <w:b w:val="0"/>
          <w:bCs w:val="0"/>
          <w:color w:val="auto"/>
          <w:sz w:val="22"/>
          <w:szCs w:val="22"/>
        </w:rPr>
        <w:t>A model that is evaluated before it is released can be fine</w:t>
      </w:r>
      <w:r w:rsidRPr="00216A13">
        <w:rPr>
          <w:b w:val="0"/>
          <w:bCs w:val="0"/>
          <w:color w:val="auto"/>
          <w:sz w:val="22"/>
          <w:szCs w:val="22"/>
        </w:rPr>
        <w:noBreakHyphen/>
        <w:t>tuned after it is released either by the developer or by a downstream party that has API or open</w:t>
      </w:r>
      <w:r w:rsidRPr="00216A13">
        <w:rPr>
          <w:b w:val="0"/>
          <w:bCs w:val="0"/>
          <w:color w:val="auto"/>
          <w:sz w:val="22"/>
          <w:szCs w:val="22"/>
        </w:rPr>
        <w:noBreakHyphen/>
        <w:t>weight access. This fine</w:t>
      </w:r>
      <w:r w:rsidRPr="00216A13">
        <w:rPr>
          <w:b w:val="0"/>
          <w:bCs w:val="0"/>
          <w:color w:val="auto"/>
          <w:sz w:val="22"/>
          <w:szCs w:val="22"/>
        </w:rPr>
        <w:noBreakHyphen/>
        <w:t>tuning can change the model’s capability in a way. The framework solves this by making the evaluation triggers apply to the way the model is deployed not to the initial training run. If a developer offers fine</w:t>
      </w:r>
      <w:r w:rsidRPr="00216A13">
        <w:rPr>
          <w:b w:val="0"/>
          <w:bCs w:val="0"/>
          <w:color w:val="auto"/>
          <w:sz w:val="22"/>
          <w:szCs w:val="22"/>
        </w:rPr>
        <w:noBreakHyphen/>
        <w:t>tuning access especially when safety guardrails are lowered that developer must run the Tier 1 baseline battery again on the permissive fine</w:t>
      </w:r>
      <w:r w:rsidRPr="00216A13">
        <w:rPr>
          <w:b w:val="0"/>
          <w:bCs w:val="0"/>
          <w:color w:val="auto"/>
          <w:sz w:val="22"/>
          <w:szCs w:val="22"/>
        </w:rPr>
        <w:noBreakHyphen/>
        <w:t>tuned version that it offers. The developer must not test the default release. For open</w:t>
      </w:r>
      <w:r w:rsidRPr="00216A13">
        <w:rPr>
          <w:b w:val="0"/>
          <w:bCs w:val="0"/>
          <w:color w:val="auto"/>
          <w:sz w:val="22"/>
          <w:szCs w:val="22"/>
        </w:rPr>
        <w:noBreakHyphen/>
        <w:t>weight models, where the original developer cannot monitor or control post</w:t>
      </w:r>
      <w:r w:rsidRPr="00216A13">
        <w:rPr>
          <w:b w:val="0"/>
          <w:bCs w:val="0"/>
          <w:color w:val="auto"/>
          <w:sz w:val="22"/>
          <w:szCs w:val="22"/>
        </w:rPr>
        <w:noBreakHyphen/>
        <w:t>release fine</w:t>
      </w:r>
      <w:r w:rsidRPr="00216A13">
        <w:rPr>
          <w:b w:val="0"/>
          <w:bCs w:val="0"/>
          <w:color w:val="auto"/>
          <w:sz w:val="22"/>
          <w:szCs w:val="22"/>
        </w:rPr>
        <w:noBreakHyphen/>
        <w:t>tuning by parties the framework changes the evaluation question. Of asking what the developer’s released weights can do it asks what a moderately resourced actor could elicit from those weights with fine</w:t>
      </w:r>
      <w:r w:rsidRPr="00216A13">
        <w:rPr>
          <w:b w:val="0"/>
          <w:bCs w:val="0"/>
          <w:color w:val="auto"/>
          <w:sz w:val="22"/>
          <w:szCs w:val="22"/>
        </w:rPr>
        <w:noBreakHyphen/>
        <w:t>tuning. It requires that this harder question be answered before the model is open</w:t>
      </w:r>
      <w:r w:rsidRPr="00216A13">
        <w:rPr>
          <w:b w:val="0"/>
          <w:bCs w:val="0"/>
          <w:color w:val="auto"/>
          <w:sz w:val="22"/>
          <w:szCs w:val="22"/>
        </w:rPr>
        <w:noBreakHyphen/>
        <w:t>released if the model reaches Tier 1. This is different from treating open</w:t>
      </w:r>
      <w:r w:rsidRPr="00216A13">
        <w:rPr>
          <w:b w:val="0"/>
          <w:bCs w:val="0"/>
          <w:color w:val="auto"/>
          <w:sz w:val="22"/>
          <w:szCs w:val="22"/>
        </w:rPr>
        <w:noBreakHyphen/>
        <w:t>weight release as a path than API deployment.</w:t>
      </w:r>
    </w:p>
    <w:p w14:paraId="077B01E0" w14:textId="1FBF322C" w:rsidR="00572490" w:rsidRDefault="00000000">
      <w:pPr>
        <w:pStyle w:val="Heading2"/>
      </w:pPr>
      <w:r>
        <w:t>6.3 Gaming and Evaluation Validity</w:t>
      </w:r>
    </w:p>
    <w:p w14:paraId="089E3F15" w14:textId="77777777" w:rsidR="00216A13" w:rsidRDefault="00216A13">
      <w:pPr>
        <w:pStyle w:val="Heading2"/>
        <w:rPr>
          <w:b w:val="0"/>
          <w:bCs w:val="0"/>
          <w:color w:val="auto"/>
          <w:sz w:val="22"/>
          <w:szCs w:val="22"/>
        </w:rPr>
      </w:pPr>
      <w:r w:rsidRPr="00216A13">
        <w:rPr>
          <w:b w:val="0"/>
          <w:bCs w:val="0"/>
          <w:color w:val="auto"/>
          <w:sz w:val="22"/>
          <w:szCs w:val="22"/>
        </w:rPr>
        <w:t>Any evaluation suite that is published invites models to be trained against that test whether on purpose or because the training data is similar. The framework. Does not remove this risk through three design choices that are already mentioned. First the framework uses raw transcript filing (Section 4.3) of self</w:t>
      </w:r>
      <w:r w:rsidRPr="00216A13">
        <w:rPr>
          <w:b w:val="0"/>
          <w:bCs w:val="0"/>
          <w:color w:val="auto"/>
          <w:sz w:val="22"/>
          <w:szCs w:val="22"/>
        </w:rPr>
        <w:noBreakHyphen/>
        <w:t>reported summary scores. This lets an independent reviewer see score patterns that do not match capability instead of just memorized answer formats. Second the framework uses held</w:t>
      </w:r>
      <w:r w:rsidRPr="00216A13">
        <w:rPr>
          <w:b w:val="0"/>
          <w:bCs w:val="0"/>
          <w:color w:val="auto"/>
          <w:sz w:val="22"/>
          <w:szCs w:val="22"/>
        </w:rPr>
        <w:noBreakHyphen/>
        <w:t>out. Occasionally rotated proxy tasks that are kept by the standing panel not by developers. Third the framework uses Tier 2 re</w:t>
      </w:r>
      <w:r w:rsidRPr="00216A13">
        <w:rPr>
          <w:b w:val="0"/>
          <w:bCs w:val="0"/>
          <w:color w:val="auto"/>
          <w:sz w:val="22"/>
          <w:szCs w:val="22"/>
        </w:rPr>
        <w:noBreakHyphen/>
        <w:t>evaluation with expanded model access that is less guarded. This re</w:t>
      </w:r>
      <w:r w:rsidRPr="00216A13">
        <w:rPr>
          <w:b w:val="0"/>
          <w:bCs w:val="0"/>
          <w:color w:val="auto"/>
          <w:sz w:val="22"/>
          <w:szCs w:val="22"/>
        </w:rPr>
        <w:noBreakHyphen/>
        <w:t>evaluation is done for models that scored close to a threshold on the developer</w:t>
      </w:r>
      <w:r w:rsidRPr="00216A13">
        <w:rPr>
          <w:b w:val="0"/>
          <w:bCs w:val="0"/>
          <w:color w:val="auto"/>
          <w:sz w:val="22"/>
          <w:szCs w:val="22"/>
        </w:rPr>
        <w:noBreakHyphen/>
        <w:t>run Tier 1 battery. Models that game a test are most likely to show a mismatch between their public</w:t>
      </w:r>
      <w:r w:rsidRPr="00216A13">
        <w:rPr>
          <w:b w:val="0"/>
          <w:bCs w:val="0"/>
          <w:color w:val="auto"/>
          <w:sz w:val="22"/>
          <w:szCs w:val="22"/>
        </w:rPr>
        <w:noBreakHyphen/>
        <w:t>battery score and their behaviour when tested with less constraints.</w:t>
      </w:r>
    </w:p>
    <w:p w14:paraId="4681E415" w14:textId="35C60443" w:rsidR="00572490" w:rsidRDefault="00000000">
      <w:pPr>
        <w:pStyle w:val="Heading2"/>
      </w:pPr>
      <w:r>
        <w:t>6.4 Regulatory Capture and Industry Influence</w:t>
      </w:r>
    </w:p>
    <w:p w14:paraId="14309D75" w14:textId="77777777" w:rsidR="00216A13" w:rsidRDefault="00216A13">
      <w:pPr>
        <w:pStyle w:val="Heading1"/>
        <w:rPr>
          <w:b w:val="0"/>
          <w:bCs w:val="0"/>
          <w:color w:val="auto"/>
          <w:sz w:val="22"/>
          <w:szCs w:val="22"/>
        </w:rPr>
      </w:pPr>
      <w:r w:rsidRPr="00216A13">
        <w:rPr>
          <w:b w:val="0"/>
          <w:bCs w:val="0"/>
          <w:color w:val="auto"/>
          <w:sz w:val="22"/>
          <w:szCs w:val="22"/>
        </w:rPr>
        <w:t>A standing technical panel that has rotating secondees from frontier developers is a way for capture to happen. This paper does not say that the recusal rule in Section 4.6 completely solves the problem. The truth is that some industry technical input is needed because frontier</w:t>
      </w:r>
      <w:r w:rsidRPr="00216A13">
        <w:rPr>
          <w:b w:val="0"/>
          <w:bCs w:val="0"/>
          <w:color w:val="auto"/>
          <w:sz w:val="22"/>
          <w:szCs w:val="22"/>
        </w:rPr>
        <w:noBreakHyphen/>
        <w:t>model expertise is very concentrated now. The safeguard against capture is built into the structure, not good intentions. The safeguards include publication of panel discussions and disagreements a supermajority rule for any threshold change that loosens a standard rather than tightens it and standing rights, for independent civil</w:t>
      </w:r>
      <w:r w:rsidRPr="00216A13">
        <w:rPr>
          <w:b w:val="0"/>
          <w:bCs w:val="0"/>
          <w:color w:val="auto"/>
          <w:sz w:val="22"/>
          <w:szCs w:val="22"/>
        </w:rPr>
        <w:noBreakHyphen/>
        <w:t>society and academic evaluators to ask for threshold review even when the panel does not initiate it. None of these removes influence completely. They are made to make capture visible and more expensive not to stop it completely. This is the standard that is used for other technical standards bodies that get industry input in other safety</w:t>
      </w:r>
      <w:r w:rsidRPr="00216A13">
        <w:rPr>
          <w:b w:val="0"/>
          <w:bCs w:val="0"/>
          <w:color w:val="auto"/>
          <w:sz w:val="22"/>
          <w:szCs w:val="22"/>
        </w:rPr>
        <w:noBreakHyphen/>
        <w:t>critical areas.</w:t>
      </w:r>
    </w:p>
    <w:p w14:paraId="2FD2F4D7" w14:textId="1627E95F" w:rsidR="00572490" w:rsidRDefault="00000000">
      <w:pPr>
        <w:pStyle w:val="Heading1"/>
      </w:pPr>
      <w:r>
        <w:t>7. Comparative Assessment Against Existing Regimes</w:t>
      </w:r>
    </w:p>
    <w:p w14:paraId="01324BDB" w14:textId="09F85554" w:rsidR="00572490" w:rsidRDefault="006F273D">
      <w:pPr>
        <w:spacing w:after="200" w:line="276" w:lineRule="auto"/>
        <w:jc w:val="both"/>
      </w:pPr>
      <w:r w:rsidRPr="006F273D">
        <w:t>Measured against the EU AI Act the proposed framework keeps the Acts compute-plus-discretionary-override structure. Changes the override from an ad hoc Commission power into a standing, pre</w:t>
      </w:r>
      <w:r w:rsidRPr="006F273D">
        <w:noBreakHyphen/>
        <w:t xml:space="preserve">published independently administered evaluation pipeline. This change fixes the EU regime’s current weakness: a </w:t>
      </w:r>
      <w:r w:rsidRPr="006F273D">
        <w:lastRenderedPageBreak/>
        <w:t>systemic</w:t>
      </w:r>
      <w:r w:rsidRPr="006F273D">
        <w:noBreakHyphen/>
        <w:t>risk designation on capability grounds has rarely been used in practice even though it exists in law. Measured against SB 53 the RAISE Act and SB 315 the framework keeps their compute-and-revenue filter for registration. Adds the independent verification layer that all three currently lack. Each of those laws relies on the developer’s published framework and self</w:t>
      </w:r>
      <w:r w:rsidRPr="006F273D">
        <w:noBreakHyphen/>
        <w:t>reported compliance without a government or accredited third</w:t>
      </w:r>
      <w:r w:rsidRPr="006F273D">
        <w:noBreakHyphen/>
        <w:t>party re</w:t>
      </w:r>
      <w:r w:rsidRPr="006F273D">
        <w:noBreakHyphen/>
        <w:t>testing the developer’s evaluation claims. Measured against lab frameworks the framework adopts their central technical insight—domain</w:t>
      </w:r>
      <w:r w:rsidRPr="006F273D">
        <w:noBreakHyphen/>
        <w:t>specific Capability Thresholds tied to a tiered safeguard ladder—while removing the feature that makes them ultimately unenforceable against a non</w:t>
      </w:r>
      <w:r w:rsidRPr="006F273D">
        <w:noBreakHyphen/>
        <w:t>cooperative developer: the lab itself decides when its own threshold has been crossed. No existing regime currently combines all three moves—compute as filter, standardized thresholds as trigger and independent verification as consequence—into a single statutory design. That gap is the purpose of this paper’s framework, not a replacement of what regulators have already built.</w:t>
      </w:r>
    </w:p>
    <w:p w14:paraId="0194D2CD" w14:textId="77777777" w:rsidR="00572490" w:rsidRDefault="00000000">
      <w:pPr>
        <w:pStyle w:val="Heading1"/>
      </w:pPr>
      <w:r>
        <w:t>8. Limitations and Future Research</w:t>
      </w:r>
    </w:p>
    <w:p w14:paraId="48610C65" w14:textId="423ADDD9" w:rsidR="006F273D" w:rsidRPr="006F273D" w:rsidRDefault="006F273D" w:rsidP="006F273D">
      <w:pPr>
        <w:pStyle w:val="Heading1"/>
        <w:rPr>
          <w:b w:val="0"/>
          <w:bCs w:val="0"/>
          <w:color w:val="auto"/>
          <w:sz w:val="22"/>
          <w:szCs w:val="22"/>
        </w:rPr>
      </w:pPr>
      <w:r w:rsidRPr="006F273D">
        <w:rPr>
          <w:b w:val="0"/>
          <w:bCs w:val="0"/>
          <w:color w:val="auto"/>
          <w:sz w:val="22"/>
          <w:szCs w:val="22"/>
        </w:rPr>
        <w:t>Evaluation capacity is a bottleneck today. National AI Safety Institutes and accredited third</w:t>
      </w:r>
      <w:r w:rsidRPr="006F273D">
        <w:rPr>
          <w:rFonts w:ascii="Cambria Math" w:hAnsi="Cambria Math" w:cs="Cambria Math"/>
          <w:b w:val="0"/>
          <w:bCs w:val="0"/>
          <w:color w:val="auto"/>
          <w:sz w:val="22"/>
          <w:szCs w:val="22"/>
        </w:rPr>
        <w:t>‑</w:t>
      </w:r>
      <w:r w:rsidRPr="006F273D">
        <w:rPr>
          <w:b w:val="0"/>
          <w:bCs w:val="0"/>
          <w:color w:val="auto"/>
          <w:sz w:val="22"/>
          <w:szCs w:val="22"/>
        </w:rPr>
        <w:t>party evaluators do not currently have the staffing to conduct Tier 2 review at the pace frontier labs release models; the framework’s timeline assumes capacity</w:t>
      </w:r>
      <w:r w:rsidRPr="006F273D">
        <w:rPr>
          <w:rFonts w:ascii="Cambria Math" w:hAnsi="Cambria Math" w:cs="Cambria Math"/>
          <w:b w:val="0"/>
          <w:bCs w:val="0"/>
          <w:color w:val="auto"/>
          <w:sz w:val="22"/>
          <w:szCs w:val="22"/>
        </w:rPr>
        <w:t>‑</w:t>
      </w:r>
      <w:r w:rsidRPr="006F273D">
        <w:rPr>
          <w:b w:val="0"/>
          <w:bCs w:val="0"/>
          <w:color w:val="auto"/>
          <w:sz w:val="22"/>
          <w:szCs w:val="22"/>
        </w:rPr>
        <w:t>building that's underway but not complete and a transition period with narrower initial domain coverage (starting with CBRN the domain with the clearest existing government expertise) is more realistic than full four</w:t>
      </w:r>
      <w:r w:rsidRPr="006F273D">
        <w:rPr>
          <w:rFonts w:ascii="Cambria Math" w:hAnsi="Cambria Math" w:cs="Cambria Math"/>
          <w:b w:val="0"/>
          <w:bCs w:val="0"/>
          <w:color w:val="auto"/>
          <w:sz w:val="22"/>
          <w:szCs w:val="22"/>
        </w:rPr>
        <w:t>‑</w:t>
      </w:r>
      <w:r w:rsidRPr="006F273D">
        <w:rPr>
          <w:b w:val="0"/>
          <w:bCs w:val="0"/>
          <w:color w:val="auto"/>
          <w:sz w:val="22"/>
          <w:szCs w:val="22"/>
        </w:rPr>
        <w:t>domain coverage on day one.</w:t>
      </w:r>
    </w:p>
    <w:p w14:paraId="0CC4886C" w14:textId="3CC08F01" w:rsidR="006F273D" w:rsidRPr="006F273D" w:rsidRDefault="006F273D" w:rsidP="006F273D">
      <w:pPr>
        <w:pStyle w:val="Heading1"/>
        <w:rPr>
          <w:b w:val="0"/>
          <w:bCs w:val="0"/>
          <w:color w:val="auto"/>
          <w:sz w:val="22"/>
          <w:szCs w:val="22"/>
        </w:rPr>
      </w:pPr>
      <w:r w:rsidRPr="006F273D">
        <w:rPr>
          <w:b w:val="0"/>
          <w:bCs w:val="0"/>
          <w:color w:val="auto"/>
          <w:sz w:val="22"/>
          <w:szCs w:val="22"/>
        </w:rPr>
        <w:t>• The framework does not resolve how to evaluate systems built from combinations of individually sub</w:t>
      </w:r>
      <w:r w:rsidRPr="006F273D">
        <w:rPr>
          <w:rFonts w:ascii="Cambria Math" w:hAnsi="Cambria Math" w:cs="Cambria Math"/>
          <w:b w:val="0"/>
          <w:bCs w:val="0"/>
          <w:color w:val="auto"/>
          <w:sz w:val="22"/>
          <w:szCs w:val="22"/>
        </w:rPr>
        <w:t>‑</w:t>
      </w:r>
      <w:r w:rsidRPr="006F273D">
        <w:rPr>
          <w:b w:val="0"/>
          <w:bCs w:val="0"/>
          <w:color w:val="auto"/>
          <w:sz w:val="22"/>
          <w:szCs w:val="22"/>
        </w:rPr>
        <w:t xml:space="preserve">threshold models—agentic systems composed of multiple specialized models tool calls and external services—where no single component crosses a Tier 0 or Tier 1 </w:t>
      </w:r>
      <w:proofErr w:type="gramStart"/>
      <w:r w:rsidRPr="006F273D">
        <w:rPr>
          <w:b w:val="0"/>
          <w:bCs w:val="0"/>
          <w:color w:val="auto"/>
          <w:sz w:val="22"/>
          <w:szCs w:val="22"/>
        </w:rPr>
        <w:t>line</w:t>
      </w:r>
      <w:proofErr w:type="gramEnd"/>
      <w:r w:rsidRPr="006F273D">
        <w:rPr>
          <w:b w:val="0"/>
          <w:bCs w:val="0"/>
          <w:color w:val="auto"/>
          <w:sz w:val="22"/>
          <w:szCs w:val="22"/>
        </w:rPr>
        <w:t xml:space="preserve"> but the composed system’s emergent capability might. This is a methodological problem for the standing panel, not one this paper claims to solve.</w:t>
      </w:r>
    </w:p>
    <w:p w14:paraId="560E2C99" w14:textId="0F75FEE7" w:rsidR="006F273D" w:rsidRPr="006F273D" w:rsidRDefault="006F273D" w:rsidP="006F273D">
      <w:pPr>
        <w:pStyle w:val="Heading1"/>
        <w:rPr>
          <w:b w:val="0"/>
          <w:bCs w:val="0"/>
          <w:color w:val="auto"/>
          <w:sz w:val="22"/>
          <w:szCs w:val="22"/>
        </w:rPr>
      </w:pPr>
      <w:r w:rsidRPr="006F273D">
        <w:rPr>
          <w:b w:val="0"/>
          <w:bCs w:val="0"/>
          <w:color w:val="auto"/>
          <w:sz w:val="22"/>
          <w:szCs w:val="22"/>
        </w:rPr>
        <w:t>• International mutual recognition (Section 5.3) is proposed but not currently backed by any binding agreement; the paper treats this as the important near</w:t>
      </w:r>
      <w:r w:rsidRPr="006F273D">
        <w:rPr>
          <w:rFonts w:ascii="Cambria Math" w:hAnsi="Cambria Math" w:cs="Cambria Math"/>
          <w:b w:val="0"/>
          <w:bCs w:val="0"/>
          <w:color w:val="auto"/>
          <w:sz w:val="22"/>
          <w:szCs w:val="22"/>
        </w:rPr>
        <w:t>‑</w:t>
      </w:r>
      <w:r w:rsidRPr="006F273D">
        <w:rPr>
          <w:b w:val="0"/>
          <w:bCs w:val="0"/>
          <w:color w:val="auto"/>
          <w:sz w:val="22"/>
          <w:szCs w:val="22"/>
        </w:rPr>
        <w:t>term institution</w:t>
      </w:r>
      <w:r w:rsidRPr="006F273D">
        <w:rPr>
          <w:rFonts w:ascii="Cambria Math" w:hAnsi="Cambria Math" w:cs="Cambria Math"/>
          <w:b w:val="0"/>
          <w:bCs w:val="0"/>
          <w:color w:val="auto"/>
          <w:sz w:val="22"/>
          <w:szCs w:val="22"/>
        </w:rPr>
        <w:t>‑</w:t>
      </w:r>
      <w:r w:rsidRPr="006F273D">
        <w:rPr>
          <w:b w:val="0"/>
          <w:bCs w:val="0"/>
          <w:color w:val="auto"/>
          <w:sz w:val="22"/>
          <w:szCs w:val="22"/>
        </w:rPr>
        <w:t>building priority for the framework to be more than a national patch on a global development landscape.</w:t>
      </w:r>
    </w:p>
    <w:p w14:paraId="5DC85712" w14:textId="334F978E" w:rsidR="006F273D" w:rsidRDefault="006F273D" w:rsidP="006F273D">
      <w:pPr>
        <w:pStyle w:val="Heading1"/>
        <w:rPr>
          <w:b w:val="0"/>
          <w:bCs w:val="0"/>
          <w:color w:val="auto"/>
          <w:sz w:val="22"/>
          <w:szCs w:val="22"/>
        </w:rPr>
      </w:pPr>
      <w:r w:rsidRPr="006F273D">
        <w:rPr>
          <w:b w:val="0"/>
          <w:bCs w:val="0"/>
          <w:color w:val="auto"/>
          <w:sz w:val="22"/>
          <w:szCs w:val="22"/>
        </w:rPr>
        <w:t>• The framework assumes good</w:t>
      </w:r>
      <w:r w:rsidRPr="006F273D">
        <w:rPr>
          <w:rFonts w:ascii="Cambria Math" w:hAnsi="Cambria Math" w:cs="Cambria Math"/>
          <w:b w:val="0"/>
          <w:bCs w:val="0"/>
          <w:color w:val="auto"/>
          <w:sz w:val="22"/>
          <w:szCs w:val="22"/>
        </w:rPr>
        <w:t>‑</w:t>
      </w:r>
      <w:r w:rsidRPr="006F273D">
        <w:rPr>
          <w:b w:val="0"/>
          <w:bCs w:val="0"/>
          <w:color w:val="auto"/>
          <w:sz w:val="22"/>
          <w:szCs w:val="22"/>
        </w:rPr>
        <w:t>faith developer participation in Tier 0 registration; it does not by itself address a developer that declines to register or trains outside any participating jurisdiction’s reach a</w:t>
      </w:r>
      <w:r>
        <w:rPr>
          <w:b w:val="0"/>
          <w:bCs w:val="0"/>
          <w:color w:val="auto"/>
          <w:sz w:val="22"/>
          <w:szCs w:val="22"/>
        </w:rPr>
        <w:t xml:space="preserve"> </w:t>
      </w:r>
      <w:r w:rsidRPr="006F273D">
        <w:rPr>
          <w:b w:val="0"/>
          <w:bCs w:val="0"/>
          <w:color w:val="auto"/>
          <w:sz w:val="22"/>
          <w:szCs w:val="22"/>
        </w:rPr>
        <w:t>limitation shared by every proposed compute</w:t>
      </w:r>
      <w:r w:rsidRPr="006F273D">
        <w:rPr>
          <w:rFonts w:ascii="Cambria Math" w:hAnsi="Cambria Math" w:cs="Cambria Math"/>
          <w:b w:val="0"/>
          <w:bCs w:val="0"/>
          <w:color w:val="auto"/>
          <w:sz w:val="22"/>
          <w:szCs w:val="22"/>
        </w:rPr>
        <w:t>‑</w:t>
      </w:r>
      <w:r w:rsidRPr="006F273D">
        <w:rPr>
          <w:b w:val="0"/>
          <w:bCs w:val="0"/>
          <w:color w:val="auto"/>
          <w:sz w:val="22"/>
          <w:szCs w:val="22"/>
        </w:rPr>
        <w:t>threshold regime and one this paper does not attempt to solve through evaluation design alone.</w:t>
      </w:r>
    </w:p>
    <w:p w14:paraId="04CFD98C" w14:textId="2270D5D7" w:rsidR="00572490" w:rsidRDefault="00000000" w:rsidP="006F273D">
      <w:pPr>
        <w:pStyle w:val="Heading1"/>
      </w:pPr>
      <w:r>
        <w:t>9. Conclusion</w:t>
      </w:r>
    </w:p>
    <w:p w14:paraId="49607550" w14:textId="77777777" w:rsidR="006F273D" w:rsidRDefault="006F273D">
      <w:pPr>
        <w:pStyle w:val="Heading1"/>
        <w:rPr>
          <w:b w:val="0"/>
          <w:bCs w:val="0"/>
          <w:color w:val="auto"/>
          <w:sz w:val="22"/>
          <w:szCs w:val="22"/>
        </w:rPr>
      </w:pPr>
      <w:r w:rsidRPr="006F273D">
        <w:rPr>
          <w:b w:val="0"/>
          <w:bCs w:val="0"/>
          <w:color w:val="auto"/>
          <w:sz w:val="22"/>
          <w:szCs w:val="22"/>
        </w:rPr>
        <w:t xml:space="preserve">The question in this paper’s title has a simple answer and a genuinely hard one. The simple answer is that dangerous capability, not training cost should decide when a frontier model faces safety scrutiny—a claim with which most current frontier developers, several legislatures and most of the academic literature already agree in principle. The hard answer is institutional: who runs the evaluation, who can overrule a developer’s assessment how the thresholds get updated fast enough to matter and what </w:t>
      </w:r>
      <w:r w:rsidRPr="006F273D">
        <w:rPr>
          <w:b w:val="0"/>
          <w:bCs w:val="0"/>
          <w:color w:val="auto"/>
          <w:sz w:val="22"/>
          <w:szCs w:val="22"/>
        </w:rPr>
        <w:lastRenderedPageBreak/>
        <w:t>legally happens the moment a line is crossed. Existing regimes have made progress on the easy answer and comparatively little on the hard one. The Tiered Capability Threshold framework proposed here is an attempt to take the answer as seriously as the easy one: keep compute as a cheap already</w:t>
      </w:r>
      <w:r w:rsidRPr="006F273D">
        <w:rPr>
          <w:b w:val="0"/>
          <w:bCs w:val="0"/>
          <w:color w:val="auto"/>
          <w:sz w:val="22"/>
          <w:szCs w:val="22"/>
        </w:rPr>
        <w:noBreakHyphen/>
        <w:t>legislated filter; make the capability thresholds that already exist inside lab frameworks public standardized and revisable by a body built for that purpose; and place independent verification, not self</w:t>
      </w:r>
      <w:r w:rsidRPr="006F273D">
        <w:rPr>
          <w:b w:val="0"/>
          <w:bCs w:val="0"/>
          <w:color w:val="auto"/>
          <w:sz w:val="22"/>
          <w:szCs w:val="22"/>
        </w:rPr>
        <w:noBreakHyphen/>
        <w:t>certification between a capability finding and its legal consequences. None of this makes the underlying measurement problem easy. It does however move the decision about when AI's too dangerous from a question a developer answers about itself to a question with a defined, accountable and revisable answer—​which is the minimum a governance framework, for this technology should be expected to provide.</w:t>
      </w:r>
    </w:p>
    <w:p w14:paraId="15F25E8A" w14:textId="5ACEC4CB" w:rsidR="00572490" w:rsidRDefault="00000000">
      <w:pPr>
        <w:pStyle w:val="Heading1"/>
      </w:pPr>
      <w:r>
        <w:t>References</w:t>
      </w:r>
    </w:p>
    <w:p w14:paraId="0E219925" w14:textId="77777777" w:rsidR="00572490" w:rsidRDefault="00000000">
      <w:pPr>
        <w:spacing w:after="200" w:line="276" w:lineRule="auto"/>
        <w:jc w:val="both"/>
      </w:pPr>
      <w:r>
        <w:t>California State Legislature. Senate Bill 53, Transparency in Frontier Artificial Intelligence Act, Chapter 138, Statutes of 2025.</w:t>
      </w:r>
    </w:p>
    <w:p w14:paraId="39FCDF15" w14:textId="77777777" w:rsidR="00572490" w:rsidRDefault="00000000">
      <w:pPr>
        <w:spacing w:after="200" w:line="276" w:lineRule="auto"/>
        <w:jc w:val="both"/>
      </w:pPr>
      <w:r>
        <w:t>European Union. Regulation (EU) 2024/1689 (Artificial Intelligence Act), General-Purpose AI Code of Practice.</w:t>
      </w:r>
    </w:p>
    <w:p w14:paraId="3506FCC6" w14:textId="77777777" w:rsidR="00572490" w:rsidRDefault="00000000">
      <w:pPr>
        <w:spacing w:after="200" w:line="276" w:lineRule="auto"/>
        <w:jc w:val="both"/>
      </w:pPr>
      <w:r>
        <w:t>Illinois General Assembly. SB 315 (2027–2028 implementation).</w:t>
      </w:r>
    </w:p>
    <w:p w14:paraId="681C1118" w14:textId="77777777" w:rsidR="00572490" w:rsidRDefault="00000000">
      <w:pPr>
        <w:spacing w:after="200" w:line="276" w:lineRule="auto"/>
        <w:jc w:val="both"/>
      </w:pPr>
      <w:r>
        <w:t>New York State Legislature. RAISE Act, General Business Law Article 44-B, Chapter 699 of 2025, as amended by Chapter 96 of 2026.</w:t>
      </w:r>
    </w:p>
    <w:p w14:paraId="17C8A568" w14:textId="77777777" w:rsidR="00572490" w:rsidRDefault="00000000">
      <w:pPr>
        <w:spacing w:after="200" w:line="276" w:lineRule="auto"/>
        <w:jc w:val="both"/>
      </w:pPr>
      <w:r>
        <w:t>METR. “Frontier AI Safety Regulations: A Reference for Lab Staff.” 2026.</w:t>
      </w:r>
    </w:p>
    <w:p w14:paraId="077E388A" w14:textId="77777777" w:rsidR="00572490" w:rsidRDefault="00000000">
      <w:pPr>
        <w:spacing w:after="200" w:line="276" w:lineRule="auto"/>
        <w:jc w:val="both"/>
      </w:pPr>
      <w:r>
        <w:t>Institute for Law &amp; AI. “The Role of Compute Thresholds for AI Governance.”</w:t>
      </w:r>
    </w:p>
    <w:p w14:paraId="104BAAA0" w14:textId="77777777" w:rsidR="00572490" w:rsidRDefault="00000000">
      <w:pPr>
        <w:spacing w:after="200" w:line="276" w:lineRule="auto"/>
        <w:jc w:val="both"/>
      </w:pPr>
      <w:r>
        <w:t>Heim, L. “Training Compute Thresholds: Features and Functions in AI Regulation.”</w:t>
      </w:r>
    </w:p>
    <w:p w14:paraId="41DD8136" w14:textId="77777777" w:rsidR="00572490" w:rsidRDefault="00000000">
      <w:pPr>
        <w:spacing w:after="200" w:line="276" w:lineRule="auto"/>
        <w:jc w:val="both"/>
      </w:pPr>
      <w:proofErr w:type="spellStart"/>
      <w:r>
        <w:t>Segerie</w:t>
      </w:r>
      <w:proofErr w:type="spellEnd"/>
      <w:r>
        <w:t xml:space="preserve">, C. and Centre pour la Sécurité de </w:t>
      </w:r>
      <w:proofErr w:type="spellStart"/>
      <w:r>
        <w:t>l’IA</w:t>
      </w:r>
      <w:proofErr w:type="spellEnd"/>
      <w:r>
        <w:t xml:space="preserve"> (</w:t>
      </w:r>
      <w:proofErr w:type="spellStart"/>
      <w:r>
        <w:t>CeSIA</w:t>
      </w:r>
      <w:proofErr w:type="spellEnd"/>
      <w:r>
        <w:t>). “Harmonizing Frontier Lab Safety Thresholds.”</w:t>
      </w:r>
    </w:p>
    <w:p w14:paraId="69B2BA39" w14:textId="77777777" w:rsidR="00572490" w:rsidRDefault="00000000">
      <w:pPr>
        <w:spacing w:after="200" w:line="276" w:lineRule="auto"/>
        <w:jc w:val="both"/>
      </w:pPr>
      <w:r>
        <w:t>Anthropic. Responsible Scaling Policy, v3.0 and successor versions.</w:t>
      </w:r>
    </w:p>
    <w:p w14:paraId="089F1319" w14:textId="77777777" w:rsidR="00572490" w:rsidRDefault="00000000">
      <w:pPr>
        <w:spacing w:after="200" w:line="276" w:lineRule="auto"/>
        <w:jc w:val="both"/>
      </w:pPr>
      <w:r>
        <w:t>OpenAI. Preparedness Framework v2 and Frontier Governance Framework, 2026.</w:t>
      </w:r>
    </w:p>
    <w:p w14:paraId="59AC5942" w14:textId="77777777" w:rsidR="00572490" w:rsidRDefault="00000000">
      <w:pPr>
        <w:spacing w:after="200" w:line="276" w:lineRule="auto"/>
        <w:jc w:val="both"/>
      </w:pPr>
      <w:r>
        <w:t>Amazon. Frontier Model Safety Framework.</w:t>
      </w:r>
    </w:p>
    <w:p w14:paraId="43E91523" w14:textId="77777777" w:rsidR="00572490" w:rsidRDefault="00000000">
      <w:pPr>
        <w:spacing w:after="200" w:line="276" w:lineRule="auto"/>
        <w:jc w:val="both"/>
      </w:pPr>
      <w:r>
        <w:t>Effective Altruism Forum. “Beyond the Threshold: Designing Compute Governance That Actually Works.” 2026.</w:t>
      </w:r>
    </w:p>
    <w:p w14:paraId="5FDCC996" w14:textId="77777777" w:rsidR="00572490" w:rsidRDefault="00000000">
      <w:pPr>
        <w:spacing w:after="200" w:line="276" w:lineRule="auto"/>
        <w:jc w:val="both"/>
      </w:pPr>
      <w:r>
        <w:t>Tech Policy Press. “Bigger Might Not Be Better: The Limits of Regulating AI Through Compute Thresholds.”</w:t>
      </w:r>
    </w:p>
    <w:p w14:paraId="342E7295" w14:textId="77777777" w:rsidR="00572490" w:rsidRDefault="00000000">
      <w:pPr>
        <w:spacing w:after="200" w:line="276" w:lineRule="auto"/>
        <w:jc w:val="both"/>
      </w:pPr>
      <w:r>
        <w:t>arXiv:2502.09618. “Pitfalls of Evidence-Based AI Policy.”</w:t>
      </w:r>
    </w:p>
    <w:p w14:paraId="74EE97F7" w14:textId="77777777" w:rsidR="00572490" w:rsidRDefault="00000000">
      <w:pPr>
        <w:spacing w:after="200" w:line="276" w:lineRule="auto"/>
        <w:jc w:val="both"/>
      </w:pPr>
      <w:r>
        <w:t>arXiv:2504.01849. “An Approach to Technical AGI Safety and Security.”</w:t>
      </w:r>
    </w:p>
    <w:p w14:paraId="0048D6C5" w14:textId="77777777" w:rsidR="00572490" w:rsidRDefault="00000000">
      <w:pPr>
        <w:spacing w:after="200" w:line="276" w:lineRule="auto"/>
        <w:jc w:val="both"/>
      </w:pPr>
      <w:r>
        <w:t>arXiv:2506.20530. “Toward a Global Regime for Compute Governance: Building the Pause Button.”</w:t>
      </w:r>
    </w:p>
    <w:sectPr w:rsidR="005724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6A01"/>
    <w:multiLevelType w:val="hybridMultilevel"/>
    <w:tmpl w:val="FAE48FD8"/>
    <w:lvl w:ilvl="0" w:tplc="F1E81408">
      <w:start w:val="1"/>
      <w:numFmt w:val="decimal"/>
      <w:lvlText w:val="%1."/>
      <w:lvlJc w:val="left"/>
      <w:pPr>
        <w:ind w:left="460" w:hanging="260"/>
      </w:pPr>
    </w:lvl>
    <w:lvl w:ilvl="1" w:tplc="F4169CAC">
      <w:numFmt w:val="decimal"/>
      <w:lvlText w:val=""/>
      <w:lvlJc w:val="left"/>
    </w:lvl>
    <w:lvl w:ilvl="2" w:tplc="0F626D58">
      <w:numFmt w:val="decimal"/>
      <w:lvlText w:val=""/>
      <w:lvlJc w:val="left"/>
    </w:lvl>
    <w:lvl w:ilvl="3" w:tplc="259884B0">
      <w:numFmt w:val="decimal"/>
      <w:lvlText w:val=""/>
      <w:lvlJc w:val="left"/>
    </w:lvl>
    <w:lvl w:ilvl="4" w:tplc="D4F69FDA">
      <w:numFmt w:val="decimal"/>
      <w:lvlText w:val=""/>
      <w:lvlJc w:val="left"/>
    </w:lvl>
    <w:lvl w:ilvl="5" w:tplc="DDCEE3B6">
      <w:numFmt w:val="decimal"/>
      <w:lvlText w:val=""/>
      <w:lvlJc w:val="left"/>
    </w:lvl>
    <w:lvl w:ilvl="6" w:tplc="7D745A42">
      <w:numFmt w:val="decimal"/>
      <w:lvlText w:val=""/>
      <w:lvlJc w:val="left"/>
    </w:lvl>
    <w:lvl w:ilvl="7" w:tplc="0D40B8AE">
      <w:numFmt w:val="decimal"/>
      <w:lvlText w:val=""/>
      <w:lvlJc w:val="left"/>
    </w:lvl>
    <w:lvl w:ilvl="8" w:tplc="89167A3A">
      <w:numFmt w:val="decimal"/>
      <w:lvlText w:val=""/>
      <w:lvlJc w:val="left"/>
    </w:lvl>
  </w:abstractNum>
  <w:abstractNum w:abstractNumId="1" w15:restartNumberingAfterBreak="0">
    <w:nsid w:val="5A6E0A14"/>
    <w:multiLevelType w:val="hybridMultilevel"/>
    <w:tmpl w:val="E632BC36"/>
    <w:lvl w:ilvl="0" w:tplc="EE5850EC">
      <w:start w:val="1"/>
      <w:numFmt w:val="bullet"/>
      <w:lvlText w:val="●"/>
      <w:lvlJc w:val="left"/>
      <w:pPr>
        <w:ind w:left="720" w:hanging="360"/>
      </w:pPr>
    </w:lvl>
    <w:lvl w:ilvl="1" w:tplc="F0C44F12">
      <w:start w:val="1"/>
      <w:numFmt w:val="bullet"/>
      <w:lvlText w:val="○"/>
      <w:lvlJc w:val="left"/>
      <w:pPr>
        <w:ind w:left="1440" w:hanging="360"/>
      </w:pPr>
    </w:lvl>
    <w:lvl w:ilvl="2" w:tplc="F2ECF68C">
      <w:start w:val="1"/>
      <w:numFmt w:val="bullet"/>
      <w:lvlText w:val="■"/>
      <w:lvlJc w:val="left"/>
      <w:pPr>
        <w:ind w:left="2160" w:hanging="360"/>
      </w:pPr>
    </w:lvl>
    <w:lvl w:ilvl="3" w:tplc="E1A28896">
      <w:start w:val="1"/>
      <w:numFmt w:val="bullet"/>
      <w:lvlText w:val="●"/>
      <w:lvlJc w:val="left"/>
      <w:pPr>
        <w:ind w:left="2880" w:hanging="360"/>
      </w:pPr>
    </w:lvl>
    <w:lvl w:ilvl="4" w:tplc="5AB42CE8">
      <w:start w:val="1"/>
      <w:numFmt w:val="bullet"/>
      <w:lvlText w:val="○"/>
      <w:lvlJc w:val="left"/>
      <w:pPr>
        <w:ind w:left="3600" w:hanging="360"/>
      </w:pPr>
    </w:lvl>
    <w:lvl w:ilvl="5" w:tplc="4678E500">
      <w:start w:val="1"/>
      <w:numFmt w:val="bullet"/>
      <w:lvlText w:val="■"/>
      <w:lvlJc w:val="left"/>
      <w:pPr>
        <w:ind w:left="4320" w:hanging="360"/>
      </w:pPr>
    </w:lvl>
    <w:lvl w:ilvl="6" w:tplc="BD76ED24">
      <w:start w:val="1"/>
      <w:numFmt w:val="bullet"/>
      <w:lvlText w:val="●"/>
      <w:lvlJc w:val="left"/>
      <w:pPr>
        <w:ind w:left="5040" w:hanging="360"/>
      </w:pPr>
    </w:lvl>
    <w:lvl w:ilvl="7" w:tplc="19704E18">
      <w:start w:val="1"/>
      <w:numFmt w:val="bullet"/>
      <w:lvlText w:val="●"/>
      <w:lvlJc w:val="left"/>
      <w:pPr>
        <w:ind w:left="5760" w:hanging="360"/>
      </w:pPr>
    </w:lvl>
    <w:lvl w:ilvl="8" w:tplc="624ED6DC">
      <w:start w:val="1"/>
      <w:numFmt w:val="bullet"/>
      <w:lvlText w:val="●"/>
      <w:lvlJc w:val="left"/>
      <w:pPr>
        <w:ind w:left="6480" w:hanging="360"/>
      </w:pPr>
    </w:lvl>
  </w:abstractNum>
  <w:abstractNum w:abstractNumId="2" w15:restartNumberingAfterBreak="0">
    <w:nsid w:val="607E13CA"/>
    <w:multiLevelType w:val="hybridMultilevel"/>
    <w:tmpl w:val="9C2E19EA"/>
    <w:lvl w:ilvl="0" w:tplc="842E727A">
      <w:start w:val="1"/>
      <w:numFmt w:val="bullet"/>
      <w:lvlText w:val="•"/>
      <w:lvlJc w:val="left"/>
      <w:pPr>
        <w:ind w:left="460" w:hanging="260"/>
      </w:pPr>
    </w:lvl>
    <w:lvl w:ilvl="1" w:tplc="51349314">
      <w:numFmt w:val="decimal"/>
      <w:lvlText w:val=""/>
      <w:lvlJc w:val="left"/>
    </w:lvl>
    <w:lvl w:ilvl="2" w:tplc="F11454B2">
      <w:numFmt w:val="decimal"/>
      <w:lvlText w:val=""/>
      <w:lvlJc w:val="left"/>
    </w:lvl>
    <w:lvl w:ilvl="3" w:tplc="8B803B66">
      <w:numFmt w:val="decimal"/>
      <w:lvlText w:val=""/>
      <w:lvlJc w:val="left"/>
    </w:lvl>
    <w:lvl w:ilvl="4" w:tplc="284A1D76">
      <w:numFmt w:val="decimal"/>
      <w:lvlText w:val=""/>
      <w:lvlJc w:val="left"/>
    </w:lvl>
    <w:lvl w:ilvl="5" w:tplc="88EA0170">
      <w:numFmt w:val="decimal"/>
      <w:lvlText w:val=""/>
      <w:lvlJc w:val="left"/>
    </w:lvl>
    <w:lvl w:ilvl="6" w:tplc="5FDAA618">
      <w:numFmt w:val="decimal"/>
      <w:lvlText w:val=""/>
      <w:lvlJc w:val="left"/>
    </w:lvl>
    <w:lvl w:ilvl="7" w:tplc="98B85A2A">
      <w:numFmt w:val="decimal"/>
      <w:lvlText w:val=""/>
      <w:lvlJc w:val="left"/>
    </w:lvl>
    <w:lvl w:ilvl="8" w:tplc="886AB6EA">
      <w:numFmt w:val="decimal"/>
      <w:lvlText w:val=""/>
      <w:lvlJc w:val="left"/>
    </w:lvl>
  </w:abstractNum>
  <w:num w:numId="1" w16cid:durableId="2113620784">
    <w:abstractNumId w:val="1"/>
    <w:lvlOverride w:ilvl="0">
      <w:startOverride w:val="1"/>
    </w:lvlOverride>
  </w:num>
  <w:num w:numId="2" w16cid:durableId="31464605">
    <w:abstractNumId w:val="0"/>
    <w:lvlOverride w:ilvl="0">
      <w:startOverride w:val="1"/>
    </w:lvlOverride>
  </w:num>
  <w:num w:numId="3" w16cid:durableId="20170029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90"/>
    <w:rsid w:val="000C0010"/>
    <w:rsid w:val="00157B60"/>
    <w:rsid w:val="00216A13"/>
    <w:rsid w:val="00572490"/>
    <w:rsid w:val="005C6D79"/>
    <w:rsid w:val="006F273D"/>
    <w:rsid w:val="00C438B1"/>
    <w:rsid w:val="00D422CB"/>
    <w:rsid w:val="00DA0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58C8"/>
  <w15:docId w15:val="{5AD782C7-499B-4127-B546-61B0CBAF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300" w:after="16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422CB"/>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42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4833</Words>
  <Characters>27550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Satyarthi</cp:lastModifiedBy>
  <cp:revision>5</cp:revision>
  <dcterms:created xsi:type="dcterms:W3CDTF">2026-09-13T11:41:00Z</dcterms:created>
  <dcterms:modified xsi:type="dcterms:W3CDTF">2026-09-13T13:16:00Z</dcterms:modified>
</cp:coreProperties>
</file>