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32"/>
          <w:pict>
            <v:shapetype id="shapetype_75" coordsize="21600,21600" o:spt="75" adj="2700" path="m,l21600,l21600,21600l,21600xm@0@0l@0@2l@1@2l@1@0xe">
              <v:stroke joinstyle="miter"/>
              <v:formulas>
                <v:f eqn="val #0"/>
                <v:f eqn="sum width 0 @0"/>
                <v:f eqn="sum height 0 @0"/>
              </v:formulas>
              <v:path gradientshapeok="t" o:connecttype="rect" textboxrect="@0,@0,@1,@2"/>
              <v:handles>
                <v:h position="@0,0"/>
              </v:handles>
            </v:shapetype>
            <v:shape id="shape_0" style="position:absolute;margin-left:0pt;margin-top:0pt;width:362pt;height:172.35pt" type="shapetype_75">
              <v:fill detectmouseclick="t"/>
              <v:wrap v:type="none"/>
              <v:stroke color="gray" joinstyle="round"/>
            </v:shape>
          </w:pict>
        </w:rPr>
      </w:r>
    </w:p>
    <w:p>
      <w:pPr>
        <w:pStyle w:val="style0"/>
        <w:jc w:val="center"/>
      </w:pPr>
      <w:bookmarkStart w:id="0" w:name="_GoBack"/>
      <w:bookmarkEnd w:id="0"/>
      <w:r>
        <w:rPr>
          <w:rFonts w:ascii="微软雅黑" w:eastAsia="微软雅黑" w:hAnsi="微软雅黑"/>
          <w:b/>
          <w:sz w:val="32"/>
        </w:rPr>
        <w:t>Arcoper &amp; Lotus</w:t>
      </w:r>
      <w:r>
        <w:rPr>
          <w:rFonts w:ascii="微软雅黑" w:eastAsia="微软雅黑" w:hAnsi="微软雅黑"/>
          <w:b/>
          <w:sz w:val="32"/>
          <w:lang w:eastAsia="zh-CN" w:val="en-US"/>
        </w:rPr>
        <w:t xml:space="preserve"> </w:t>
      </w:r>
      <w:r>
        <w:rPr>
          <w:rFonts w:ascii="微软雅黑" w:eastAsia="微软雅黑" w:hAnsi="微软雅黑"/>
          <w:b/>
          <w:sz w:val="32"/>
        </w:rPr>
        <w:t>-</w:t>
      </w:r>
      <w:r>
        <w:rPr>
          <w:rFonts w:ascii="微软雅黑" w:eastAsia="微软雅黑" w:hAnsi="微软雅黑"/>
          <w:b/>
          <w:sz w:val="32"/>
          <w:lang w:eastAsia="zh-CN" w:val="en-US"/>
        </w:rPr>
        <w:t xml:space="preserve">-- </w:t>
      </w:r>
      <w:r>
        <w:rPr>
          <w:rFonts w:ascii="微软雅黑" w:eastAsia="微软雅黑" w:hAnsi="微软雅黑"/>
          <w:b/>
          <w:sz w:val="32"/>
          <w:lang w:eastAsia="zh-CN"/>
        </w:rPr>
        <w:t>独树一帜的</w:t>
      </w:r>
      <w:r>
        <w:rPr>
          <w:rFonts w:ascii="微软雅黑" w:eastAsia="微软雅黑" w:hAnsi="微软雅黑"/>
          <w:b/>
          <w:sz w:val="32"/>
        </w:rPr>
        <w:t>涤纶耐久阻燃防水</w:t>
      </w:r>
      <w:r>
        <w:rPr>
          <w:rFonts w:ascii="微软雅黑" w:eastAsia="微软雅黑" w:hAnsi="微软雅黑"/>
          <w:b/>
          <w:sz w:val="32"/>
          <w:lang w:eastAsia="zh-CN"/>
        </w:rPr>
        <w:t>解决</w:t>
      </w:r>
      <w:r>
        <w:rPr>
          <w:rFonts w:ascii="微软雅黑" w:eastAsia="微软雅黑" w:hAnsi="微软雅黑"/>
          <w:b/>
          <w:sz w:val="32"/>
        </w:rPr>
        <w:t>方案</w:t>
      </w:r>
    </w:p>
    <w:p>
      <w:pPr>
        <w:pStyle w:val="style0"/>
        <w:jc w:val="center"/>
      </w:pPr>
      <w:bookmarkStart w:id="1" w:name="_GoBack"/>
      <w:bookmarkStart w:id="2" w:name="_GoBack"/>
      <w:bookmarkEnd w:id="2"/>
      <w:r>
        <w:rPr>
          <w:rFonts w:ascii="微软雅黑" w:eastAsia="微软雅黑" w:hAnsi="微软雅黑"/>
          <w:b/>
          <w:sz w:val="32"/>
        </w:rPr>
      </w:r>
    </w:p>
    <w:p>
      <w:pPr>
        <w:pStyle w:val="style0"/>
        <w:jc w:val="center"/>
      </w:pPr>
      <w:r>
        <w:rPr>
          <w:rFonts w:ascii="微软雅黑" w:eastAsia="微软雅黑" w:hAnsi="微软雅黑"/>
          <w:b/>
          <w:sz w:val="32"/>
        </w:rPr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  <w:t>涤纶织物以其外观平整、易洗快干、强度高等特点，在劳动防护服、消防服、军队作战服、户外帐篷和家纺装饰织物上广泛应用。</w:t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  <w:t>经过特种整理的纺织品能给人们提供各种优异的功能，从而满足特殊用途的要求，因而纺织品的功能整理越来越受到重视，纯棉织物经阻燃整理后强力下降明显且有以为，而涤纶织物没有类似的问题。采用含氟拒水剂可有效赋予纺织品拒水性，有机氟拒水整理剂具有特殊分子结构，能牢固附着在纤维表面或纤维化学结合，改变纤维表面层的组成，降低表面张力，从而使织物不再被水或油类物质所润湿。</w:t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  <w:t>众所周知，对于纯涤纶织物，单独实现耐久阻燃或者防水功能整理较为容易，但要做到兼具理想的阻燃和防水双重功能非常困难，是目前公认的亟待解决的一大难题。</w:t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  <w:t>德国阿尔金（</w:t>
      </w:r>
      <w:r>
        <w:rPr>
          <w:rFonts w:ascii="Times New Roman" w:cs="Times New Roman" w:hAnsi="Times New Roman"/>
        </w:rPr>
        <w:t>Arkin</w:t>
      </w:r>
      <w:r>
        <w:rPr>
          <w:rFonts w:ascii="Times New Roman" w:cs="Times New Roman" w:hAnsi="Times New Roman"/>
        </w:rPr>
        <w:t>）在阻燃防水解决方案上具有独特创新视角，目前开发的产品</w:t>
      </w:r>
      <w:r>
        <w:rPr>
          <w:rFonts w:ascii="Times New Roman" w:cs="Times New Roman" w:hAnsi="Times New Roman"/>
          <w:lang w:eastAsia="zh-CN"/>
        </w:rPr>
        <w:t>耐久阻燃剂</w:t>
      </w:r>
      <w:r>
        <w:rPr>
          <w:rFonts w:ascii="Times New Roman" w:cs="Times New Roman" w:hAnsi="Times New Roman"/>
          <w:lang w:eastAsia="zh-CN" w:val="en-US"/>
        </w:rPr>
        <w:t xml:space="preserve">Arcoper </w:t>
      </w:r>
      <w:r>
        <w:rPr>
          <w:rFonts w:ascii="Times New Roman" w:cs="Times New Roman" w:hAnsi="Times New Roman"/>
        </w:rPr>
        <w:t>和</w:t>
      </w:r>
      <w:r>
        <w:rPr>
          <w:rFonts w:ascii="Times New Roman" w:cs="Times New Roman" w:hAnsi="Times New Roman"/>
          <w:lang w:eastAsia="zh-CN"/>
        </w:rPr>
        <w:t>防水剂</w:t>
      </w:r>
      <w:r>
        <w:rPr>
          <w:rFonts w:ascii="Times New Roman" w:cs="Times New Roman" w:hAnsi="Times New Roman"/>
          <w:lang w:eastAsia="zh-CN" w:val="en-US"/>
        </w:rPr>
        <w:t>Lotus</w:t>
      </w:r>
      <w:r>
        <w:rPr>
          <w:rFonts w:ascii="Times New Roman" w:cs="Times New Roman" w:hAnsi="Times New Roman"/>
          <w:lang w:eastAsia="zh-CN" w:val="en-US"/>
        </w:rPr>
        <w:t>，两者性能互不抵触，符合</w:t>
      </w:r>
      <w:r>
        <w:rPr>
          <w:rFonts w:ascii="Times New Roman" w:cs="Times New Roman" w:hAnsi="Times New Roman"/>
          <w:lang w:eastAsia="zh-CN" w:val="en-US"/>
        </w:rPr>
        <w:t>Oke-Tex standard 100</w:t>
      </w:r>
      <w:r>
        <w:rPr>
          <w:rFonts w:ascii="Times New Roman" w:cs="Times New Roman" w:hAnsi="Times New Roman"/>
          <w:lang w:eastAsia="zh-CN" w:val="en-US"/>
        </w:rPr>
        <w:t>认证，不含</w:t>
      </w:r>
      <w:r>
        <w:rPr>
          <w:rFonts w:ascii="Times New Roman" w:cs="Times New Roman" w:hAnsi="Times New Roman"/>
          <w:lang w:eastAsia="zh-CN" w:val="en-US"/>
        </w:rPr>
        <w:t>Reach</w:t>
      </w:r>
      <w:r>
        <w:rPr>
          <w:rFonts w:ascii="Times New Roman" w:cs="Times New Roman" w:hAnsi="Times New Roman"/>
          <w:lang w:eastAsia="zh-CN" w:val="en-US"/>
        </w:rPr>
        <w:t>禁用物质。该</w:t>
      </w:r>
      <w:r>
        <w:rPr>
          <w:rFonts w:ascii="Times New Roman" w:cs="Times New Roman" w:hAnsi="Times New Roman"/>
        </w:rPr>
        <w:t>解决方案无需涂层，只需</w:t>
      </w:r>
      <w:r>
        <w:rPr>
          <w:rFonts w:ascii="Times New Roman" w:cs="Times New Roman" w:hAnsi="Times New Roman"/>
          <w:lang w:eastAsia="zh-CN"/>
        </w:rPr>
        <w:t>筛选合适染料，</w:t>
      </w:r>
      <w:r>
        <w:rPr>
          <w:rFonts w:ascii="Times New Roman" w:cs="Times New Roman" w:hAnsi="Times New Roman"/>
        </w:rPr>
        <w:t>通过配套的化学品助剂，经过简单后整理</w:t>
      </w:r>
      <w:r>
        <w:rPr>
          <w:rFonts w:ascii="Times New Roman" w:cs="Times New Roman" w:hAnsi="Times New Roman"/>
          <w:lang w:eastAsia="zh-CN"/>
        </w:rPr>
        <w:t>（浸轧</w:t>
      </w:r>
      <w:r>
        <w:rPr>
          <w:rFonts w:ascii="Times New Roman" w:cs="Times New Roman" w:hAnsi="Times New Roman"/>
          <w:lang w:eastAsia="zh-CN" w:val="en-US"/>
        </w:rPr>
        <w:t>-</w:t>
      </w:r>
      <w:r>
        <w:rPr>
          <w:rFonts w:ascii="Times New Roman" w:cs="Times New Roman" w:hAnsi="Times New Roman"/>
          <w:lang w:eastAsia="zh-CN" w:val="en-US"/>
        </w:rPr>
        <w:t>焙烘</w:t>
      </w:r>
      <w:r>
        <w:rPr>
          <w:rFonts w:ascii="Times New Roman" w:cs="Times New Roman" w:hAnsi="Times New Roman"/>
          <w:lang w:eastAsia="zh-CN"/>
        </w:rPr>
        <w:t>）</w:t>
      </w:r>
      <w:r>
        <w:rPr>
          <w:rFonts w:ascii="Times New Roman" w:cs="Times New Roman" w:hAnsi="Times New Roman"/>
        </w:rPr>
        <w:t>的方法，便可实现耐久的阻燃防水性能</w:t>
      </w:r>
      <w:r>
        <w:rPr>
          <w:rFonts w:ascii="Times New Roman" w:cs="Times New Roman" w:hAnsi="Times New Roman"/>
          <w:lang w:eastAsia="zh-CN"/>
        </w:rPr>
        <w:t>（耐</w:t>
      </w:r>
      <w:r>
        <w:rPr>
          <w:rFonts w:ascii="Times New Roman" w:cs="Times New Roman" w:hAnsi="Times New Roman"/>
          <w:lang w:eastAsia="zh-CN" w:val="en-US"/>
        </w:rPr>
        <w:t>40℃</w:t>
      </w:r>
      <w:r>
        <w:rPr>
          <w:rFonts w:ascii="Times New Roman" w:cs="Times New Roman" w:hAnsi="Times New Roman"/>
          <w:lang w:eastAsia="zh-CN" w:val="en-US"/>
        </w:rPr>
        <w:t>温水多次洗涤</w:t>
      </w:r>
      <w:r>
        <w:rPr>
          <w:rFonts w:ascii="Times New Roman" w:cs="Times New Roman" w:hAnsi="Times New Roman"/>
          <w:lang w:eastAsia="zh-CN"/>
        </w:rPr>
        <w:t>）</w:t>
      </w:r>
      <w:r>
        <w:rPr>
          <w:rFonts w:ascii="Times New Roman" w:cs="Times New Roman" w:hAnsi="Times New Roman"/>
        </w:rPr>
        <w:t>。</w:t>
      </w:r>
      <w:r>
        <w:rPr>
          <w:rFonts w:ascii="Times New Roman" w:cs="Times New Roman" w:hAnsi="Times New Roman"/>
          <w:lang w:eastAsia="zh-CN"/>
        </w:rPr>
        <w:t>整理产品广泛运用于高要求户外技术纺织品和劳保防护服。</w:t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  <w:lang w:eastAsia="zh-CN"/>
        </w:rPr>
      </w:r>
    </w:p>
    <w:p>
      <w:pPr>
        <w:pStyle w:val="style0"/>
        <w:ind w:firstLine="420" w:left="0" w:right="0"/>
      </w:pPr>
      <w:r>
        <w:rPr>
          <w:rFonts w:ascii="Times New Roman" w:cs="Times New Roman" w:hAnsi="Times New Roman"/>
        </w:rPr>
        <w:t>欲了解更加全面</w:t>
      </w:r>
      <w:r>
        <w:rPr>
          <w:rFonts w:ascii="Times New Roman" w:cs="Times New Roman" w:hAnsi="Times New Roman"/>
          <w:lang w:eastAsia="zh-CN"/>
        </w:rPr>
        <w:t>详细</w:t>
      </w:r>
      <w:r>
        <w:rPr>
          <w:rFonts w:ascii="Times New Roman" w:cs="Times New Roman" w:hAnsi="Times New Roman"/>
        </w:rPr>
        <w:t>的信息，请致电我们。</w:t>
      </w:r>
    </w:p>
    <w:p>
      <w:pPr>
        <w:pStyle w:val="style0"/>
      </w:pPr>
      <w:r>
        <w:rPr>
          <w:rFonts w:ascii="Times New Roman" w:cs="Times New Roman" w:hAnsi="Times New Roman"/>
          <w:sz w:val="16"/>
        </w:rPr>
      </w:r>
    </w:p>
    <w:p>
      <w:pPr>
        <w:pStyle w:val="style0"/>
      </w:pPr>
      <w:r>
        <w:rPr>
          <w:rFonts w:ascii="Times New Roman" w:cs="Times New Roman" w:hAnsi="Times New Roman"/>
          <w:sz w:val="16"/>
        </w:rPr>
      </w:r>
    </w:p>
    <w:p>
      <w:pPr>
        <w:pStyle w:val="style0"/>
      </w:pPr>
      <w:r>
        <w:rPr>
          <w:rFonts w:ascii="Times New Roman" w:cs="Times New Roman" w:hAnsi="Times New Roman"/>
          <w:sz w:val="11"/>
          <w:szCs w:val="18"/>
        </w:rPr>
        <w:t>上述解决方案包含的处方、工艺和产品数据效果仅用于提供本公司的商业伙伴，或其它对本公司产品有兴趣者的应用指南，至于使用及应用建议处方的条件，并非本公司所能控制。因此，必须根据您的满意，先行测试评估是否适用于您所意图使用的方式与应用。这些特定用途的分析必须包含从技术应用、健康、安全与环保层面的适用性测试；再者，尽管在应用指南中提及的成份、用量、混合物及成品的特性，为本公司出版时所建议，然而这些指南无法继续进行审视与更新，您同意独立负起使用上的风险。使用者清楚地明了及同意，所有的信息并不附带任何保证与担保，使用者并清楚的认为，本公司完全不涉入使用者因使用建议指南所引起的所有义务、侵权行为、合约或其它事项。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批注框文本 Char"/>
    <w:basedOn w:val="style15"/>
    <w:next w:val="style18"/>
    <w:rPr>
      <w:sz w:val="18"/>
      <w:szCs w:val="18"/>
    </w:rPr>
  </w:style>
  <w:style w:styleId="style19" w:type="character">
    <w:name w:val="无间隔 Char"/>
    <w:basedOn w:val="style15"/>
    <w:next w:val="style19"/>
    <w:rPr>
      <w:sz w:val="22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Balloon Text"/>
    <w:basedOn w:val="style0"/>
    <w:next w:val="style25"/>
    <w:pPr/>
    <w:rPr>
      <w:sz w:val="18"/>
      <w:szCs w:val="18"/>
    </w:rPr>
  </w:style>
  <w:style w:styleId="style26" w:type="paragraph">
    <w:name w:val="Footer"/>
    <w:basedOn w:val="style0"/>
    <w:next w:val="style2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7" w:type="paragraph">
    <w:name w:val="Header"/>
    <w:basedOn w:val="style0"/>
    <w:next w:val="style27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8" w:type="paragraph">
    <w:name w:val="No Spacing"/>
    <w:next w:val="style28"/>
    <w:pPr>
      <w:widowControl/>
      <w:tabs>
        <w:tab w:leader="none" w:pos="420" w:val="left"/>
      </w:tabs>
      <w:suppressAutoHyphens w:val="true"/>
    </w:pPr>
    <w:rPr>
      <w:rFonts w:ascii="Calibri" w:cs="Times New Roman" w:eastAsia="宋体" w:hAnsi="Calibri"/>
      <w:color w:val="auto"/>
      <w:sz w:val="22"/>
      <w:szCs w:val="22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WPS Office 个人版_9.1.0.4985_{F1E327BC-269C-435d-A152-05C5408002CA}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2015-01-05T13:26:00.00Z</dcterms:created>
  <dc:creator>徐容华</dc:creator>
  <cp:lastModifiedBy>Administrator</cp:lastModifiedBy>
  <dcterms:modified xsi:type="dcterms:W3CDTF">2015-03-18T03:54:19.00Z</dcterms:modified>
  <cp:revision>0</cp:revision>
  <dc:title> Lotus®---独树一帜的涤纶耐久阻燃防水解决方案</dc:title>
</cp:coreProperties>
</file>