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0"/>
          <w:szCs w:val="30"/>
        </w:rPr>
        <w:t>Cotonier NE - 中和酸</w:t>
      </w:r>
      <w:r>
        <w:rPr>
          <w:rFonts w:hint="eastAsia" w:ascii="华文细黑" w:hAnsi="华文细黑" w:eastAsia="华文细黑" w:cs="华文细黑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0"/>
          <w:szCs w:val="30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0"/>
          <w:szCs w:val="30"/>
        </w:rPr>
        <w:t>织物布面</w:t>
      </w:r>
      <w:r>
        <w:rPr>
          <w:rFonts w:hint="eastAsia" w:ascii="华文细黑" w:hAnsi="华文细黑" w:eastAsia="华文细黑" w:cs="华文细黑"/>
          <w:b w:val="0"/>
          <w:bCs/>
          <w:i/>
          <w:iCs/>
          <w:sz w:val="30"/>
          <w:szCs w:val="30"/>
        </w:rPr>
        <w:t>p</w:t>
      </w:r>
      <w:r>
        <w:rPr>
          <w:rFonts w:hint="eastAsia" w:ascii="华文细黑" w:hAnsi="华文细黑" w:eastAsia="华文细黑" w:cs="华文细黑"/>
          <w:b w:val="0"/>
          <w:bCs/>
          <w:sz w:val="30"/>
          <w:szCs w:val="30"/>
        </w:rPr>
        <w:t>H的控制方案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bookmarkStart w:id="0" w:name="_GoBack"/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Picture 2" o:spid="_x0000_s1026" type="#_x0000_t75" style="height:228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1-25-1" r:id="rId5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ind w:firstLine="420" w:firstLineChars="200"/>
        <w:rPr>
          <w:rFonts w:ascii="Times New Roman" w:hAnsi="Times New Roman"/>
          <w:bCs/>
          <w:iCs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Cs/>
          <w:sz w:val="21"/>
          <w:szCs w:val="21"/>
        </w:rPr>
        <w:t>服装面料的布面</w:t>
      </w:r>
      <w:r>
        <w:rPr>
          <w:rFonts w:hint="eastAsia" w:ascii="华文细黑" w:hAnsi="华文细黑" w:eastAsia="华文细黑" w:cs="华文细黑"/>
          <w:bCs/>
          <w:i/>
          <w:sz w:val="21"/>
          <w:szCs w:val="21"/>
        </w:rPr>
        <w:t>p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H值是客户要求的一项重要指标之一，也是一项强制性的物理指标。由于人的皮肤表面pH值一般呈现微酸性，但生产过程中布面pH值往往显微碱性，所以客户对布面pH值要求越来越严，通常客户对布面pH值要求一般在4.5-7.5之间。为了达到这一指标要求应尽量选用最好的酸，最少的用酸量而发挥其最大的中和作用" 并能保持布面pH值稳定在所需范围之内。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Cs/>
          <w:sz w:val="21"/>
          <w:szCs w:val="21"/>
        </w:rPr>
        <w:t>影响布面pH值原因有很多：生产用水，生产中染料，工艺条件，织物以及实验人员测试时的操作误差等等。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Cs/>
          <w:sz w:val="21"/>
          <w:szCs w:val="21"/>
        </w:rPr>
        <w:t>Cotonier NE liq是一种生态型的中和助剂，用于精确控制溶液 pH 的有机复合酸。NE基于特殊的协同机制，整个应用范围内都可以调整到所需的pH值。渗透能力优异，能渗透进纤维素纤维‘芯层’，中和彻底，提供后整的安全性洗除性好，不抑制染料上染，解决敏感色染色问题。可生物降解。</w:t>
      </w:r>
    </w:p>
    <w:p>
      <w:pPr>
        <w:wordWrap/>
        <w:adjustRightInd/>
        <w:snapToGrid/>
        <w:spacing w:line="300" w:lineRule="auto"/>
        <w:ind w:left="0" w:leftChars="0" w:right="0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rPr>
          <w:rFonts w:ascii="Times New Roman" w:hAnsi="Times New Roman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产品应用</w:t>
      </w:r>
    </w:p>
    <w:p>
      <w:pPr>
        <w:rPr>
          <w:rFonts w:hint="eastAsia" w:ascii="华文细黑" w:hAnsi="华文细黑" w:eastAsia="华文细黑" w:cs="华文细黑"/>
          <w:b/>
          <w:sz w:val="24"/>
        </w:rPr>
      </w:pPr>
    </w:p>
    <w:p>
      <w:pPr>
        <w:ind w:firstLine="360" w:firstLineChars="200"/>
        <w:rPr>
          <w:rFonts w:hint="eastAsia" w:ascii="华文细黑" w:hAnsi="华文细黑" w:eastAsia="华文细黑" w:cs="华文细黑"/>
          <w:sz w:val="18"/>
          <w:szCs w:val="18"/>
        </w:rPr>
      </w:pPr>
      <w:r>
        <w:rPr>
          <w:rFonts w:hint="eastAsia" w:ascii="华文细黑" w:hAnsi="华文细黑" w:eastAsia="华文细黑" w:cs="华文细黑"/>
          <w:sz w:val="18"/>
          <w:szCs w:val="18"/>
        </w:rPr>
        <w:t>中和至</w:t>
      </w:r>
      <w:r>
        <w:rPr>
          <w:rFonts w:hint="eastAsia" w:ascii="华文细黑" w:hAnsi="华文细黑" w:eastAsia="华文细黑" w:cs="华文细黑"/>
          <w:i/>
          <w:iCs/>
          <w:sz w:val="18"/>
          <w:szCs w:val="18"/>
        </w:rPr>
        <w:t>p</w:t>
      </w:r>
      <w:r>
        <w:rPr>
          <w:rFonts w:hint="eastAsia" w:ascii="华文细黑" w:hAnsi="华文细黑" w:eastAsia="华文细黑" w:cs="华文细黑"/>
          <w:sz w:val="18"/>
          <w:szCs w:val="18"/>
        </w:rPr>
        <w:t>H值为7</w:t>
      </w:r>
    </w:p>
    <w:p>
      <w:pPr>
        <w:ind w:firstLine="360" w:firstLineChars="200"/>
        <w:rPr>
          <w:rFonts w:hint="eastAsia" w:ascii="华文细黑" w:hAnsi="华文细黑" w:eastAsia="华文细黑" w:cs="华文细黑"/>
          <w:sz w:val="18"/>
          <w:szCs w:val="18"/>
        </w:rPr>
      </w:pPr>
    </w:p>
    <w:tbl>
      <w:tblPr>
        <w:tblStyle w:val="6"/>
        <w:tblW w:w="4973" w:type="dxa"/>
        <w:jc w:val="center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60"/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shd w:val="clear" w:color="auto" w:fill="6699FF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初始</w:t>
            </w:r>
            <w:r>
              <w:rPr>
                <w:rFonts w:hint="eastAsia" w:ascii="华文细黑" w:hAnsi="华文细黑" w:eastAsia="华文细黑" w:cs="华文细黑"/>
                <w:bCs/>
                <w:i/>
                <w:sz w:val="18"/>
                <w:szCs w:val="18"/>
              </w:rPr>
              <w:t>p</w:t>
            </w: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H</w:t>
            </w:r>
          </w:p>
        </w:tc>
        <w:tc>
          <w:tcPr>
            <w:tcW w:w="2813" w:type="dxa"/>
            <w:shd w:val="clear" w:color="auto" w:fill="6699FF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Cotonier NE liq用量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8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0.07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9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0.16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10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0.36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11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0.58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12</w:t>
            </w:r>
          </w:p>
        </w:tc>
        <w:tc>
          <w:tcPr>
            <w:tcW w:w="2813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1.25 ml</w:t>
            </w:r>
          </w:p>
        </w:tc>
      </w:tr>
    </w:tbl>
    <w:p>
      <w:pPr>
        <w:ind w:firstLine="360" w:firstLineChars="200"/>
        <w:rPr>
          <w:rFonts w:hint="eastAsia" w:ascii="华文细黑" w:hAnsi="华文细黑" w:eastAsia="华文细黑" w:cs="华文细黑"/>
          <w:sz w:val="18"/>
          <w:szCs w:val="18"/>
        </w:rPr>
      </w:pPr>
    </w:p>
    <w:p>
      <w:pPr>
        <w:ind w:firstLine="360" w:firstLineChars="200"/>
        <w:rPr>
          <w:rFonts w:hint="eastAsia" w:ascii="华文细黑" w:hAnsi="华文细黑" w:eastAsia="华文细黑" w:cs="华文细黑"/>
          <w:bCs/>
          <w:i/>
          <w:sz w:val="18"/>
          <w:szCs w:val="18"/>
        </w:rPr>
      </w:pPr>
    </w:p>
    <w:p>
      <w:pPr>
        <w:ind w:firstLine="360" w:firstLineChars="200"/>
        <w:rPr>
          <w:rFonts w:hint="eastAsia" w:ascii="华文细黑" w:hAnsi="华文细黑" w:eastAsia="华文细黑" w:cs="华文细黑"/>
          <w:sz w:val="18"/>
          <w:szCs w:val="18"/>
        </w:rPr>
      </w:pPr>
      <w:r>
        <w:rPr>
          <w:rFonts w:hint="eastAsia" w:ascii="华文细黑" w:hAnsi="华文细黑" w:eastAsia="华文细黑" w:cs="华文细黑"/>
          <w:bCs/>
          <w:i/>
          <w:sz w:val="18"/>
          <w:szCs w:val="18"/>
        </w:rPr>
        <w:t>p</w:t>
      </w:r>
      <w:r>
        <w:rPr>
          <w:rFonts w:hint="eastAsia" w:ascii="华文细黑" w:hAnsi="华文细黑" w:eastAsia="华文细黑" w:cs="华文细黑"/>
          <w:sz w:val="18"/>
          <w:szCs w:val="18"/>
        </w:rPr>
        <w:t>H值由7至酸性</w:t>
      </w:r>
      <w:r>
        <w:rPr>
          <w:rFonts w:hint="eastAsia" w:ascii="华文细黑" w:hAnsi="华文细黑" w:eastAsia="华文细黑" w:cs="华文细黑"/>
          <w:bCs/>
          <w:i/>
          <w:sz w:val="18"/>
          <w:szCs w:val="18"/>
        </w:rPr>
        <w:t>p</w:t>
      </w:r>
      <w:r>
        <w:rPr>
          <w:rFonts w:hint="eastAsia" w:ascii="华文细黑" w:hAnsi="华文细黑" w:eastAsia="华文细黑" w:cs="华文细黑"/>
          <w:sz w:val="18"/>
          <w:szCs w:val="18"/>
        </w:rPr>
        <w:t>H</w:t>
      </w:r>
    </w:p>
    <w:p>
      <w:pPr>
        <w:ind w:firstLine="360" w:firstLineChars="200"/>
        <w:rPr>
          <w:rFonts w:hint="eastAsia" w:ascii="华文细黑" w:hAnsi="华文细黑" w:eastAsia="华文细黑" w:cs="华文细黑"/>
          <w:sz w:val="18"/>
          <w:szCs w:val="18"/>
        </w:rPr>
      </w:pPr>
    </w:p>
    <w:tbl>
      <w:tblPr>
        <w:tblStyle w:val="6"/>
        <w:tblW w:w="5220" w:type="dxa"/>
        <w:jc w:val="center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6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shd w:val="clear" w:color="auto" w:fill="6699FF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i/>
                <w:iCs/>
                <w:sz w:val="18"/>
                <w:szCs w:val="18"/>
              </w:rPr>
              <w:t>p</w:t>
            </w: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H调整到</w:t>
            </w:r>
          </w:p>
        </w:tc>
        <w:tc>
          <w:tcPr>
            <w:tcW w:w="3060" w:type="dxa"/>
            <w:shd w:val="clear" w:color="auto" w:fill="6699FF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Cotonier NE liq用量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6.0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0.22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5.5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0.34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5.0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0.45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4.5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0.65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4.0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华文细黑"/>
                <w:sz w:val="18"/>
                <w:szCs w:val="18"/>
              </w:rPr>
              <w:t>0.95 ml</w:t>
            </w:r>
          </w:p>
        </w:tc>
      </w:tr>
    </w:tbl>
    <w:p>
      <w:pPr>
        <w:jc w:val="center"/>
        <w:rPr>
          <w:rFonts w:hint="eastAsia" w:ascii="华文细黑" w:hAnsi="华文细黑" w:eastAsia="华文细黑" w:cs="华文细黑"/>
          <w:sz w:val="18"/>
          <w:szCs w:val="18"/>
        </w:rPr>
      </w:pPr>
    </w:p>
    <w:p>
      <w:pPr>
        <w:jc w:val="center"/>
        <w:rPr>
          <w:rFonts w:eastAsia="黑体"/>
          <w:sz w:val="18"/>
          <w:szCs w:val="18"/>
        </w:rPr>
      </w:pPr>
      <w:r>
        <w:rPr>
          <w:rFonts w:hint="eastAsia" w:eastAsia="黑体"/>
          <w:sz w:val="18"/>
          <w:szCs w:val="18"/>
        </w:rPr>
        <w:t xml:space="preserve">           </w:t>
      </w:r>
    </w:p>
    <w:p>
      <w:pPr>
        <w:rPr>
          <w:rFonts w:eastAsia="黑体"/>
          <w:sz w:val="18"/>
          <w:szCs w:val="18"/>
        </w:rPr>
      </w:pPr>
    </w:p>
    <w:p>
      <w:pPr>
        <w:jc w:val="center"/>
        <w:rPr>
          <w:rFonts w:eastAsia="黑体"/>
          <w:sz w:val="18"/>
          <w:szCs w:val="18"/>
        </w:rPr>
      </w:pPr>
      <w:r>
        <w:rPr>
          <w:rFonts w:ascii="Calibri" w:hAnsi="Calibri" w:eastAsia="黑体" w:cs="Times New Roman"/>
          <w:kern w:val="2"/>
          <w:sz w:val="18"/>
          <w:szCs w:val="18"/>
          <w:lang w:val="en-US" w:eastAsia="zh-CN" w:bidi="ar-SA"/>
        </w:rPr>
        <w:pict>
          <v:shape id="Picture 2" o:spid="_x0000_s1027" type="#_x0000_t75" style="height:103.5pt;width:21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 w:ascii="华文细黑" w:hAnsi="华文细黑" w:eastAsia="华文细黑" w:cs="华文细黑"/>
          <w:sz w:val="18"/>
          <w:szCs w:val="20"/>
        </w:rPr>
      </w:pPr>
      <w:r>
        <w:rPr>
          <w:rFonts w:hint="eastAsia" w:ascii="华文细黑" w:hAnsi="华文细黑" w:eastAsia="华文细黑" w:cs="华文细黑"/>
          <w:sz w:val="18"/>
          <w:szCs w:val="20"/>
          <w:lang w:val="en-US" w:eastAsia="zh-CN"/>
        </w:rPr>
        <w:t xml:space="preserve">                            </w:t>
      </w:r>
      <w:r>
        <w:rPr>
          <w:rFonts w:hint="eastAsia" w:ascii="华文细黑" w:hAnsi="华文细黑" w:eastAsia="华文细黑" w:cs="华文细黑"/>
          <w:sz w:val="18"/>
          <w:szCs w:val="20"/>
        </w:rPr>
        <w:t>Cotonier NE liq中和‘棉芯’示意图</w:t>
      </w: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应用领域</w:t>
      </w:r>
    </w:p>
    <w:p>
      <w:pPr>
        <w:rPr>
          <w:rFonts w:hint="eastAsia" w:ascii="华文细黑" w:hAnsi="华文细黑" w:eastAsia="华文细黑" w:cs="华文细黑"/>
          <w:b/>
          <w:sz w:val="21"/>
          <w:szCs w:val="21"/>
        </w:rPr>
      </w:pPr>
    </w:p>
    <w:p>
      <w:pPr>
        <w:rPr>
          <w:rFonts w:hint="eastAsia" w:ascii="华文细黑" w:hAnsi="华文细黑" w:eastAsia="华文细黑" w:cs="华文细黑"/>
          <w:sz w:val="18"/>
          <w:szCs w:val="18"/>
        </w:rPr>
      </w:pPr>
      <w:r>
        <w:rPr>
          <w:rFonts w:hint="eastAsia" w:ascii="华文细黑" w:hAnsi="华文细黑" w:eastAsia="华文细黑" w:cs="华文细黑"/>
          <w:sz w:val="18"/>
          <w:szCs w:val="18"/>
        </w:rPr>
        <w:t>漂白、染色或丝光工艺后的中和，且能在最终清洗阶段有效去除织物上的微量杂质。</w:t>
      </w: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市场类似产品</w:t>
      </w:r>
    </w:p>
    <w:p>
      <w:pPr>
        <w:rPr>
          <w:rFonts w:hint="eastAsia" w:ascii="华文细黑" w:hAnsi="华文细黑" w:eastAsia="华文细黑" w:cs="华文细黑"/>
          <w:b/>
          <w:sz w:val="21"/>
          <w:szCs w:val="21"/>
        </w:rPr>
      </w:pPr>
    </w:p>
    <w:p>
      <w:pPr>
        <w:rPr>
          <w:rFonts w:hint="eastAsia" w:ascii="华文细黑" w:hAnsi="华文细黑" w:eastAsia="华文细黑" w:cs="华文细黑"/>
          <w:sz w:val="18"/>
          <w:szCs w:val="18"/>
        </w:rPr>
      </w:pPr>
      <w:r>
        <w:rPr>
          <w:rFonts w:hint="eastAsia" w:ascii="华文细黑" w:hAnsi="华文细黑" w:eastAsia="华文细黑" w:cs="华文细黑"/>
          <w:sz w:val="18"/>
          <w:szCs w:val="18"/>
        </w:rPr>
        <w:t>Archroma的Sirrix舒力斯，Huntsman的Invatex艳维特。</w:t>
      </w:r>
    </w:p>
    <w:p>
      <w:pPr>
        <w:rPr>
          <w:rFonts w:hint="eastAsia" w:ascii="华文细黑" w:hAnsi="华文细黑" w:eastAsia="华文细黑" w:cs="华文细黑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21BF7"/>
    <w:rsid w:val="00176D40"/>
    <w:rsid w:val="001A6644"/>
    <w:rsid w:val="00227342"/>
    <w:rsid w:val="00262C16"/>
    <w:rsid w:val="00295AE3"/>
    <w:rsid w:val="002C1293"/>
    <w:rsid w:val="004B71AC"/>
    <w:rsid w:val="005342FE"/>
    <w:rsid w:val="005667B5"/>
    <w:rsid w:val="005F7CBE"/>
    <w:rsid w:val="006342A9"/>
    <w:rsid w:val="00661EB6"/>
    <w:rsid w:val="00665B6A"/>
    <w:rsid w:val="00677217"/>
    <w:rsid w:val="0074262F"/>
    <w:rsid w:val="00744015"/>
    <w:rsid w:val="007A24E5"/>
    <w:rsid w:val="007F0F49"/>
    <w:rsid w:val="007F3BBE"/>
    <w:rsid w:val="008061D4"/>
    <w:rsid w:val="0081577F"/>
    <w:rsid w:val="00840BD6"/>
    <w:rsid w:val="00842D34"/>
    <w:rsid w:val="00855E32"/>
    <w:rsid w:val="0089144C"/>
    <w:rsid w:val="008A498A"/>
    <w:rsid w:val="008B2DD8"/>
    <w:rsid w:val="008D4B3C"/>
    <w:rsid w:val="00920FBD"/>
    <w:rsid w:val="00931D1D"/>
    <w:rsid w:val="009A1B8D"/>
    <w:rsid w:val="009D50AC"/>
    <w:rsid w:val="009E0CC9"/>
    <w:rsid w:val="009F47F2"/>
    <w:rsid w:val="00A3632D"/>
    <w:rsid w:val="00AB2D6A"/>
    <w:rsid w:val="00AB4CBC"/>
    <w:rsid w:val="00B15AD0"/>
    <w:rsid w:val="00B3566A"/>
    <w:rsid w:val="00B6567D"/>
    <w:rsid w:val="00B87FC9"/>
    <w:rsid w:val="00BE3AF5"/>
    <w:rsid w:val="00C501A0"/>
    <w:rsid w:val="00C61D1F"/>
    <w:rsid w:val="00C6357F"/>
    <w:rsid w:val="00C813D8"/>
    <w:rsid w:val="00CA7043"/>
    <w:rsid w:val="00CC6D70"/>
    <w:rsid w:val="00CD17BB"/>
    <w:rsid w:val="00CE7E96"/>
    <w:rsid w:val="00D41FE1"/>
    <w:rsid w:val="00D430FF"/>
    <w:rsid w:val="00D5086A"/>
    <w:rsid w:val="00D82C94"/>
    <w:rsid w:val="00DE26C4"/>
    <w:rsid w:val="00E42C32"/>
    <w:rsid w:val="00E57840"/>
    <w:rsid w:val="00ED6FA5"/>
    <w:rsid w:val="00EF1F3B"/>
    <w:rsid w:val="00F31D00"/>
    <w:rsid w:val="0823486A"/>
    <w:rsid w:val="0A470CEC"/>
    <w:rsid w:val="11160BA2"/>
    <w:rsid w:val="2D694D78"/>
    <w:rsid w:val="6E846590"/>
    <w:rsid w:val="795655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paragraph" w:customStyle="1" w:styleId="9">
    <w:name w:val="Ö÷ÌåÎÄ"/>
    <w:basedOn w:val="1"/>
    <w:uiPriority w:val="0"/>
    <w:pPr>
      <w:ind w:firstLine="567"/>
    </w:pPr>
    <w:rPr>
      <w:rFonts w:ascii="楷体_GB2312" w:eastAsia="楷体_GB2312"/>
      <w:sz w:val="2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2015-01-05T10:44:00Z</dcterms:created>
  <dc:creator>徐容华</dc:creator>
  <cp:lastModifiedBy>Administrator</cp:lastModifiedBy>
  <dcterms:modified xsi:type="dcterms:W3CDTF">2015-05-04T06:10:18Z</dcterms:modified>
  <dc:title>Omar® R---氧化剂-硫化染料显色固色用氧化剂-重铬酸，双氧水氧化剂替代方案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