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87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2008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05-08-2020 17:56:28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9188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18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57600" cy="261257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125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87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