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01:42:00.481553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