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FA439" w14:textId="168EC7C5" w:rsidR="00814A94" w:rsidRDefault="00554F60" w:rsidP="00554F60">
      <w:pPr>
        <w:rPr>
          <w:rFonts w:ascii="Segoe UI" w:hAnsi="Segoe UI" w:cs="Segoe UI"/>
          <w:b/>
          <w:bCs/>
          <w:sz w:val="32"/>
          <w:szCs w:val="32"/>
        </w:rPr>
      </w:pPr>
      <w:r w:rsidRPr="00554F60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554F60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814A94" w:rsidRPr="00814A94">
        <w:rPr>
          <w:rFonts w:ascii="Segoe UI" w:hAnsi="Segoe UI" w:cs="Segoe UI"/>
          <w:b/>
          <w:bCs/>
          <w:sz w:val="32"/>
          <w:szCs w:val="32"/>
        </w:rPr>
        <w:t>ANALYSE DES DÉPENSES DE SANTÉ - FRANCE (2012-2022) Notes d'analyse - Eddy AZEBAZE - 1</w:t>
      </w:r>
      <w:r w:rsidR="00814A94">
        <w:rPr>
          <w:rFonts w:ascii="Segoe UI" w:hAnsi="Segoe UI" w:cs="Segoe UI"/>
          <w:b/>
          <w:bCs/>
          <w:sz w:val="32"/>
          <w:szCs w:val="32"/>
        </w:rPr>
        <w:t>6</w:t>
      </w:r>
      <w:r w:rsidR="00814A94" w:rsidRPr="00814A94">
        <w:rPr>
          <w:rFonts w:ascii="Segoe UI" w:hAnsi="Segoe UI" w:cs="Segoe UI"/>
          <w:b/>
          <w:bCs/>
          <w:sz w:val="32"/>
          <w:szCs w:val="32"/>
        </w:rPr>
        <w:t>/07/2025</w:t>
      </w:r>
    </w:p>
    <w:p w14:paraId="065A8858" w14:textId="77777777" w:rsidR="00814A94" w:rsidRPr="00814A94" w:rsidRDefault="00814A94" w:rsidP="00554F60">
      <w:pPr>
        <w:rPr>
          <w:rFonts w:ascii="Segoe UI" w:hAnsi="Segoe UI" w:cs="Segoe UI"/>
          <w:b/>
          <w:bCs/>
          <w:sz w:val="32"/>
          <w:szCs w:val="32"/>
        </w:rPr>
      </w:pPr>
    </w:p>
    <w:p w14:paraId="4BBF4E37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 Emoji" w:hAnsi="Segoe UI Emoji" w:cs="Segoe UI Emoji"/>
        </w:rPr>
        <w:t>🎯</w:t>
      </w:r>
      <w:r w:rsidRPr="00554F60">
        <w:rPr>
          <w:rFonts w:ascii="Segoe UI" w:hAnsi="Segoe UI" w:cs="Segoe UI"/>
        </w:rPr>
        <w:t> </w:t>
      </w:r>
      <w:r w:rsidRPr="00554F60">
        <w:rPr>
          <w:rFonts w:ascii="Segoe UI" w:hAnsi="Segoe UI" w:cs="Segoe UI"/>
          <w:b/>
          <w:bCs/>
        </w:rPr>
        <w:t>Graphique 1 : Évolution des dépenses de santé en % du PIB</w:t>
      </w:r>
    </w:p>
    <w:p w14:paraId="05287923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Données extraites</w:t>
      </w:r>
    </w:p>
    <w:p w14:paraId="7CBBEF6E" w14:textId="77777777" w:rsidR="00554F60" w:rsidRPr="00554F60" w:rsidRDefault="00554F60" w:rsidP="00554F60">
      <w:pPr>
        <w:numPr>
          <w:ilvl w:val="0"/>
          <w:numId w:val="1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2012</w:t>
      </w:r>
      <w:r w:rsidRPr="00554F60">
        <w:rPr>
          <w:rFonts w:ascii="Segoe UI" w:hAnsi="Segoe UI" w:cs="Segoe UI"/>
        </w:rPr>
        <w:t> : 11,3% du PIB</w:t>
      </w:r>
    </w:p>
    <w:p w14:paraId="50DD463F" w14:textId="77777777" w:rsidR="00554F60" w:rsidRPr="00554F60" w:rsidRDefault="00554F60" w:rsidP="00554F60">
      <w:pPr>
        <w:numPr>
          <w:ilvl w:val="0"/>
          <w:numId w:val="1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2021</w:t>
      </w:r>
      <w:r w:rsidRPr="00554F60">
        <w:rPr>
          <w:rFonts w:ascii="Segoe UI" w:hAnsi="Segoe UI" w:cs="Segoe UI"/>
        </w:rPr>
        <w:t> : 12,3% du PIB (pic COVID)</w:t>
      </w:r>
    </w:p>
    <w:p w14:paraId="53DCBF52" w14:textId="77777777" w:rsidR="00554F60" w:rsidRPr="00554F60" w:rsidRDefault="00554F60" w:rsidP="00554F60">
      <w:pPr>
        <w:numPr>
          <w:ilvl w:val="0"/>
          <w:numId w:val="1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2022</w:t>
      </w:r>
      <w:r w:rsidRPr="00554F60">
        <w:rPr>
          <w:rFonts w:ascii="Segoe UI" w:hAnsi="Segoe UI" w:cs="Segoe UI"/>
        </w:rPr>
        <w:t> : 11,9% du PIB</w:t>
      </w:r>
    </w:p>
    <w:p w14:paraId="56A47DDC" w14:textId="77777777" w:rsidR="00554F60" w:rsidRPr="00554F60" w:rsidRDefault="00554F60" w:rsidP="00554F60">
      <w:pPr>
        <w:numPr>
          <w:ilvl w:val="0"/>
          <w:numId w:val="1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Évolution totale</w:t>
      </w:r>
      <w:r w:rsidRPr="00554F60">
        <w:rPr>
          <w:rFonts w:ascii="Segoe UI" w:hAnsi="Segoe UI" w:cs="Segoe UI"/>
        </w:rPr>
        <w:t> : +0,6 point de PIB sur la décennie</w:t>
      </w:r>
    </w:p>
    <w:p w14:paraId="7F7D4F4A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Tendance observée</w:t>
      </w:r>
    </w:p>
    <w:p w14:paraId="0557B915" w14:textId="77777777" w:rsidR="00554F60" w:rsidRPr="00554F60" w:rsidRDefault="00554F60" w:rsidP="00554F60">
      <w:pPr>
        <w:numPr>
          <w:ilvl w:val="0"/>
          <w:numId w:val="2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2012-2019</w:t>
      </w:r>
      <w:r w:rsidRPr="00554F60">
        <w:rPr>
          <w:rFonts w:ascii="Segoe UI" w:hAnsi="Segoe UI" w:cs="Segoe UI"/>
        </w:rPr>
        <w:t> : Progression graduelle et stable</w:t>
      </w:r>
    </w:p>
    <w:p w14:paraId="1163FD06" w14:textId="77777777" w:rsidR="00554F60" w:rsidRPr="00554F60" w:rsidRDefault="00554F60" w:rsidP="00554F60">
      <w:pPr>
        <w:numPr>
          <w:ilvl w:val="0"/>
          <w:numId w:val="2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2020-2021</w:t>
      </w:r>
      <w:r w:rsidRPr="00554F60">
        <w:rPr>
          <w:rFonts w:ascii="Segoe UI" w:hAnsi="Segoe UI" w:cs="Segoe UI"/>
        </w:rPr>
        <w:t> : Impact COVID avec pic exceptionnel en 2021</w:t>
      </w:r>
    </w:p>
    <w:p w14:paraId="43EE90F8" w14:textId="77777777" w:rsidR="00554F60" w:rsidRPr="00554F60" w:rsidRDefault="00554F60" w:rsidP="00554F60">
      <w:pPr>
        <w:numPr>
          <w:ilvl w:val="0"/>
          <w:numId w:val="2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2022</w:t>
      </w:r>
      <w:r w:rsidRPr="00554F60">
        <w:rPr>
          <w:rFonts w:ascii="Segoe UI" w:hAnsi="Segoe UI" w:cs="Segoe UI"/>
        </w:rPr>
        <w:t> : Décrue et stabilisation post-crise</w:t>
      </w:r>
    </w:p>
    <w:p w14:paraId="323C4001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Insight business</w:t>
      </w:r>
    </w:p>
    <w:p w14:paraId="6C1145F2" w14:textId="124B4373" w:rsid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</w:rPr>
        <w:t>La France maintient une progression contrôlée de ses dépenses de santé tout en démontrant une capacité d'adaptation exceptionnelle lors de crises (pic COVID 2021) et une normalisation rapide en 2022.</w:t>
      </w:r>
    </w:p>
    <w:p w14:paraId="5C5F01F5" w14:textId="77777777" w:rsidR="00554F60" w:rsidRPr="00554F60" w:rsidRDefault="00554F60" w:rsidP="00554F60">
      <w:pPr>
        <w:rPr>
          <w:rFonts w:ascii="Segoe UI" w:hAnsi="Segoe UI" w:cs="Segoe UI"/>
        </w:rPr>
      </w:pPr>
    </w:p>
    <w:p w14:paraId="0650DF9D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 Emoji" w:hAnsi="Segoe UI Emoji" w:cs="Segoe UI Emoji"/>
        </w:rPr>
        <w:t>💰</w:t>
      </w:r>
      <w:r w:rsidRPr="00554F60">
        <w:rPr>
          <w:rFonts w:ascii="Segoe UI" w:hAnsi="Segoe UI" w:cs="Segoe UI"/>
        </w:rPr>
        <w:t> </w:t>
      </w:r>
      <w:r w:rsidRPr="00554F60">
        <w:rPr>
          <w:rFonts w:ascii="Segoe UI" w:hAnsi="Segoe UI" w:cs="Segoe UI"/>
          <w:b/>
          <w:bCs/>
        </w:rPr>
        <w:t>Graphique 2 : Évolution des dépenses par habitant (2012-2022)</w:t>
      </w:r>
    </w:p>
    <w:p w14:paraId="679F4155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Données extraites corrigées</w:t>
      </w:r>
    </w:p>
    <w:p w14:paraId="639A35AA" w14:textId="77777777" w:rsidR="00554F60" w:rsidRPr="00554F60" w:rsidRDefault="00554F60" w:rsidP="00554F60">
      <w:pPr>
        <w:numPr>
          <w:ilvl w:val="0"/>
          <w:numId w:val="3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2012</w:t>
      </w:r>
      <w:r w:rsidRPr="00554F60">
        <w:rPr>
          <w:rFonts w:ascii="Segoe UI" w:hAnsi="Segoe UI" w:cs="Segoe UI"/>
        </w:rPr>
        <w:t> : 4 150$ par habitant</w:t>
      </w:r>
    </w:p>
    <w:p w14:paraId="2E09A828" w14:textId="77777777" w:rsidR="00554F60" w:rsidRPr="00554F60" w:rsidRDefault="00554F60" w:rsidP="00554F60">
      <w:pPr>
        <w:numPr>
          <w:ilvl w:val="0"/>
          <w:numId w:val="3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2021</w:t>
      </w:r>
      <w:r w:rsidRPr="00554F60">
        <w:rPr>
          <w:rFonts w:ascii="Segoe UI" w:hAnsi="Segoe UI" w:cs="Segoe UI"/>
        </w:rPr>
        <w:t> : 5 377$ par habitant (pic COVID)</w:t>
      </w:r>
    </w:p>
    <w:p w14:paraId="4384C180" w14:textId="77777777" w:rsidR="00554F60" w:rsidRPr="00554F60" w:rsidRDefault="00554F60" w:rsidP="00554F60">
      <w:pPr>
        <w:numPr>
          <w:ilvl w:val="0"/>
          <w:numId w:val="3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2022</w:t>
      </w:r>
      <w:r w:rsidRPr="00554F60">
        <w:rPr>
          <w:rFonts w:ascii="Segoe UI" w:hAnsi="Segoe UI" w:cs="Segoe UI"/>
        </w:rPr>
        <w:t> : 4 865$ par habitant</w:t>
      </w:r>
    </w:p>
    <w:p w14:paraId="57002377" w14:textId="77777777" w:rsidR="00554F60" w:rsidRPr="00554F60" w:rsidRDefault="00554F60" w:rsidP="00554F60">
      <w:pPr>
        <w:numPr>
          <w:ilvl w:val="0"/>
          <w:numId w:val="3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Évolution totale</w:t>
      </w:r>
      <w:r w:rsidRPr="00554F60">
        <w:rPr>
          <w:rFonts w:ascii="Segoe UI" w:hAnsi="Segoe UI" w:cs="Segoe UI"/>
        </w:rPr>
        <w:t> : +715$ sur la décennie (+17%)</w:t>
      </w:r>
    </w:p>
    <w:p w14:paraId="3B5D6F83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Tendance observée</w:t>
      </w:r>
    </w:p>
    <w:p w14:paraId="0A8BC1EB" w14:textId="77777777" w:rsidR="00554F60" w:rsidRPr="00554F60" w:rsidRDefault="00554F60" w:rsidP="00554F60">
      <w:pPr>
        <w:numPr>
          <w:ilvl w:val="0"/>
          <w:numId w:val="4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2012-2020</w:t>
      </w:r>
      <w:r w:rsidRPr="00554F60">
        <w:rPr>
          <w:rFonts w:ascii="Segoe UI" w:hAnsi="Segoe UI" w:cs="Segoe UI"/>
        </w:rPr>
        <w:t> : Progression constante et régulière</w:t>
      </w:r>
    </w:p>
    <w:p w14:paraId="2E9B193B" w14:textId="77777777" w:rsidR="00554F60" w:rsidRPr="00554F60" w:rsidRDefault="00554F60" w:rsidP="00554F60">
      <w:pPr>
        <w:numPr>
          <w:ilvl w:val="0"/>
          <w:numId w:val="4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2021</w:t>
      </w:r>
      <w:r w:rsidRPr="00554F60">
        <w:rPr>
          <w:rFonts w:ascii="Segoe UI" w:hAnsi="Segoe UI" w:cs="Segoe UI"/>
        </w:rPr>
        <w:t> : </w:t>
      </w:r>
      <w:r w:rsidRPr="00554F60">
        <w:rPr>
          <w:rFonts w:ascii="Segoe UI" w:hAnsi="Segoe UI" w:cs="Segoe UI"/>
          <w:b/>
          <w:bCs/>
        </w:rPr>
        <w:t>Pic exceptionnel</w:t>
      </w:r>
      <w:r w:rsidRPr="00554F60">
        <w:rPr>
          <w:rFonts w:ascii="Segoe UI" w:hAnsi="Segoe UI" w:cs="Segoe UI"/>
        </w:rPr>
        <w:t> à 5 377$ (impact COVID visible)</w:t>
      </w:r>
    </w:p>
    <w:p w14:paraId="0F23C381" w14:textId="77777777" w:rsidR="00554F60" w:rsidRPr="00554F60" w:rsidRDefault="00554F60" w:rsidP="00554F60">
      <w:pPr>
        <w:numPr>
          <w:ilvl w:val="0"/>
          <w:numId w:val="4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2022</w:t>
      </w:r>
      <w:r w:rsidRPr="00554F60">
        <w:rPr>
          <w:rFonts w:ascii="Segoe UI" w:hAnsi="Segoe UI" w:cs="Segoe UI"/>
        </w:rPr>
        <w:t> : </w:t>
      </w:r>
      <w:r w:rsidRPr="00554F60">
        <w:rPr>
          <w:rFonts w:ascii="Segoe UI" w:hAnsi="Segoe UI" w:cs="Segoe UI"/>
          <w:b/>
          <w:bCs/>
        </w:rPr>
        <w:t>Baisse significative</w:t>
      </w:r>
      <w:r w:rsidRPr="00554F60">
        <w:rPr>
          <w:rFonts w:ascii="Segoe UI" w:hAnsi="Segoe UI" w:cs="Segoe UI"/>
        </w:rPr>
        <w:t> à 4 865$ (normalisation post-crise)</w:t>
      </w:r>
    </w:p>
    <w:p w14:paraId="6A0FE1E2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Insight business actualisé</w:t>
      </w:r>
    </w:p>
    <w:p w14:paraId="7E5999E0" w14:textId="77777777" w:rsid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</w:rPr>
        <w:lastRenderedPageBreak/>
        <w:t>L'évolution des dépenses par habitant suit le même schéma que le % PIB santé : </w:t>
      </w:r>
      <w:r w:rsidRPr="00554F60">
        <w:rPr>
          <w:rFonts w:ascii="Segoe UI" w:hAnsi="Segoe UI" w:cs="Segoe UI"/>
          <w:b/>
          <w:bCs/>
        </w:rPr>
        <w:t>progression stable, pic COVID 2021, puis normalisation en 2022</w:t>
      </w:r>
      <w:r w:rsidRPr="00554F60">
        <w:rPr>
          <w:rFonts w:ascii="Segoe UI" w:hAnsi="Segoe UI" w:cs="Segoe UI"/>
        </w:rPr>
        <w:t>. Cette cohérence renforce la crédibilité de l'analyse globale et démontre l'impact réel de la pandémie sur les dépenses individuelles.</w:t>
      </w:r>
    </w:p>
    <w:p w14:paraId="5271CC9A" w14:textId="77777777" w:rsidR="00554F60" w:rsidRPr="00554F60" w:rsidRDefault="00554F60" w:rsidP="00554F60">
      <w:pPr>
        <w:rPr>
          <w:rFonts w:ascii="Segoe UI" w:hAnsi="Segoe UI" w:cs="Segoe UI"/>
        </w:rPr>
      </w:pPr>
    </w:p>
    <w:p w14:paraId="4E713377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 Emoji" w:hAnsi="Segoe UI Emoji" w:cs="Segoe UI Emoji"/>
        </w:rPr>
        <w:t>🏛️</w:t>
      </w:r>
      <w:r w:rsidRPr="00554F60">
        <w:rPr>
          <w:rFonts w:ascii="Segoe UI" w:hAnsi="Segoe UI" w:cs="Segoe UI"/>
        </w:rPr>
        <w:t> </w:t>
      </w:r>
      <w:r w:rsidRPr="00554F60">
        <w:rPr>
          <w:rFonts w:ascii="Segoe UI" w:hAnsi="Segoe UI" w:cs="Segoe UI"/>
          <w:b/>
          <w:bCs/>
        </w:rPr>
        <w:t>Graphique 3 : Répartition public vs privé (2012-2022)</w:t>
      </w:r>
    </w:p>
    <w:p w14:paraId="67D03744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Données extraites</w:t>
      </w:r>
    </w:p>
    <w:p w14:paraId="39E52024" w14:textId="77777777" w:rsidR="00554F60" w:rsidRPr="00554F60" w:rsidRDefault="00554F60" w:rsidP="00554F60">
      <w:pPr>
        <w:numPr>
          <w:ilvl w:val="0"/>
          <w:numId w:val="5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Répartition stable</w:t>
      </w:r>
      <w:r w:rsidRPr="00554F60">
        <w:rPr>
          <w:rFonts w:ascii="Segoe UI" w:hAnsi="Segoe UI" w:cs="Segoe UI"/>
        </w:rPr>
        <w:t> : Environ 75% public, 25% privé</w:t>
      </w:r>
    </w:p>
    <w:p w14:paraId="260EE942" w14:textId="77777777" w:rsidR="00554F60" w:rsidRPr="00554F60" w:rsidRDefault="00554F60" w:rsidP="00554F60">
      <w:pPr>
        <w:numPr>
          <w:ilvl w:val="0"/>
          <w:numId w:val="5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Stabilité remarquable</w:t>
      </w:r>
      <w:r w:rsidRPr="00554F60">
        <w:rPr>
          <w:rFonts w:ascii="Segoe UI" w:hAnsi="Segoe UI" w:cs="Segoe UI"/>
        </w:rPr>
        <w:t> : Pas de variation significative sur la décennie</w:t>
      </w:r>
    </w:p>
    <w:p w14:paraId="25175D33" w14:textId="77777777" w:rsidR="00554F60" w:rsidRPr="00554F60" w:rsidRDefault="00554F60" w:rsidP="00554F60">
      <w:pPr>
        <w:numPr>
          <w:ilvl w:val="0"/>
          <w:numId w:val="5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Prédominance publique</w:t>
      </w:r>
      <w:r w:rsidRPr="00554F60">
        <w:rPr>
          <w:rFonts w:ascii="Segoe UI" w:hAnsi="Segoe UI" w:cs="Segoe UI"/>
        </w:rPr>
        <w:t> : Le secteur public reste majoritaire</w:t>
      </w:r>
    </w:p>
    <w:p w14:paraId="0C5F274D" w14:textId="77777777" w:rsidR="00554F60" w:rsidRPr="00554F60" w:rsidRDefault="00554F60" w:rsidP="00554F60">
      <w:pPr>
        <w:numPr>
          <w:ilvl w:val="0"/>
          <w:numId w:val="5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Évolution des montants</w:t>
      </w:r>
      <w:r w:rsidRPr="00554F60">
        <w:rPr>
          <w:rFonts w:ascii="Segoe UI" w:hAnsi="Segoe UI" w:cs="Segoe UI"/>
        </w:rPr>
        <w:t> : Croissance proportionnelle des deux secteurs</w:t>
      </w:r>
    </w:p>
    <w:p w14:paraId="39736A2C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Tendance observée</w:t>
      </w:r>
    </w:p>
    <w:p w14:paraId="1BBCF27A" w14:textId="77777777" w:rsidR="00554F60" w:rsidRPr="00554F60" w:rsidRDefault="00554F60" w:rsidP="00554F60">
      <w:pPr>
        <w:numPr>
          <w:ilvl w:val="0"/>
          <w:numId w:val="6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Équilibre maintenu</w:t>
      </w:r>
      <w:r w:rsidRPr="00554F60">
        <w:rPr>
          <w:rFonts w:ascii="Segoe UI" w:hAnsi="Segoe UI" w:cs="Segoe UI"/>
        </w:rPr>
        <w:t> : Répartition 3/4 public, 1/4 privé constante</w:t>
      </w:r>
    </w:p>
    <w:p w14:paraId="3AAEF9A7" w14:textId="77777777" w:rsidR="00554F60" w:rsidRPr="00554F60" w:rsidRDefault="00554F60" w:rsidP="00554F60">
      <w:pPr>
        <w:numPr>
          <w:ilvl w:val="0"/>
          <w:numId w:val="6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Croissance parallèle</w:t>
      </w:r>
      <w:r w:rsidRPr="00554F60">
        <w:rPr>
          <w:rFonts w:ascii="Segoe UI" w:hAnsi="Segoe UI" w:cs="Segoe UI"/>
        </w:rPr>
        <w:t> : Les deux secteurs progressent au même rythme</w:t>
      </w:r>
    </w:p>
    <w:p w14:paraId="65AC5282" w14:textId="77777777" w:rsidR="00554F60" w:rsidRPr="00554F60" w:rsidRDefault="00554F60" w:rsidP="00554F60">
      <w:pPr>
        <w:numPr>
          <w:ilvl w:val="0"/>
          <w:numId w:val="6"/>
        </w:num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Résistance aux crises</w:t>
      </w:r>
      <w:r w:rsidRPr="00554F60">
        <w:rPr>
          <w:rFonts w:ascii="Segoe UI" w:hAnsi="Segoe UI" w:cs="Segoe UI"/>
        </w:rPr>
        <w:t> : Même pendant la crise COVID, l'équilibre est préservé</w:t>
      </w:r>
    </w:p>
    <w:p w14:paraId="1EE63313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Insight business</w:t>
      </w:r>
    </w:p>
    <w:p w14:paraId="00421E52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</w:rPr>
        <w:t>La stabilité de la répartition public/privé (75/25) sur une décennie témoigne d'un modèle de financement équilibré et pérenne, capable de maintenir sa structure même lors de crises majeures.</w:t>
      </w:r>
    </w:p>
    <w:p w14:paraId="401EACE6" w14:textId="77777777" w:rsidR="00554F60" w:rsidRDefault="00554F60" w:rsidP="00554F60">
      <w:pPr>
        <w:rPr>
          <w:rFonts w:ascii="Segoe UI Emoji" w:hAnsi="Segoe UI Emoji" w:cs="Segoe UI Emoji"/>
        </w:rPr>
      </w:pPr>
    </w:p>
    <w:p w14:paraId="0391EF08" w14:textId="72C30EE0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 Emoji" w:hAnsi="Segoe UI Emoji" w:cs="Segoe UI Emoji"/>
        </w:rPr>
        <w:t>📊</w:t>
      </w:r>
      <w:r w:rsidRPr="00554F60">
        <w:rPr>
          <w:rFonts w:ascii="Segoe UI" w:hAnsi="Segoe UI" w:cs="Segoe UI"/>
        </w:rPr>
        <w:t> </w:t>
      </w:r>
      <w:r w:rsidRPr="00554F60">
        <w:rPr>
          <w:rFonts w:ascii="Segoe UI" w:hAnsi="Segoe UI" w:cs="Segoe UI"/>
          <w:b/>
          <w:bCs/>
        </w:rPr>
        <w:t>Synthèse des insights business (2012-2022)</w:t>
      </w:r>
    </w:p>
    <w:p w14:paraId="108BC513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1. Cohérence parfaite entre les indicateurs</w:t>
      </w:r>
    </w:p>
    <w:p w14:paraId="5D143078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</w:rPr>
        <w:t>Les graphiques 1 et 2 révèlent un </w:t>
      </w:r>
      <w:r w:rsidRPr="00554F60">
        <w:rPr>
          <w:rFonts w:ascii="Segoe UI" w:hAnsi="Segoe UI" w:cs="Segoe UI"/>
          <w:b/>
          <w:bCs/>
        </w:rPr>
        <w:t>parallélisme remarquable</w:t>
      </w:r>
      <w:r w:rsidRPr="00554F60">
        <w:rPr>
          <w:rFonts w:ascii="Segoe UI" w:hAnsi="Segoe UI" w:cs="Segoe UI"/>
        </w:rPr>
        <w:t> : même progression stable, même pic COVID 2021, même capacité de normalisation en 2022. Cette cohérence renforce la crédibilité de l'analyse.</w:t>
      </w:r>
    </w:p>
    <w:p w14:paraId="6A9458F3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2. Résilience et adaptation du système</w:t>
      </w:r>
    </w:p>
    <w:p w14:paraId="58255345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</w:rPr>
        <w:t>Le système de santé français démontre une capacité exceptionnelle d'adaptation aux crises (pic COVID 2021) suivi d'une normalisation rapide, tout en maintenant une progression structurelle maîtrisée.</w:t>
      </w:r>
    </w:p>
    <w:p w14:paraId="2AF8549C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3. Modèle de financement stable</w:t>
      </w:r>
    </w:p>
    <w:p w14:paraId="13D2B6A5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</w:rPr>
        <w:t>La répartition 75% public / 25% privé reste remarquablement stable sur la décennie, témoignant d'un modèle de financement équilibré et pérenne résistant aux chocs.</w:t>
      </w:r>
    </w:p>
    <w:p w14:paraId="15B5A6D8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 Emoji" w:hAnsi="Segoe UI Emoji" w:cs="Segoe UI Emoji"/>
        </w:rPr>
        <w:t>💡</w:t>
      </w:r>
      <w:r w:rsidRPr="00554F60">
        <w:rPr>
          <w:rFonts w:ascii="Segoe UI" w:hAnsi="Segoe UI" w:cs="Segoe UI"/>
        </w:rPr>
        <w:t> </w:t>
      </w:r>
      <w:r w:rsidRPr="00554F60">
        <w:rPr>
          <w:rFonts w:ascii="Segoe UI" w:hAnsi="Segoe UI" w:cs="Segoe UI"/>
          <w:b/>
          <w:bCs/>
        </w:rPr>
        <w:t>Recommandations IT/Data pour les décideurs</w:t>
      </w:r>
    </w:p>
    <w:p w14:paraId="74CE6A35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1. Pilotage prédictif des crises</w:t>
      </w:r>
    </w:p>
    <w:p w14:paraId="2DCD66DF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Recommandation</w:t>
      </w:r>
      <w:r w:rsidRPr="00554F60">
        <w:rPr>
          <w:rFonts w:ascii="Segoe UI" w:hAnsi="Segoe UI" w:cs="Segoe UI"/>
        </w:rPr>
        <w:t> : Développer des outils BI et d'IA pour anticiper les pics de dépenses sanitaires</w:t>
      </w:r>
      <w:r w:rsidRPr="00554F60">
        <w:rPr>
          <w:rFonts w:ascii="Segoe UI" w:hAnsi="Segoe UI" w:cs="Segoe UI"/>
        </w:rPr>
        <w:br/>
      </w:r>
      <w:r w:rsidRPr="00554F60">
        <w:rPr>
          <w:rFonts w:ascii="Segoe UI" w:hAnsi="Segoe UI" w:cs="Segoe UI"/>
          <w:b/>
          <w:bCs/>
        </w:rPr>
        <w:t>Justification</w:t>
      </w:r>
      <w:r w:rsidRPr="00554F60">
        <w:rPr>
          <w:rFonts w:ascii="Segoe UI" w:hAnsi="Segoe UI" w:cs="Segoe UI"/>
        </w:rPr>
        <w:t> : Le pattern cohérent observé (pic COVID 2021 sur les deux indicateurs) permet de modéliser les impacts futurs</w:t>
      </w:r>
    </w:p>
    <w:p w14:paraId="3BF036FA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2. Optimisation du suivi per capita</w:t>
      </w:r>
    </w:p>
    <w:p w14:paraId="0979F6FB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Recommandation</w:t>
      </w:r>
      <w:r w:rsidRPr="00554F60">
        <w:rPr>
          <w:rFonts w:ascii="Segoe UI" w:hAnsi="Segoe UI" w:cs="Segoe UI"/>
        </w:rPr>
        <w:t xml:space="preserve"> : Implémenter des </w:t>
      </w:r>
      <w:proofErr w:type="spellStart"/>
      <w:r w:rsidRPr="00554F60">
        <w:rPr>
          <w:rFonts w:ascii="Segoe UI" w:hAnsi="Segoe UI" w:cs="Segoe UI"/>
        </w:rPr>
        <w:t>dashboards</w:t>
      </w:r>
      <w:proofErr w:type="spellEnd"/>
      <w:r w:rsidRPr="00554F60">
        <w:rPr>
          <w:rFonts w:ascii="Segoe UI" w:hAnsi="Segoe UI" w:cs="Segoe UI"/>
        </w:rPr>
        <w:t xml:space="preserve"> temps réel pour piloter l'évolution des dépenses par habitant</w:t>
      </w:r>
      <w:r w:rsidRPr="00554F60">
        <w:rPr>
          <w:rFonts w:ascii="Segoe UI" w:hAnsi="Segoe UI" w:cs="Segoe UI"/>
        </w:rPr>
        <w:br/>
      </w:r>
      <w:r w:rsidRPr="00554F60">
        <w:rPr>
          <w:rFonts w:ascii="Segoe UI" w:hAnsi="Segoe UI" w:cs="Segoe UI"/>
          <w:b/>
          <w:bCs/>
        </w:rPr>
        <w:t>Justification</w:t>
      </w:r>
      <w:r w:rsidRPr="00554F60">
        <w:rPr>
          <w:rFonts w:ascii="Segoe UI" w:hAnsi="Segoe UI" w:cs="Segoe UI"/>
        </w:rPr>
        <w:t> : La volatilité observée (pic à 5 377$ puis baisse à 4 865$) nécessite un suivi fin et réactif</w:t>
      </w:r>
    </w:p>
    <w:p w14:paraId="2704ACB7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3. Maintien de l'équilibre public/privé</w:t>
      </w:r>
    </w:p>
    <w:p w14:paraId="79629E6D" w14:textId="77777777" w:rsidR="00554F60" w:rsidRPr="00554F60" w:rsidRDefault="00554F60" w:rsidP="00554F60">
      <w:pPr>
        <w:rPr>
          <w:rFonts w:ascii="Segoe UI" w:hAnsi="Segoe UI" w:cs="Segoe UI"/>
        </w:rPr>
      </w:pPr>
      <w:r w:rsidRPr="00554F60">
        <w:rPr>
          <w:rFonts w:ascii="Segoe UI" w:hAnsi="Segoe UI" w:cs="Segoe UI"/>
          <w:b/>
          <w:bCs/>
        </w:rPr>
        <w:t>Recommandation</w:t>
      </w:r>
      <w:r w:rsidRPr="00554F60">
        <w:rPr>
          <w:rFonts w:ascii="Segoe UI" w:hAnsi="Segoe UI" w:cs="Segoe UI"/>
        </w:rPr>
        <w:t> : Automatiser le monitoring de la répartition public/privé pour préserver l'équilibre</w:t>
      </w:r>
      <w:r w:rsidRPr="00554F60">
        <w:rPr>
          <w:rFonts w:ascii="Segoe UI" w:hAnsi="Segoe UI" w:cs="Segoe UI"/>
        </w:rPr>
        <w:br/>
      </w:r>
      <w:r w:rsidRPr="00554F60">
        <w:rPr>
          <w:rFonts w:ascii="Segoe UI" w:hAnsi="Segoe UI" w:cs="Segoe UI"/>
          <w:b/>
          <w:bCs/>
        </w:rPr>
        <w:t>Justification</w:t>
      </w:r>
      <w:r w:rsidRPr="00554F60">
        <w:rPr>
          <w:rFonts w:ascii="Segoe UI" w:hAnsi="Segoe UI" w:cs="Segoe UI"/>
        </w:rPr>
        <w:t> : La stabilité 75/25 est un acquis stratégique à préserver et surveiller</w:t>
      </w:r>
    </w:p>
    <w:p w14:paraId="355C6C2D" w14:textId="6DDCBC83" w:rsidR="008A4E3D" w:rsidRPr="00554F60" w:rsidRDefault="008A4E3D" w:rsidP="00554F60"/>
    <w:sectPr w:rsidR="008A4E3D" w:rsidRPr="00554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820B9"/>
    <w:multiLevelType w:val="multilevel"/>
    <w:tmpl w:val="3392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79500F"/>
    <w:multiLevelType w:val="multilevel"/>
    <w:tmpl w:val="0F6E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64E01"/>
    <w:multiLevelType w:val="multilevel"/>
    <w:tmpl w:val="9434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7F3DA5"/>
    <w:multiLevelType w:val="multilevel"/>
    <w:tmpl w:val="261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5A219F"/>
    <w:multiLevelType w:val="multilevel"/>
    <w:tmpl w:val="088C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082D4D"/>
    <w:multiLevelType w:val="multilevel"/>
    <w:tmpl w:val="33A8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6529326">
    <w:abstractNumId w:val="4"/>
  </w:num>
  <w:num w:numId="2" w16cid:durableId="1855222117">
    <w:abstractNumId w:val="1"/>
  </w:num>
  <w:num w:numId="3" w16cid:durableId="1972006403">
    <w:abstractNumId w:val="5"/>
  </w:num>
  <w:num w:numId="4" w16cid:durableId="138422684">
    <w:abstractNumId w:val="3"/>
  </w:num>
  <w:num w:numId="5" w16cid:durableId="98453749">
    <w:abstractNumId w:val="0"/>
  </w:num>
  <w:num w:numId="6" w16cid:durableId="1454979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8D"/>
    <w:rsid w:val="002E6707"/>
    <w:rsid w:val="00554F60"/>
    <w:rsid w:val="00814A94"/>
    <w:rsid w:val="008A4E3D"/>
    <w:rsid w:val="00AB298D"/>
    <w:rsid w:val="00CE536C"/>
    <w:rsid w:val="00D3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C76B"/>
  <w15:chartTrackingRefBased/>
  <w15:docId w15:val="{35A1A4C7-D9B5-445C-84E1-01F8A1AC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2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2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2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29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29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29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29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29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29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2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2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2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2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29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29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29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9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2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AZEBAZE</dc:creator>
  <cp:keywords/>
  <dc:description/>
  <cp:lastModifiedBy>Eddy AZEBAZE</cp:lastModifiedBy>
  <cp:revision>2</cp:revision>
  <dcterms:created xsi:type="dcterms:W3CDTF">2025-07-16T22:14:00Z</dcterms:created>
  <dcterms:modified xsi:type="dcterms:W3CDTF">2025-07-16T22:57:00Z</dcterms:modified>
</cp:coreProperties>
</file>