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НАЦИОНАЛЬНЫЙ ИССЛЕДОВАТЕЛЬСКИЙ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938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ТОМСКИЙ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9"/>
        </w:tabs>
        <w:spacing w:line="360" w:lineRule="auto"/>
        <w:ind w:left="-284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Учебное структурное подразделение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НОЦ «Высшая ИТ школа»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9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9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9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ДНЕВНИК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9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3"/>
        <w:gridCol w:w="6628"/>
        <w:tblGridChange w:id="0">
          <w:tblGrid>
            <w:gridCol w:w="3403"/>
            <w:gridCol w:w="6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StudentFullName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Курс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курс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Направление подготовки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09.03.04 «Программная инженерия»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Наименование ООП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Программная инженерия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Вид практики   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учебная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Тип практики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Технологическая (проектно-технологическая) практика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Способ проведения практики    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стационарная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Место практики: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CompanyFullName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ind w:firstLine="709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639"/>
              </w:tabs>
              <w:spacing w:line="36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639"/>
        </w:tabs>
        <w:spacing w:line="360" w:lineRule="auto"/>
        <w:ind w:left="-284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639"/>
        </w:tabs>
        <w:spacing w:line="360" w:lineRule="auto"/>
        <w:ind w:left="-284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Срок практики с «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01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сентября  2022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г. до «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15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января 2023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19"/>
        </w:tabs>
        <w:spacing w:line="360" w:lineRule="auto"/>
        <w:ind w:firstLine="709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I. ИНФОРМАЦИЯ О НАЗНАЧЕНИИ РУКОВОДИТЕЛЕЙ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819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356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Руководитель практики от НИ ТГУ: </w:t>
        <w:tab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356"/>
        </w:tabs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  Змеев Олег Алексеевич, профессор кафедры программная инженерия ИПМКН ТГУ,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356"/>
        </w:tabs>
        <w:jc w:val="cente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(Ф.И.О, должность, номер и дата приказа о назначении)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356"/>
        </w:tabs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приказ </w:t>
      </w:r>
      <w:r w:rsidDel="00000000" w:rsidR="00000000" w:rsidRPr="00000000">
        <w:rPr>
          <w:color w:val="000000"/>
          <w:sz w:val="24"/>
          <w:szCs w:val="24"/>
          <w:highlight w:val="yellow"/>
          <w:u w:val="single"/>
          <w:rtl w:val="0"/>
        </w:rPr>
        <w:t xml:space="preserve">№7957/c от 30.08.2022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552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356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Руководитель практики от профильной организации: </w:t>
      </w:r>
    </w:p>
    <w:tbl>
      <w:tblPr>
        <w:tblStyle w:val="Table2"/>
        <w:tblW w:w="96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14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SupervisorFullName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552"/>
        </w:tabs>
        <w:jc w:val="cente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 (Ф.И.О)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  <w:tab w:val="left" w:leader="none" w:pos="7088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08.0" w:type="dxa"/>
        <w:tblLayout w:type="fixed"/>
        <w:tblLook w:val="0000"/>
      </w:tblPr>
      <w:tblGrid>
        <w:gridCol w:w="4928"/>
        <w:gridCol w:w="4961"/>
        <w:tblGridChange w:id="0">
          <w:tblGrid>
            <w:gridCol w:w="4928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Руководитель структурного подразделения НИ ТГУ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 / _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Кетова Т,С,                           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(подпись)                                (ФИО) 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« 01 » сентября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20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г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МП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Уполномоченный представитель профильной организации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 / _______________________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(подпись)                                (ФИО)  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 ___ »_______________  2022 г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МП (для внешней организации)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819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08.0" w:type="dxa"/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65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1819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II. ИНДИВИДУАЛЬНОЕ ЗАДАНИЕ, СОДЕРЖАНИЕ </w:t>
              <w:br w:type="textWrapping"/>
              <w:t xml:space="preserve">И ПЛАНИРУЕМЫЕ РЕЗУЛЬТАТЫ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09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Технологическая (проектно-технологическая) практика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(далее – учебная практика) направлена на закрепление и углубление теоретической подготовки обучающегося и приобретение им практических навыков и компетенций в сфере будущей профессиональной деятельности.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Задачи учебной практики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429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ознакомление с организацией и спецификой работы в  ИТ-компании (ИТ-подразделении компании);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429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закрепление знаний и умений, полученных в процессе теоретического обучения.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Планируемые результаты практики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  <w:tbl>
            <w:tblPr>
              <w:tblStyle w:val="Table5"/>
              <w:tblW w:w="9776.0" w:type="dxa"/>
              <w:jc w:val="left"/>
              <w:tblLayout w:type="fixed"/>
              <w:tblLook w:val="0000"/>
            </w:tblPr>
            <w:tblGrid>
              <w:gridCol w:w="3936"/>
              <w:gridCol w:w="5840"/>
              <w:tblGridChange w:id="0">
                <w:tblGrid>
                  <w:gridCol w:w="3936"/>
                  <w:gridCol w:w="5840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200" w:line="276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Формируемые компетенции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Планируемые результаты при прохождении практики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7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line="276" w:lineRule="auto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УК-1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6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ИУК-1.1. Осуществляет поиск информации, необходимой для решения задачи.</w:t>
                  </w:r>
                </w:p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ИУК-1.2. Сравнивает возможные варианты решения, оценивает их преимущества и недостатки, формулирует собственную позицию в рамках поставленной задачи.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ИУК-1.3. Оценивает результаты решения поставленной задачи.</w:t>
                  </w:r>
                </w:p>
              </w:tc>
            </w:tr>
            <w:tr>
              <w:trPr>
                <w:cantSplit w:val="0"/>
                <w:trHeight w:val="896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УК-2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51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48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ИУК-2.1. Формулирует совокупность взаимосвязанных задач в рамках поставленной цели работы, обеспечивающих ее достижение. Определяет ожидаемые результаты решения поставленных задач.</w:t>
                  </w:r>
                </w:p>
                <w:p w:rsidR="00000000" w:rsidDel="00000000" w:rsidP="00000000" w:rsidRDefault="00000000" w:rsidRPr="00000000" w14:paraId="00000049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УК-6.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79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4D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ИУК-6.1. Способен выстраивать и реализовывать траекторию саморазвития.</w:t>
                  </w:r>
                </w:p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ИУК-6.2. Способен оценивать необходимое время для выполнения поставленных задач, с учетом личных и ситуативных особенностей.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0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ОПК-7.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применять в практической деятельности основные концепции, принципы, теории и факты, связанные с информатикой.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84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5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ИОПК-7.1.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          </w:r>
                </w:p>
                <w:p w:rsidR="00000000" w:rsidDel="00000000" w:rsidP="00000000" w:rsidRDefault="00000000" w:rsidRPr="00000000" w14:paraId="0000005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ИОПК-7.2.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Применяет основные концепции, принципы и факты теории доказательств для обоснования принимаемых решений в процессе практической деятельности. </w:t>
                  </w:r>
                </w:p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ИОПК-7.3.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Сравнивает алгоритмы, реализуемые в информационных системах, по разным критериям: точность, трудоёмкость, ресурсоёмкость, надёжность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after="30" w:lineRule="auto"/>
                    <w:rPr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ОПК-8.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ИОПК-8.1.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</w:t>
                  </w:r>
                </w:p>
                <w:p w:rsidR="00000000" w:rsidDel="00000000" w:rsidP="00000000" w:rsidRDefault="00000000" w:rsidRPr="00000000" w14:paraId="00000059">
                  <w:pPr>
                    <w:spacing w:after="30" w:lineRule="auto"/>
                    <w:rPr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ИОПК-8.2.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30" w:lineRule="auto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ПК-1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Способен самостоятельно применять основные концепции программной инженерии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38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ИПК-1.1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          </w:r>
                </w:p>
                <w:p w:rsidR="00000000" w:rsidDel="00000000" w:rsidP="00000000" w:rsidRDefault="00000000" w:rsidRPr="00000000" w14:paraId="0000005E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ИПК-1.2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интегрировать программные модули по заранее описанным протоколом коммуникации для систем среднего и высокого уровня сложности </w:t>
                  </w:r>
                </w:p>
                <w:p w:rsidR="00000000" w:rsidDel="00000000" w:rsidP="00000000" w:rsidRDefault="00000000" w:rsidRPr="00000000" w14:paraId="0000005F">
                  <w:pPr>
                    <w:spacing w:after="30" w:lineRule="auto"/>
                    <w:rPr/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ИПК-1.3 Способен использовать современные информационные системы автоматизирующие процесс разработки программного обеспечения  (Например, системы контроля версий, системы для поддержки автотестирования, менеджеры пакетов и т.п.)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53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after="30" w:lineRule="auto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ПК-2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Способен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38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ИПК-2.1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принимать участие в деловых интервью для выявления и уточнения требований</w:t>
                  </w:r>
                </w:p>
                <w:p w:rsidR="00000000" w:rsidDel="00000000" w:rsidP="00000000" w:rsidRDefault="00000000" w:rsidRPr="00000000" w14:paraId="00000064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ИПК-2.2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создавать и поддерживать в актуальном состоянии артефакты, описывающие требования к информационной системе</w:t>
                  </w:r>
                </w:p>
                <w:p w:rsidR="00000000" w:rsidDel="00000000" w:rsidP="00000000" w:rsidRDefault="00000000" w:rsidRPr="00000000" w14:paraId="00000065">
                  <w:pPr>
                    <w:spacing w:after="30" w:lineRule="auto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ИПК-2.3.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использовать современные информационные системы автоматизирующие процесс разработки программного обеспечения (Например, системы контроля версий, системы для поддержки автотестирования, менеджеры пакетов и т.п.)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58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after="30" w:lineRule="auto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ПК-3 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Способен выполнять работы в рамках проектов по автоматизации бизнес-процессов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38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69">
                  <w:pPr>
                    <w:spacing w:after="30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ИПК-3.1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составлять модели бизнес-процессов "Как есть" и "Как должно быть" в процессе проекта по автоматизации бизнес-процессов</w:t>
                  </w:r>
                </w:p>
                <w:p w:rsidR="00000000" w:rsidDel="00000000" w:rsidP="00000000" w:rsidRDefault="00000000" w:rsidRPr="00000000" w14:paraId="0000006A">
                  <w:pPr>
                    <w:spacing w:after="30" w:lineRule="auto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ИПК-3.2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 Способен предлагать и анализировать предложенный выбор информационного решения для автоматизации различных деятельностей бизнес-процесса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Индивидуальное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задание студента: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Ознакомление с этапами разработки программного обеспечения в компании (в подразделении)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bottom w:color="000000" w:space="2" w:sz="8" w:val="single"/>
              </w:pBdr>
              <w:tabs>
                <w:tab w:val="left" w:leader="none" w:pos="0"/>
              </w:tabs>
              <w:spacing w:line="360" w:lineRule="auto"/>
              <w:ind w:left="72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CompanyFullName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Выполнение ознакомительных (учебных) заданий, связанных с текущими  проектами компании.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86"/>
                <w:tab w:val="left" w:leader="none" w:pos="5670"/>
                <w:tab w:val="left" w:leader="none" w:pos="7935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70"/>
                <w:tab w:val="left" w:leader="none" w:pos="7935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Руководитель практики от ТГУ:       ______________</w:t>
              <w:tab/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 О.А.Змеев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957"/>
                <w:tab w:val="left" w:leader="none" w:pos="6521"/>
              </w:tabs>
              <w:ind w:firstLine="4253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(подпись) 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Руководитель практики от профильной организации:  _______________ ____________</w:t>
              <w:tab/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(подпись)                            (ФИО)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Ознакомлен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         __________ / __________________________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  <w:tab w:val="left" w:leader="none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   (подпись)                                (Ф.И.О)  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359"/>
                <w:tab w:val="left" w:leader="none" w:pos="9356"/>
              </w:tabs>
              <w:ind w:firstLine="652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1819"/>
              </w:tabs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III. ПЛАН, РАБОЧИЙ ГРАФИК ПРОВЕДЕНИЯ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И ТЕКУЩИЙ КОНТРОЛЬ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План практики:</w:t>
      </w:r>
      <w:r w:rsidDel="00000000" w:rsidR="00000000" w:rsidRPr="00000000">
        <w:rPr>
          <w:rtl w:val="0"/>
        </w:rPr>
      </w:r>
    </w:p>
    <w:tbl>
      <w:tblPr>
        <w:tblStyle w:val="Table6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8364"/>
        <w:tblGridChange w:id="0">
          <w:tblGrid>
            <w:gridCol w:w="1242"/>
            <w:gridCol w:w="83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Период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Краткое содержание выполняемых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Ознакомление с организационной структурой предприятия. 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Изучение внутреннего распорядка.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нструктаж по охране труда и технике безопасности.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октябрь - декабрь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Выполнение заданий по текущим проектам компании. 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Участие в митингах по проектам.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декабрь -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Подготовка дневника практики. Защита практики.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Отчет о выполненных задачах: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00" w:val="clear"/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AllTasksList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954"/>
          <w:tab w:val="left" w:leader="none" w:pos="7938"/>
        </w:tabs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 практики от профильной организации:  _______________ ____________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(подпись)                            (ФИО)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0"/>
          <w:tab w:val="left" w:leader="none" w:pos="7935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 практики от ТГУ:       ______________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О.А.Змеев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57"/>
          <w:tab w:val="left" w:leader="none" w:pos="6521"/>
        </w:tabs>
        <w:ind w:firstLine="4253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(подпись) 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         __________ / __________________________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  <w:tab w:val="left" w:leader="none" w:pos="7088"/>
        </w:tabs>
        <w:spacing w:line="360" w:lineRule="auto"/>
        <w:jc w:val="both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                                      (подпись)                                (Ф.И.О)  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  <w:tab w:val="left" w:leader="none" w:pos="7088"/>
        </w:tabs>
        <w:spacing w:line="360" w:lineRule="auto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  <w:tab w:val="left" w:leader="none" w:pos="7088"/>
        </w:tabs>
        <w:spacing w:line="360" w:lineRule="auto"/>
        <w:jc w:val="both"/>
        <w:rPr>
          <w:color w:val="000000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853.0" w:type="dxa"/>
        <w:jc w:val="left"/>
        <w:tblInd w:w="-108.0" w:type="dxa"/>
        <w:tblLayout w:type="fixed"/>
        <w:tblLook w:val="0000"/>
      </w:tblPr>
      <w:tblGrid>
        <w:gridCol w:w="9853"/>
        <w:tblGridChange w:id="0">
          <w:tblGrid>
            <w:gridCol w:w="9853"/>
          </w:tblGrid>
        </w:tblGridChange>
      </w:tblGrid>
      <w:tr>
        <w:trPr>
          <w:cantSplit w:val="0"/>
          <w:trHeight w:val="482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IV. ХАРАКТЕРИСТИКА РАБОТЫ СТУДЕНТА </w:t>
              <w:br w:type="textWrapping"/>
              <w:t xml:space="preserve">ОТ ПРОФИЛЬНОЙ ОРГАНИЗАЦИИ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StudentFullCharacteristic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0212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Оценка (зачет с оценкой): 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54"/>
                <w:tab w:val="left" w:leader="none" w:pos="793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Руководитель практики от профильной организации: </w:t>
              <w:tab/>
              <w:tab/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356"/>
              </w:tabs>
              <w:ind w:firstLine="652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(подпись) 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 ___ » _______________  20 __ г.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568" w:top="993" w:left="1418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Fonts w:ascii="Cambria" w:cs="Cambria" w:eastAsia="Cambria" w:hAnsi="Cambria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mbria" w:cs="Cambria" w:eastAsia="Cambria" w:hAnsi="Cambria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