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9CEE0" w14:textId="77777777" w:rsidR="00D355F4" w:rsidRDefault="00000000">
      <w:pPr>
        <w:spacing w:before="480" w:after="480" w:line="288" w:lineRule="auto"/>
      </w:pPr>
      <w:r>
        <w:rPr>
          <w:rFonts w:ascii="Arial" w:eastAsia="等线" w:hAnsi="Arial" w:cs="Arial"/>
          <w:b/>
          <w:sz w:val="52"/>
        </w:rPr>
        <w:t>12K98ME-C7</w:t>
      </w:r>
      <w:r>
        <w:rPr>
          <w:rFonts w:ascii="Arial" w:eastAsia="等线" w:hAnsi="Arial" w:cs="Arial"/>
          <w:b/>
          <w:sz w:val="52"/>
        </w:rPr>
        <w:t>柴油机不同负载测试数据分析</w:t>
      </w:r>
    </w:p>
    <w:p w14:paraId="3B923680" w14:textId="77777777" w:rsidR="00D355F4" w:rsidRDefault="00000000">
      <w:pPr>
        <w:spacing w:before="320" w:after="120" w:line="288" w:lineRule="auto"/>
        <w:outlineLvl w:val="1"/>
      </w:pPr>
      <w:bookmarkStart w:id="0" w:name="heading_0"/>
      <w:r>
        <w:rPr>
          <w:rFonts w:ascii="Arial" w:eastAsia="等线" w:hAnsi="Arial" w:cs="Arial"/>
          <w:b/>
          <w:sz w:val="32"/>
        </w:rPr>
        <w:t>一、测试数据整理</w:t>
      </w:r>
      <w:bookmarkEnd w:id="0"/>
    </w:p>
    <w:p w14:paraId="73419F25" w14:textId="77777777" w:rsidR="00D355F4" w:rsidRDefault="00000000">
      <w:pPr>
        <w:spacing w:before="120" w:after="120" w:line="288" w:lineRule="auto"/>
      </w:pPr>
      <w:r>
        <w:rPr>
          <w:rFonts w:ascii="Arial" w:eastAsia="等线" w:hAnsi="Arial" w:cs="Arial"/>
        </w:rPr>
        <w:t>本次测试数据来自</w:t>
      </w:r>
      <w:r>
        <w:rPr>
          <w:rFonts w:ascii="Arial" w:eastAsia="等线" w:hAnsi="Arial" w:cs="Arial"/>
        </w:rPr>
        <w:t xml:space="preserve"> 2009 </w:t>
      </w:r>
      <w:r>
        <w:rPr>
          <w:rFonts w:ascii="Arial" w:eastAsia="等线" w:hAnsi="Arial" w:cs="Arial"/>
        </w:rPr>
        <w:t>年</w:t>
      </w:r>
      <w:r>
        <w:rPr>
          <w:rFonts w:ascii="Arial" w:eastAsia="等线" w:hAnsi="Arial" w:cs="Arial"/>
        </w:rPr>
        <w:t xml:space="preserve"> 5 </w:t>
      </w:r>
      <w:r>
        <w:rPr>
          <w:rFonts w:ascii="Arial" w:eastAsia="等线" w:hAnsi="Arial" w:cs="Arial"/>
        </w:rPr>
        <w:t>月</w:t>
      </w:r>
      <w:r>
        <w:rPr>
          <w:rFonts w:ascii="Arial" w:eastAsia="等线" w:hAnsi="Arial" w:cs="Arial"/>
        </w:rPr>
        <w:t xml:space="preserve"> 19 </w:t>
      </w:r>
      <w:r>
        <w:rPr>
          <w:rFonts w:ascii="Arial" w:eastAsia="等线" w:hAnsi="Arial" w:cs="Arial"/>
        </w:rPr>
        <w:t>日的工厂测试报告，主机编号为</w:t>
      </w:r>
      <w:r>
        <w:rPr>
          <w:rFonts w:ascii="Arial" w:eastAsia="等线" w:hAnsi="Arial" w:cs="Arial"/>
        </w:rPr>
        <w:t xml:space="preserve"> AA2877</w:t>
      </w:r>
      <w:r>
        <w:rPr>
          <w:rFonts w:ascii="Arial" w:eastAsia="等线" w:hAnsi="Arial" w:cs="Arial"/>
        </w:rPr>
        <w:t>，船体编号</w:t>
      </w:r>
      <w:r>
        <w:rPr>
          <w:rFonts w:ascii="Arial" w:eastAsia="等线" w:hAnsi="Arial" w:cs="Arial"/>
        </w:rPr>
        <w:t xml:space="preserve"> 1957</w:t>
      </w:r>
      <w:r>
        <w:rPr>
          <w:rFonts w:ascii="Arial" w:eastAsia="等线" w:hAnsi="Arial" w:cs="Arial"/>
        </w:rPr>
        <w:t>，不同负载下的测试数据如下：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185"/>
        <w:gridCol w:w="1185"/>
        <w:gridCol w:w="1185"/>
        <w:gridCol w:w="1185"/>
        <w:gridCol w:w="1185"/>
        <w:gridCol w:w="1185"/>
        <w:gridCol w:w="1185"/>
      </w:tblGrid>
      <w:tr w:rsidR="00D355F4" w14:paraId="7F401CDA" w14:textId="77777777">
        <w:tblPrEx>
          <w:tblCellMar>
            <w:top w:w="0" w:type="dxa"/>
            <w:bottom w:w="0" w:type="dxa"/>
          </w:tblCellMar>
        </w:tblPrEx>
        <w:tc>
          <w:tcPr>
            <w:tcW w:w="1185" w:type="dxa"/>
            <w:tcMar>
              <w:top w:w="60" w:type="dxa"/>
              <w:left w:w="120" w:type="dxa"/>
              <w:bottom w:w="30" w:type="dxa"/>
              <w:right w:w="120" w:type="dxa"/>
            </w:tcMar>
          </w:tcPr>
          <w:p w14:paraId="378335B2" w14:textId="77777777" w:rsidR="00D355F4" w:rsidRDefault="00000000">
            <w:pPr>
              <w:spacing w:before="120" w:after="120" w:line="288" w:lineRule="auto"/>
            </w:pPr>
            <w:r>
              <w:rPr>
                <w:rFonts w:ascii="Arial" w:eastAsia="等线" w:hAnsi="Arial" w:cs="Arial"/>
              </w:rPr>
              <w:t>负载比例</w:t>
            </w:r>
          </w:p>
        </w:tc>
        <w:tc>
          <w:tcPr>
            <w:tcW w:w="1185" w:type="dxa"/>
            <w:tcMar>
              <w:top w:w="60" w:type="dxa"/>
              <w:left w:w="120" w:type="dxa"/>
              <w:bottom w:w="30" w:type="dxa"/>
              <w:right w:w="120" w:type="dxa"/>
            </w:tcMar>
          </w:tcPr>
          <w:p w14:paraId="3FAFACD4" w14:textId="77777777" w:rsidR="00D355F4" w:rsidRDefault="00000000">
            <w:pPr>
              <w:spacing w:before="120" w:after="120" w:line="288" w:lineRule="auto"/>
            </w:pPr>
            <w:r>
              <w:rPr>
                <w:rFonts w:ascii="Arial" w:eastAsia="等线" w:hAnsi="Arial" w:cs="Arial"/>
              </w:rPr>
              <w:t>测试时间</w:t>
            </w:r>
          </w:p>
        </w:tc>
        <w:tc>
          <w:tcPr>
            <w:tcW w:w="1185" w:type="dxa"/>
            <w:tcMar>
              <w:top w:w="60" w:type="dxa"/>
              <w:left w:w="120" w:type="dxa"/>
              <w:bottom w:w="30" w:type="dxa"/>
              <w:right w:w="120" w:type="dxa"/>
            </w:tcMar>
          </w:tcPr>
          <w:p w14:paraId="51861F93" w14:textId="77777777" w:rsidR="00D355F4" w:rsidRDefault="00000000">
            <w:pPr>
              <w:spacing w:before="120" w:after="120" w:line="288" w:lineRule="auto"/>
            </w:pPr>
            <w:r>
              <w:rPr>
                <w:rFonts w:ascii="Arial" w:eastAsia="等线" w:hAnsi="Arial" w:cs="Arial"/>
              </w:rPr>
              <w:t>转速（</w:t>
            </w:r>
            <w:r>
              <w:rPr>
                <w:rFonts w:ascii="Arial" w:eastAsia="等线" w:hAnsi="Arial" w:cs="Arial"/>
              </w:rPr>
              <w:t>rpm</w:t>
            </w:r>
            <w:r>
              <w:rPr>
                <w:rFonts w:ascii="Arial" w:eastAsia="等线" w:hAnsi="Arial" w:cs="Arial"/>
              </w:rPr>
              <w:t>）</w:t>
            </w:r>
          </w:p>
        </w:tc>
        <w:tc>
          <w:tcPr>
            <w:tcW w:w="1185" w:type="dxa"/>
            <w:tcMar>
              <w:top w:w="60" w:type="dxa"/>
              <w:left w:w="120" w:type="dxa"/>
              <w:bottom w:w="30" w:type="dxa"/>
              <w:right w:w="120" w:type="dxa"/>
            </w:tcMar>
          </w:tcPr>
          <w:p w14:paraId="21762D16" w14:textId="77777777" w:rsidR="00D355F4" w:rsidRDefault="00000000">
            <w:pPr>
              <w:spacing w:before="120" w:after="120" w:line="288" w:lineRule="auto"/>
            </w:pPr>
            <w:r>
              <w:rPr>
                <w:rFonts w:ascii="Arial" w:eastAsia="等线" w:hAnsi="Arial" w:cs="Arial"/>
              </w:rPr>
              <w:t>功率（</w:t>
            </w:r>
            <w:r>
              <w:rPr>
                <w:rFonts w:ascii="Arial" w:eastAsia="等线" w:hAnsi="Arial" w:cs="Arial"/>
              </w:rPr>
              <w:t>kW</w:t>
            </w:r>
            <w:r>
              <w:rPr>
                <w:rFonts w:ascii="Arial" w:eastAsia="等线" w:hAnsi="Arial" w:cs="Arial"/>
              </w:rPr>
              <w:t>）</w:t>
            </w:r>
          </w:p>
        </w:tc>
        <w:tc>
          <w:tcPr>
            <w:tcW w:w="1185" w:type="dxa"/>
            <w:tcMar>
              <w:top w:w="60" w:type="dxa"/>
              <w:left w:w="120" w:type="dxa"/>
              <w:bottom w:w="30" w:type="dxa"/>
              <w:right w:w="120" w:type="dxa"/>
            </w:tcMar>
          </w:tcPr>
          <w:p w14:paraId="4DAC60EF" w14:textId="77777777" w:rsidR="00D355F4" w:rsidRDefault="00000000">
            <w:pPr>
              <w:spacing w:before="120" w:after="120" w:line="288" w:lineRule="auto"/>
            </w:pPr>
            <w:r>
              <w:rPr>
                <w:rFonts w:ascii="Arial" w:eastAsia="等线" w:hAnsi="Arial" w:cs="Arial"/>
              </w:rPr>
              <w:t>最大爆发压力（</w:t>
            </w:r>
            <w:r>
              <w:rPr>
                <w:rFonts w:ascii="Arial" w:eastAsia="等线" w:hAnsi="Arial" w:cs="Arial"/>
              </w:rPr>
              <w:t>bar</w:t>
            </w:r>
            <w:r>
              <w:rPr>
                <w:rFonts w:ascii="Arial" w:eastAsia="等线" w:hAnsi="Arial" w:cs="Arial"/>
              </w:rPr>
              <w:t>）</w:t>
            </w:r>
          </w:p>
        </w:tc>
        <w:tc>
          <w:tcPr>
            <w:tcW w:w="1185" w:type="dxa"/>
            <w:tcMar>
              <w:top w:w="60" w:type="dxa"/>
              <w:left w:w="120" w:type="dxa"/>
              <w:bottom w:w="30" w:type="dxa"/>
              <w:right w:w="120" w:type="dxa"/>
            </w:tcMar>
          </w:tcPr>
          <w:p w14:paraId="690F96A6" w14:textId="77777777" w:rsidR="00D355F4" w:rsidRDefault="00000000">
            <w:pPr>
              <w:spacing w:before="120" w:after="120" w:line="288" w:lineRule="auto"/>
            </w:pPr>
            <w:r>
              <w:rPr>
                <w:rFonts w:ascii="Arial" w:eastAsia="等线" w:hAnsi="Arial" w:cs="Arial"/>
              </w:rPr>
              <w:t>压缩压力（</w:t>
            </w:r>
            <w:r>
              <w:rPr>
                <w:rFonts w:ascii="Arial" w:eastAsia="等线" w:hAnsi="Arial" w:cs="Arial"/>
              </w:rPr>
              <w:t>bar</w:t>
            </w:r>
            <w:r>
              <w:rPr>
                <w:rFonts w:ascii="Arial" w:eastAsia="等线" w:hAnsi="Arial" w:cs="Arial"/>
              </w:rPr>
              <w:t>）</w:t>
            </w:r>
          </w:p>
        </w:tc>
        <w:tc>
          <w:tcPr>
            <w:tcW w:w="1185" w:type="dxa"/>
            <w:tcMar>
              <w:top w:w="60" w:type="dxa"/>
              <w:left w:w="120" w:type="dxa"/>
              <w:bottom w:w="30" w:type="dxa"/>
              <w:right w:w="120" w:type="dxa"/>
            </w:tcMar>
          </w:tcPr>
          <w:p w14:paraId="161358BE" w14:textId="77777777" w:rsidR="00D355F4" w:rsidRDefault="00000000">
            <w:pPr>
              <w:spacing w:before="120" w:after="120" w:line="288" w:lineRule="auto"/>
            </w:pPr>
            <w:r>
              <w:rPr>
                <w:rFonts w:ascii="Arial" w:eastAsia="等线" w:hAnsi="Arial" w:cs="Arial"/>
              </w:rPr>
              <w:t>燃油指数</w:t>
            </w:r>
            <w:r>
              <w:rPr>
                <w:rFonts w:ascii="Arial" w:eastAsia="等线" w:hAnsi="Arial" w:cs="Arial"/>
              </w:rPr>
              <w:t xml:space="preserve"> ECU</w:t>
            </w:r>
            <w:r>
              <w:rPr>
                <w:rFonts w:ascii="Arial" w:eastAsia="等线" w:hAnsi="Arial" w:cs="Arial"/>
              </w:rPr>
              <w:t>（</w:t>
            </w:r>
            <w:r>
              <w:rPr>
                <w:rFonts w:ascii="Arial" w:eastAsia="等线" w:hAnsi="Arial" w:cs="Arial"/>
              </w:rPr>
              <w:t>%</w:t>
            </w:r>
            <w:r>
              <w:rPr>
                <w:rFonts w:ascii="Arial" w:eastAsia="等线" w:hAnsi="Arial" w:cs="Arial"/>
              </w:rPr>
              <w:t>）</w:t>
            </w:r>
          </w:p>
        </w:tc>
      </w:tr>
      <w:tr w:rsidR="00D355F4" w14:paraId="0FAA298D" w14:textId="77777777">
        <w:tblPrEx>
          <w:tblCellMar>
            <w:top w:w="0" w:type="dxa"/>
            <w:bottom w:w="0" w:type="dxa"/>
          </w:tblCellMar>
        </w:tblPrEx>
        <w:tc>
          <w:tcPr>
            <w:tcW w:w="1185" w:type="dxa"/>
            <w:tcMar>
              <w:top w:w="60" w:type="dxa"/>
              <w:left w:w="120" w:type="dxa"/>
              <w:bottom w:w="30" w:type="dxa"/>
              <w:right w:w="120" w:type="dxa"/>
            </w:tcMar>
          </w:tcPr>
          <w:p w14:paraId="599FE15D" w14:textId="79F6EE10" w:rsidR="00D355F4" w:rsidRDefault="00000000">
            <w:pPr>
              <w:spacing w:before="120" w:after="120" w:line="288" w:lineRule="auto"/>
            </w:pPr>
            <w:r>
              <w:rPr>
                <w:rFonts w:ascii="Arial" w:eastAsia="等线" w:hAnsi="Arial" w:cs="Arial"/>
              </w:rPr>
              <w:t>25%</w:t>
            </w:r>
            <w:r w:rsidR="009D1139">
              <w:rPr>
                <w:rFonts w:ascii="Arial" w:eastAsia="等线" w:hAnsi="Arial" w:cs="Arial" w:hint="eastAsia"/>
              </w:rPr>
              <w:t>（低载）</w:t>
            </w:r>
          </w:p>
        </w:tc>
        <w:tc>
          <w:tcPr>
            <w:tcW w:w="1185" w:type="dxa"/>
            <w:tcMar>
              <w:top w:w="60" w:type="dxa"/>
              <w:left w:w="120" w:type="dxa"/>
              <w:bottom w:w="30" w:type="dxa"/>
              <w:right w:w="120" w:type="dxa"/>
            </w:tcMar>
          </w:tcPr>
          <w:p w14:paraId="65958486" w14:textId="77777777" w:rsidR="00D355F4" w:rsidRDefault="00000000">
            <w:pPr>
              <w:spacing w:before="120" w:after="120" w:line="288" w:lineRule="auto"/>
            </w:pPr>
            <w:r>
              <w:rPr>
                <w:rFonts w:ascii="Arial" w:eastAsia="等线" w:hAnsi="Arial" w:cs="Arial"/>
              </w:rPr>
              <w:t>15:25</w:t>
            </w:r>
          </w:p>
        </w:tc>
        <w:tc>
          <w:tcPr>
            <w:tcW w:w="1185" w:type="dxa"/>
            <w:tcMar>
              <w:top w:w="60" w:type="dxa"/>
              <w:left w:w="120" w:type="dxa"/>
              <w:bottom w:w="30" w:type="dxa"/>
              <w:right w:w="120" w:type="dxa"/>
            </w:tcMar>
          </w:tcPr>
          <w:p w14:paraId="3409FD6B" w14:textId="77777777" w:rsidR="00D355F4" w:rsidRDefault="00000000">
            <w:pPr>
              <w:spacing w:before="120" w:after="120" w:line="288" w:lineRule="auto"/>
            </w:pPr>
            <w:r>
              <w:rPr>
                <w:rFonts w:ascii="Arial" w:eastAsia="等线" w:hAnsi="Arial" w:cs="Arial"/>
              </w:rPr>
              <w:t>65.5</w:t>
            </w:r>
          </w:p>
        </w:tc>
        <w:tc>
          <w:tcPr>
            <w:tcW w:w="1185" w:type="dxa"/>
            <w:tcMar>
              <w:top w:w="60" w:type="dxa"/>
              <w:left w:w="120" w:type="dxa"/>
              <w:bottom w:w="30" w:type="dxa"/>
              <w:right w:w="120" w:type="dxa"/>
            </w:tcMar>
          </w:tcPr>
          <w:p w14:paraId="7E4BCB8F" w14:textId="77777777" w:rsidR="00D355F4" w:rsidRDefault="00000000">
            <w:pPr>
              <w:spacing w:before="120" w:after="120" w:line="288" w:lineRule="auto"/>
            </w:pPr>
            <w:r>
              <w:rPr>
                <w:rFonts w:ascii="Arial" w:eastAsia="等线" w:hAnsi="Arial" w:cs="Arial"/>
              </w:rPr>
              <w:t>18061</w:t>
            </w:r>
          </w:p>
        </w:tc>
        <w:tc>
          <w:tcPr>
            <w:tcW w:w="1185" w:type="dxa"/>
            <w:tcMar>
              <w:top w:w="60" w:type="dxa"/>
              <w:left w:w="120" w:type="dxa"/>
              <w:bottom w:w="30" w:type="dxa"/>
              <w:right w:w="120" w:type="dxa"/>
            </w:tcMar>
          </w:tcPr>
          <w:p w14:paraId="3CCD170C" w14:textId="77777777" w:rsidR="00D355F4" w:rsidRDefault="00000000">
            <w:pPr>
              <w:spacing w:before="120" w:after="120" w:line="288" w:lineRule="auto"/>
            </w:pPr>
            <w:r>
              <w:rPr>
                <w:rFonts w:ascii="Arial" w:eastAsia="等线" w:hAnsi="Arial" w:cs="Arial"/>
              </w:rPr>
              <w:t>74.2</w:t>
            </w:r>
          </w:p>
        </w:tc>
        <w:tc>
          <w:tcPr>
            <w:tcW w:w="1185" w:type="dxa"/>
            <w:tcMar>
              <w:top w:w="60" w:type="dxa"/>
              <w:left w:w="120" w:type="dxa"/>
              <w:bottom w:w="30" w:type="dxa"/>
              <w:right w:w="120" w:type="dxa"/>
            </w:tcMar>
          </w:tcPr>
          <w:p w14:paraId="22FA08FE" w14:textId="77777777" w:rsidR="00D355F4" w:rsidRDefault="00000000">
            <w:pPr>
              <w:spacing w:before="120" w:after="120" w:line="288" w:lineRule="auto"/>
            </w:pPr>
            <w:r>
              <w:rPr>
                <w:rFonts w:ascii="Arial" w:eastAsia="等线" w:hAnsi="Arial" w:cs="Arial"/>
              </w:rPr>
              <w:t>49.7</w:t>
            </w:r>
          </w:p>
        </w:tc>
        <w:tc>
          <w:tcPr>
            <w:tcW w:w="1185" w:type="dxa"/>
            <w:tcMar>
              <w:top w:w="60" w:type="dxa"/>
              <w:left w:w="120" w:type="dxa"/>
              <w:bottom w:w="30" w:type="dxa"/>
              <w:right w:w="120" w:type="dxa"/>
            </w:tcMar>
          </w:tcPr>
          <w:p w14:paraId="6D37C5BF" w14:textId="77777777" w:rsidR="00D355F4" w:rsidRDefault="00000000">
            <w:pPr>
              <w:spacing w:before="120" w:after="120" w:line="288" w:lineRule="auto"/>
            </w:pPr>
            <w:r>
              <w:rPr>
                <w:rFonts w:ascii="Arial" w:eastAsia="等线" w:hAnsi="Arial" w:cs="Arial"/>
              </w:rPr>
              <w:t>44.0</w:t>
            </w:r>
          </w:p>
        </w:tc>
      </w:tr>
      <w:tr w:rsidR="00D355F4" w14:paraId="5FB898C7" w14:textId="77777777">
        <w:tblPrEx>
          <w:tblCellMar>
            <w:top w:w="0" w:type="dxa"/>
            <w:bottom w:w="0" w:type="dxa"/>
          </w:tblCellMar>
        </w:tblPrEx>
        <w:tc>
          <w:tcPr>
            <w:tcW w:w="1185" w:type="dxa"/>
            <w:tcMar>
              <w:top w:w="60" w:type="dxa"/>
              <w:left w:w="120" w:type="dxa"/>
              <w:bottom w:w="30" w:type="dxa"/>
              <w:right w:w="120" w:type="dxa"/>
            </w:tcMar>
          </w:tcPr>
          <w:p w14:paraId="0E08AEC3" w14:textId="067F59DB" w:rsidR="00D355F4" w:rsidRDefault="00000000">
            <w:pPr>
              <w:spacing w:before="120" w:after="120" w:line="288" w:lineRule="auto"/>
            </w:pPr>
            <w:r>
              <w:rPr>
                <w:rFonts w:ascii="Arial" w:eastAsia="等线" w:hAnsi="Arial" w:cs="Arial"/>
              </w:rPr>
              <w:t>50%</w:t>
            </w:r>
            <w:r w:rsidR="009D1139">
              <w:rPr>
                <w:rFonts w:ascii="Arial" w:eastAsia="等线" w:hAnsi="Arial" w:cs="Arial" w:hint="eastAsia"/>
              </w:rPr>
              <w:t>（中载）</w:t>
            </w:r>
          </w:p>
        </w:tc>
        <w:tc>
          <w:tcPr>
            <w:tcW w:w="1185" w:type="dxa"/>
            <w:tcMar>
              <w:top w:w="60" w:type="dxa"/>
              <w:left w:w="120" w:type="dxa"/>
              <w:bottom w:w="30" w:type="dxa"/>
              <w:right w:w="120" w:type="dxa"/>
            </w:tcMar>
          </w:tcPr>
          <w:p w14:paraId="7E252C94" w14:textId="77777777" w:rsidR="00D355F4" w:rsidRDefault="00000000">
            <w:pPr>
              <w:spacing w:before="120" w:after="120" w:line="288" w:lineRule="auto"/>
            </w:pPr>
            <w:r>
              <w:rPr>
                <w:rFonts w:ascii="Arial" w:eastAsia="等线" w:hAnsi="Arial" w:cs="Arial"/>
              </w:rPr>
              <w:t>15:55</w:t>
            </w:r>
          </w:p>
        </w:tc>
        <w:tc>
          <w:tcPr>
            <w:tcW w:w="1185" w:type="dxa"/>
            <w:tcMar>
              <w:top w:w="60" w:type="dxa"/>
              <w:left w:w="120" w:type="dxa"/>
              <w:bottom w:w="30" w:type="dxa"/>
              <w:right w:w="120" w:type="dxa"/>
            </w:tcMar>
          </w:tcPr>
          <w:p w14:paraId="732C1D61" w14:textId="77777777" w:rsidR="00D355F4" w:rsidRDefault="00000000">
            <w:pPr>
              <w:spacing w:before="120" w:after="120" w:line="288" w:lineRule="auto"/>
            </w:pPr>
            <w:r>
              <w:rPr>
                <w:rFonts w:ascii="Arial" w:eastAsia="等线" w:hAnsi="Arial" w:cs="Arial"/>
              </w:rPr>
              <w:t>82.5</w:t>
            </w:r>
          </w:p>
        </w:tc>
        <w:tc>
          <w:tcPr>
            <w:tcW w:w="1185" w:type="dxa"/>
            <w:tcMar>
              <w:top w:w="60" w:type="dxa"/>
              <w:left w:w="120" w:type="dxa"/>
              <w:bottom w:w="30" w:type="dxa"/>
              <w:right w:w="120" w:type="dxa"/>
            </w:tcMar>
          </w:tcPr>
          <w:p w14:paraId="7E6FF690" w14:textId="77777777" w:rsidR="00D355F4" w:rsidRDefault="00000000">
            <w:pPr>
              <w:spacing w:before="120" w:after="120" w:line="288" w:lineRule="auto"/>
            </w:pPr>
            <w:r>
              <w:rPr>
                <w:rFonts w:ascii="Arial" w:eastAsia="等线" w:hAnsi="Arial" w:cs="Arial"/>
              </w:rPr>
              <w:t>36135</w:t>
            </w:r>
          </w:p>
        </w:tc>
        <w:tc>
          <w:tcPr>
            <w:tcW w:w="1185" w:type="dxa"/>
            <w:tcMar>
              <w:top w:w="60" w:type="dxa"/>
              <w:left w:w="120" w:type="dxa"/>
              <w:bottom w:w="30" w:type="dxa"/>
              <w:right w:w="120" w:type="dxa"/>
            </w:tcMar>
          </w:tcPr>
          <w:p w14:paraId="2852FAE9" w14:textId="77777777" w:rsidR="00D355F4" w:rsidRDefault="00000000">
            <w:pPr>
              <w:spacing w:before="120" w:after="120" w:line="288" w:lineRule="auto"/>
            </w:pPr>
            <w:r>
              <w:rPr>
                <w:rFonts w:ascii="Arial" w:eastAsia="等线" w:hAnsi="Arial" w:cs="Arial"/>
              </w:rPr>
              <w:t>112.5</w:t>
            </w:r>
          </w:p>
        </w:tc>
        <w:tc>
          <w:tcPr>
            <w:tcW w:w="1185" w:type="dxa"/>
            <w:tcMar>
              <w:top w:w="60" w:type="dxa"/>
              <w:left w:w="120" w:type="dxa"/>
              <w:bottom w:w="30" w:type="dxa"/>
              <w:right w:w="120" w:type="dxa"/>
            </w:tcMar>
          </w:tcPr>
          <w:p w14:paraId="12707538" w14:textId="77777777" w:rsidR="00D355F4" w:rsidRDefault="00000000">
            <w:pPr>
              <w:spacing w:before="120" w:after="120" w:line="288" w:lineRule="auto"/>
            </w:pPr>
            <w:r>
              <w:rPr>
                <w:rFonts w:ascii="Arial" w:eastAsia="等线" w:hAnsi="Arial" w:cs="Arial"/>
              </w:rPr>
              <w:t>75.7</w:t>
            </w:r>
          </w:p>
        </w:tc>
        <w:tc>
          <w:tcPr>
            <w:tcW w:w="1185" w:type="dxa"/>
            <w:tcMar>
              <w:top w:w="60" w:type="dxa"/>
              <w:left w:w="120" w:type="dxa"/>
              <w:bottom w:w="30" w:type="dxa"/>
              <w:right w:w="120" w:type="dxa"/>
            </w:tcMar>
          </w:tcPr>
          <w:p w14:paraId="7F4D9E23" w14:textId="77777777" w:rsidR="00D355F4" w:rsidRDefault="00000000">
            <w:pPr>
              <w:spacing w:before="120" w:after="120" w:line="288" w:lineRule="auto"/>
            </w:pPr>
            <w:r>
              <w:rPr>
                <w:rFonts w:ascii="Arial" w:eastAsia="等线" w:hAnsi="Arial" w:cs="Arial"/>
              </w:rPr>
              <w:t>65.0</w:t>
            </w:r>
          </w:p>
        </w:tc>
      </w:tr>
      <w:tr w:rsidR="00D355F4" w14:paraId="05906FC9" w14:textId="77777777">
        <w:tblPrEx>
          <w:tblCellMar>
            <w:top w:w="0" w:type="dxa"/>
            <w:bottom w:w="0" w:type="dxa"/>
          </w:tblCellMar>
        </w:tblPrEx>
        <w:tc>
          <w:tcPr>
            <w:tcW w:w="1185" w:type="dxa"/>
            <w:tcMar>
              <w:top w:w="60" w:type="dxa"/>
              <w:left w:w="120" w:type="dxa"/>
              <w:bottom w:w="30" w:type="dxa"/>
              <w:right w:w="120" w:type="dxa"/>
            </w:tcMar>
          </w:tcPr>
          <w:p w14:paraId="47C9F212" w14:textId="77777777" w:rsidR="00D355F4" w:rsidRDefault="00000000">
            <w:pPr>
              <w:spacing w:before="120" w:after="120" w:line="288" w:lineRule="auto"/>
            </w:pPr>
            <w:r>
              <w:rPr>
                <w:rFonts w:ascii="Arial" w:eastAsia="等线" w:hAnsi="Arial" w:cs="Arial"/>
              </w:rPr>
              <w:t>75%</w:t>
            </w:r>
          </w:p>
        </w:tc>
        <w:tc>
          <w:tcPr>
            <w:tcW w:w="1185" w:type="dxa"/>
            <w:tcMar>
              <w:top w:w="60" w:type="dxa"/>
              <w:left w:w="120" w:type="dxa"/>
              <w:bottom w:w="30" w:type="dxa"/>
              <w:right w:w="120" w:type="dxa"/>
            </w:tcMar>
          </w:tcPr>
          <w:p w14:paraId="295865F8" w14:textId="77777777" w:rsidR="00D355F4" w:rsidRDefault="00000000">
            <w:pPr>
              <w:spacing w:before="120" w:after="120" w:line="288" w:lineRule="auto"/>
            </w:pPr>
            <w:r>
              <w:rPr>
                <w:rFonts w:ascii="Arial" w:eastAsia="等线" w:hAnsi="Arial" w:cs="Arial"/>
              </w:rPr>
              <w:t>16:25</w:t>
            </w:r>
          </w:p>
        </w:tc>
        <w:tc>
          <w:tcPr>
            <w:tcW w:w="1185" w:type="dxa"/>
            <w:tcMar>
              <w:top w:w="60" w:type="dxa"/>
              <w:left w:w="120" w:type="dxa"/>
              <w:bottom w:w="30" w:type="dxa"/>
              <w:right w:w="120" w:type="dxa"/>
            </w:tcMar>
          </w:tcPr>
          <w:p w14:paraId="3F4CB53C" w14:textId="77777777" w:rsidR="00D355F4" w:rsidRDefault="00000000">
            <w:pPr>
              <w:spacing w:before="120" w:after="120" w:line="288" w:lineRule="auto"/>
            </w:pPr>
            <w:r>
              <w:rPr>
                <w:rFonts w:ascii="Arial" w:eastAsia="等线" w:hAnsi="Arial" w:cs="Arial"/>
              </w:rPr>
              <w:t>94.5</w:t>
            </w:r>
          </w:p>
        </w:tc>
        <w:tc>
          <w:tcPr>
            <w:tcW w:w="1185" w:type="dxa"/>
            <w:tcMar>
              <w:top w:w="60" w:type="dxa"/>
              <w:left w:w="120" w:type="dxa"/>
              <w:bottom w:w="30" w:type="dxa"/>
              <w:right w:w="120" w:type="dxa"/>
            </w:tcMar>
          </w:tcPr>
          <w:p w14:paraId="7CD185FA" w14:textId="77777777" w:rsidR="00D355F4" w:rsidRDefault="00000000">
            <w:pPr>
              <w:spacing w:before="120" w:after="120" w:line="288" w:lineRule="auto"/>
            </w:pPr>
            <w:r>
              <w:rPr>
                <w:rFonts w:ascii="Arial" w:eastAsia="等线" w:hAnsi="Arial" w:cs="Arial"/>
              </w:rPr>
              <w:t>54214</w:t>
            </w:r>
          </w:p>
        </w:tc>
        <w:tc>
          <w:tcPr>
            <w:tcW w:w="1185" w:type="dxa"/>
            <w:tcMar>
              <w:top w:w="60" w:type="dxa"/>
              <w:left w:w="120" w:type="dxa"/>
              <w:bottom w:w="30" w:type="dxa"/>
              <w:right w:w="120" w:type="dxa"/>
            </w:tcMar>
          </w:tcPr>
          <w:p w14:paraId="0D0DB718" w14:textId="77777777" w:rsidR="00D355F4" w:rsidRDefault="00000000">
            <w:pPr>
              <w:spacing w:before="120" w:after="120" w:line="288" w:lineRule="auto"/>
            </w:pPr>
            <w:r>
              <w:rPr>
                <w:rFonts w:ascii="Arial" w:eastAsia="等线" w:hAnsi="Arial" w:cs="Arial"/>
              </w:rPr>
              <w:t>143.6</w:t>
            </w:r>
          </w:p>
        </w:tc>
        <w:tc>
          <w:tcPr>
            <w:tcW w:w="1185" w:type="dxa"/>
            <w:tcMar>
              <w:top w:w="60" w:type="dxa"/>
              <w:left w:w="120" w:type="dxa"/>
              <w:bottom w:w="30" w:type="dxa"/>
              <w:right w:w="120" w:type="dxa"/>
            </w:tcMar>
          </w:tcPr>
          <w:p w14:paraId="6235BD27" w14:textId="77777777" w:rsidR="00D355F4" w:rsidRDefault="00000000">
            <w:pPr>
              <w:spacing w:before="120" w:after="120" w:line="288" w:lineRule="auto"/>
            </w:pPr>
            <w:r>
              <w:rPr>
                <w:rFonts w:ascii="Arial" w:eastAsia="等线" w:hAnsi="Arial" w:cs="Arial"/>
              </w:rPr>
              <w:t>107.8</w:t>
            </w:r>
          </w:p>
        </w:tc>
        <w:tc>
          <w:tcPr>
            <w:tcW w:w="1185" w:type="dxa"/>
            <w:tcMar>
              <w:top w:w="60" w:type="dxa"/>
              <w:left w:w="120" w:type="dxa"/>
              <w:bottom w:w="30" w:type="dxa"/>
              <w:right w:w="120" w:type="dxa"/>
            </w:tcMar>
          </w:tcPr>
          <w:p w14:paraId="42A66C2A" w14:textId="77777777" w:rsidR="00D355F4" w:rsidRDefault="00000000">
            <w:pPr>
              <w:spacing w:before="120" w:after="120" w:line="288" w:lineRule="auto"/>
            </w:pPr>
            <w:r>
              <w:rPr>
                <w:rFonts w:ascii="Arial" w:eastAsia="等线" w:hAnsi="Arial" w:cs="Arial"/>
              </w:rPr>
              <w:t>81.0</w:t>
            </w:r>
          </w:p>
        </w:tc>
      </w:tr>
      <w:tr w:rsidR="00D355F4" w14:paraId="32E22DBA" w14:textId="77777777">
        <w:tblPrEx>
          <w:tblCellMar>
            <w:top w:w="0" w:type="dxa"/>
            <w:bottom w:w="0" w:type="dxa"/>
          </w:tblCellMar>
        </w:tblPrEx>
        <w:tc>
          <w:tcPr>
            <w:tcW w:w="1185" w:type="dxa"/>
            <w:tcMar>
              <w:top w:w="60" w:type="dxa"/>
              <w:left w:w="120" w:type="dxa"/>
              <w:bottom w:w="30" w:type="dxa"/>
              <w:right w:w="120" w:type="dxa"/>
            </w:tcMar>
          </w:tcPr>
          <w:p w14:paraId="111D3469" w14:textId="6E5BDFDE" w:rsidR="00D355F4" w:rsidRDefault="00000000">
            <w:pPr>
              <w:spacing w:before="120" w:after="120" w:line="288" w:lineRule="auto"/>
            </w:pPr>
            <w:r>
              <w:rPr>
                <w:rFonts w:ascii="Arial" w:eastAsia="等线" w:hAnsi="Arial" w:cs="Arial"/>
              </w:rPr>
              <w:t>90%</w:t>
            </w:r>
            <w:r w:rsidR="009D1139">
              <w:rPr>
                <w:rFonts w:ascii="Arial" w:eastAsia="等线" w:hAnsi="Arial" w:cs="Arial" w:hint="eastAsia"/>
              </w:rPr>
              <w:t>（类似额定功率）</w:t>
            </w:r>
          </w:p>
        </w:tc>
        <w:tc>
          <w:tcPr>
            <w:tcW w:w="1185" w:type="dxa"/>
            <w:tcMar>
              <w:top w:w="60" w:type="dxa"/>
              <w:left w:w="120" w:type="dxa"/>
              <w:bottom w:w="30" w:type="dxa"/>
              <w:right w:w="120" w:type="dxa"/>
            </w:tcMar>
          </w:tcPr>
          <w:p w14:paraId="28705113" w14:textId="77777777" w:rsidR="00D355F4" w:rsidRDefault="00000000">
            <w:pPr>
              <w:spacing w:before="120" w:after="120" w:line="288" w:lineRule="auto"/>
            </w:pPr>
            <w:r>
              <w:rPr>
                <w:rFonts w:ascii="Arial" w:eastAsia="等线" w:hAnsi="Arial" w:cs="Arial"/>
              </w:rPr>
              <w:t>16:55</w:t>
            </w:r>
          </w:p>
        </w:tc>
        <w:tc>
          <w:tcPr>
            <w:tcW w:w="1185" w:type="dxa"/>
            <w:tcMar>
              <w:top w:w="60" w:type="dxa"/>
              <w:left w:w="120" w:type="dxa"/>
              <w:bottom w:w="30" w:type="dxa"/>
              <w:right w:w="120" w:type="dxa"/>
            </w:tcMar>
          </w:tcPr>
          <w:p w14:paraId="77E310D4" w14:textId="77777777" w:rsidR="00D355F4" w:rsidRDefault="00000000">
            <w:pPr>
              <w:spacing w:before="120" w:after="120" w:line="288" w:lineRule="auto"/>
            </w:pPr>
            <w:r>
              <w:rPr>
                <w:rFonts w:ascii="Arial" w:eastAsia="等线" w:hAnsi="Arial" w:cs="Arial"/>
              </w:rPr>
              <w:t>100.4</w:t>
            </w:r>
          </w:p>
        </w:tc>
        <w:tc>
          <w:tcPr>
            <w:tcW w:w="1185" w:type="dxa"/>
            <w:tcMar>
              <w:top w:w="60" w:type="dxa"/>
              <w:left w:w="120" w:type="dxa"/>
              <w:bottom w:w="30" w:type="dxa"/>
              <w:right w:w="120" w:type="dxa"/>
            </w:tcMar>
          </w:tcPr>
          <w:p w14:paraId="5D09876E" w14:textId="77777777" w:rsidR="00D355F4" w:rsidRDefault="00000000">
            <w:pPr>
              <w:spacing w:before="120" w:after="120" w:line="288" w:lineRule="auto"/>
            </w:pPr>
            <w:r>
              <w:rPr>
                <w:rFonts w:ascii="Arial" w:eastAsia="等线" w:hAnsi="Arial" w:cs="Arial"/>
              </w:rPr>
              <w:t>65021</w:t>
            </w:r>
          </w:p>
        </w:tc>
        <w:tc>
          <w:tcPr>
            <w:tcW w:w="1185" w:type="dxa"/>
            <w:tcMar>
              <w:top w:w="60" w:type="dxa"/>
              <w:left w:w="120" w:type="dxa"/>
              <w:bottom w:w="30" w:type="dxa"/>
              <w:right w:w="120" w:type="dxa"/>
            </w:tcMar>
          </w:tcPr>
          <w:p w14:paraId="519D6EE3" w14:textId="77777777" w:rsidR="00D355F4" w:rsidRDefault="00000000">
            <w:pPr>
              <w:spacing w:before="120" w:after="120" w:line="288" w:lineRule="auto"/>
            </w:pPr>
            <w:r>
              <w:rPr>
                <w:rFonts w:ascii="Arial" w:eastAsia="等线" w:hAnsi="Arial" w:cs="Arial"/>
              </w:rPr>
              <w:t>150.4</w:t>
            </w:r>
          </w:p>
        </w:tc>
        <w:tc>
          <w:tcPr>
            <w:tcW w:w="1185" w:type="dxa"/>
            <w:tcMar>
              <w:top w:w="60" w:type="dxa"/>
              <w:left w:w="120" w:type="dxa"/>
              <w:bottom w:w="30" w:type="dxa"/>
              <w:right w:w="120" w:type="dxa"/>
            </w:tcMar>
          </w:tcPr>
          <w:p w14:paraId="1FB3D1D5" w14:textId="77777777" w:rsidR="00D355F4" w:rsidRDefault="00000000">
            <w:pPr>
              <w:spacing w:before="120" w:after="120" w:line="288" w:lineRule="auto"/>
            </w:pPr>
            <w:r>
              <w:rPr>
                <w:rFonts w:ascii="Arial" w:eastAsia="等线" w:hAnsi="Arial" w:cs="Arial"/>
              </w:rPr>
              <w:t>120.3</w:t>
            </w:r>
          </w:p>
        </w:tc>
        <w:tc>
          <w:tcPr>
            <w:tcW w:w="1185" w:type="dxa"/>
            <w:tcMar>
              <w:top w:w="60" w:type="dxa"/>
              <w:left w:w="120" w:type="dxa"/>
              <w:bottom w:w="30" w:type="dxa"/>
              <w:right w:w="120" w:type="dxa"/>
            </w:tcMar>
          </w:tcPr>
          <w:p w14:paraId="5085AA46" w14:textId="77777777" w:rsidR="00D355F4" w:rsidRDefault="00000000">
            <w:pPr>
              <w:spacing w:before="120" w:after="120" w:line="288" w:lineRule="auto"/>
            </w:pPr>
            <w:r>
              <w:rPr>
                <w:rFonts w:ascii="Arial" w:eastAsia="等线" w:hAnsi="Arial" w:cs="Arial"/>
              </w:rPr>
              <w:t>93.0</w:t>
            </w:r>
          </w:p>
        </w:tc>
      </w:tr>
      <w:tr w:rsidR="00D355F4" w14:paraId="29E9FFED" w14:textId="77777777">
        <w:tblPrEx>
          <w:tblCellMar>
            <w:top w:w="0" w:type="dxa"/>
            <w:bottom w:w="0" w:type="dxa"/>
          </w:tblCellMar>
        </w:tblPrEx>
        <w:tc>
          <w:tcPr>
            <w:tcW w:w="1185" w:type="dxa"/>
            <w:tcMar>
              <w:top w:w="60" w:type="dxa"/>
              <w:left w:w="120" w:type="dxa"/>
              <w:bottom w:w="30" w:type="dxa"/>
              <w:right w:w="120" w:type="dxa"/>
            </w:tcMar>
          </w:tcPr>
          <w:p w14:paraId="2A00FA6F" w14:textId="77777777" w:rsidR="00D355F4" w:rsidRDefault="00000000">
            <w:pPr>
              <w:spacing w:before="120" w:after="120" w:line="288" w:lineRule="auto"/>
            </w:pPr>
            <w:r>
              <w:rPr>
                <w:rFonts w:ascii="Arial" w:eastAsia="等线" w:hAnsi="Arial" w:cs="Arial"/>
              </w:rPr>
              <w:t>100%</w:t>
            </w:r>
          </w:p>
        </w:tc>
        <w:tc>
          <w:tcPr>
            <w:tcW w:w="1185" w:type="dxa"/>
            <w:tcMar>
              <w:top w:w="60" w:type="dxa"/>
              <w:left w:w="120" w:type="dxa"/>
              <w:bottom w:w="30" w:type="dxa"/>
              <w:right w:w="120" w:type="dxa"/>
            </w:tcMar>
          </w:tcPr>
          <w:p w14:paraId="02944134" w14:textId="77777777" w:rsidR="00D355F4" w:rsidRDefault="00000000">
            <w:pPr>
              <w:spacing w:before="120" w:after="120" w:line="288" w:lineRule="auto"/>
            </w:pPr>
            <w:r>
              <w:rPr>
                <w:rFonts w:ascii="Arial" w:eastAsia="等线" w:hAnsi="Arial" w:cs="Arial"/>
              </w:rPr>
              <w:t>17:25</w:t>
            </w:r>
          </w:p>
        </w:tc>
        <w:tc>
          <w:tcPr>
            <w:tcW w:w="1185" w:type="dxa"/>
            <w:tcMar>
              <w:top w:w="60" w:type="dxa"/>
              <w:left w:w="120" w:type="dxa"/>
              <w:bottom w:w="30" w:type="dxa"/>
              <w:right w:w="120" w:type="dxa"/>
            </w:tcMar>
          </w:tcPr>
          <w:p w14:paraId="0C96294E" w14:textId="77777777" w:rsidR="00D355F4" w:rsidRDefault="00000000">
            <w:pPr>
              <w:spacing w:before="120" w:after="120" w:line="288" w:lineRule="auto"/>
            </w:pPr>
            <w:r>
              <w:rPr>
                <w:rFonts w:ascii="Arial" w:eastAsia="等线" w:hAnsi="Arial" w:cs="Arial"/>
              </w:rPr>
              <w:t>104.0</w:t>
            </w:r>
          </w:p>
        </w:tc>
        <w:tc>
          <w:tcPr>
            <w:tcW w:w="1185" w:type="dxa"/>
            <w:tcMar>
              <w:top w:w="60" w:type="dxa"/>
              <w:left w:w="120" w:type="dxa"/>
              <w:bottom w:w="30" w:type="dxa"/>
              <w:right w:w="120" w:type="dxa"/>
            </w:tcMar>
          </w:tcPr>
          <w:p w14:paraId="77BB5EC4" w14:textId="77777777" w:rsidR="00D355F4" w:rsidRDefault="00000000">
            <w:pPr>
              <w:spacing w:before="120" w:after="120" w:line="288" w:lineRule="auto"/>
            </w:pPr>
            <w:r>
              <w:rPr>
                <w:rFonts w:ascii="Arial" w:eastAsia="等线" w:hAnsi="Arial" w:cs="Arial"/>
              </w:rPr>
              <w:t>72240</w:t>
            </w:r>
          </w:p>
        </w:tc>
        <w:tc>
          <w:tcPr>
            <w:tcW w:w="1185" w:type="dxa"/>
            <w:tcMar>
              <w:top w:w="60" w:type="dxa"/>
              <w:left w:w="120" w:type="dxa"/>
              <w:bottom w:w="30" w:type="dxa"/>
              <w:right w:w="120" w:type="dxa"/>
            </w:tcMar>
          </w:tcPr>
          <w:p w14:paraId="6A2F7655" w14:textId="77777777" w:rsidR="00D355F4" w:rsidRDefault="00000000">
            <w:pPr>
              <w:spacing w:before="120" w:after="120" w:line="288" w:lineRule="auto"/>
            </w:pPr>
            <w:r>
              <w:rPr>
                <w:rFonts w:ascii="Arial" w:eastAsia="等线" w:hAnsi="Arial" w:cs="Arial"/>
              </w:rPr>
              <w:t>150.0</w:t>
            </w:r>
          </w:p>
        </w:tc>
        <w:tc>
          <w:tcPr>
            <w:tcW w:w="1185" w:type="dxa"/>
            <w:tcMar>
              <w:top w:w="60" w:type="dxa"/>
              <w:left w:w="120" w:type="dxa"/>
              <w:bottom w:w="30" w:type="dxa"/>
              <w:right w:w="120" w:type="dxa"/>
            </w:tcMar>
          </w:tcPr>
          <w:p w14:paraId="39DB9696" w14:textId="77777777" w:rsidR="00D355F4" w:rsidRDefault="00000000">
            <w:pPr>
              <w:spacing w:before="120" w:after="120" w:line="288" w:lineRule="auto"/>
            </w:pPr>
            <w:r>
              <w:rPr>
                <w:rFonts w:ascii="Arial" w:eastAsia="等线" w:hAnsi="Arial" w:cs="Arial"/>
              </w:rPr>
              <w:t>132.1</w:t>
            </w:r>
          </w:p>
        </w:tc>
        <w:tc>
          <w:tcPr>
            <w:tcW w:w="1185" w:type="dxa"/>
            <w:tcMar>
              <w:top w:w="60" w:type="dxa"/>
              <w:left w:w="120" w:type="dxa"/>
              <w:bottom w:w="30" w:type="dxa"/>
              <w:right w:w="120" w:type="dxa"/>
            </w:tcMar>
          </w:tcPr>
          <w:p w14:paraId="382CCE10" w14:textId="77777777" w:rsidR="00D355F4" w:rsidRDefault="00000000">
            <w:pPr>
              <w:spacing w:before="120" w:after="120" w:line="288" w:lineRule="auto"/>
            </w:pPr>
            <w:r>
              <w:rPr>
                <w:rFonts w:ascii="Arial" w:eastAsia="等线" w:hAnsi="Arial" w:cs="Arial"/>
              </w:rPr>
              <w:t>100.0</w:t>
            </w:r>
          </w:p>
        </w:tc>
      </w:tr>
      <w:tr w:rsidR="00D355F4" w14:paraId="76A64948" w14:textId="77777777">
        <w:tblPrEx>
          <w:tblCellMar>
            <w:top w:w="0" w:type="dxa"/>
            <w:bottom w:w="0" w:type="dxa"/>
          </w:tblCellMar>
        </w:tblPrEx>
        <w:tc>
          <w:tcPr>
            <w:tcW w:w="1185" w:type="dxa"/>
            <w:tcMar>
              <w:top w:w="60" w:type="dxa"/>
              <w:left w:w="120" w:type="dxa"/>
              <w:bottom w:w="30" w:type="dxa"/>
              <w:right w:w="120" w:type="dxa"/>
            </w:tcMar>
          </w:tcPr>
          <w:p w14:paraId="110BDED9" w14:textId="60673956" w:rsidR="00D355F4" w:rsidRDefault="00000000">
            <w:pPr>
              <w:spacing w:before="120" w:after="120" w:line="288" w:lineRule="auto"/>
            </w:pPr>
            <w:r>
              <w:rPr>
                <w:rFonts w:ascii="Arial" w:eastAsia="等线" w:hAnsi="Arial" w:cs="Arial"/>
              </w:rPr>
              <w:t>110%</w:t>
            </w:r>
            <w:r w:rsidR="009D1139">
              <w:rPr>
                <w:rFonts w:ascii="Arial" w:eastAsia="等线" w:hAnsi="Arial" w:cs="Arial" w:hint="eastAsia"/>
              </w:rPr>
              <w:t>（超负荷）</w:t>
            </w:r>
          </w:p>
        </w:tc>
        <w:tc>
          <w:tcPr>
            <w:tcW w:w="1185" w:type="dxa"/>
            <w:tcMar>
              <w:top w:w="60" w:type="dxa"/>
              <w:left w:w="120" w:type="dxa"/>
              <w:bottom w:w="30" w:type="dxa"/>
              <w:right w:w="120" w:type="dxa"/>
            </w:tcMar>
          </w:tcPr>
          <w:p w14:paraId="0F70E3B5" w14:textId="77777777" w:rsidR="00D355F4" w:rsidRDefault="00000000">
            <w:pPr>
              <w:spacing w:before="120" w:after="120" w:line="288" w:lineRule="auto"/>
            </w:pPr>
            <w:r>
              <w:rPr>
                <w:rFonts w:ascii="Arial" w:eastAsia="等线" w:hAnsi="Arial" w:cs="Arial"/>
              </w:rPr>
              <w:t>18:25</w:t>
            </w:r>
          </w:p>
        </w:tc>
        <w:tc>
          <w:tcPr>
            <w:tcW w:w="1185" w:type="dxa"/>
            <w:tcMar>
              <w:top w:w="60" w:type="dxa"/>
              <w:left w:w="120" w:type="dxa"/>
              <w:bottom w:w="30" w:type="dxa"/>
              <w:right w:w="120" w:type="dxa"/>
            </w:tcMar>
          </w:tcPr>
          <w:p w14:paraId="78DC450E" w14:textId="77777777" w:rsidR="00D355F4" w:rsidRDefault="00000000">
            <w:pPr>
              <w:spacing w:before="120" w:after="120" w:line="288" w:lineRule="auto"/>
            </w:pPr>
            <w:r>
              <w:rPr>
                <w:rFonts w:ascii="Arial" w:eastAsia="等线" w:hAnsi="Arial" w:cs="Arial"/>
              </w:rPr>
              <w:t>107.4</w:t>
            </w:r>
          </w:p>
        </w:tc>
        <w:tc>
          <w:tcPr>
            <w:tcW w:w="1185" w:type="dxa"/>
            <w:tcMar>
              <w:top w:w="60" w:type="dxa"/>
              <w:left w:w="120" w:type="dxa"/>
              <w:bottom w:w="30" w:type="dxa"/>
              <w:right w:w="120" w:type="dxa"/>
            </w:tcMar>
          </w:tcPr>
          <w:p w14:paraId="35523408" w14:textId="77777777" w:rsidR="00D355F4" w:rsidRDefault="00000000">
            <w:pPr>
              <w:spacing w:before="120" w:after="120" w:line="288" w:lineRule="auto"/>
            </w:pPr>
            <w:r>
              <w:rPr>
                <w:rFonts w:ascii="Arial" w:eastAsia="等线" w:hAnsi="Arial" w:cs="Arial"/>
              </w:rPr>
              <w:t>79507</w:t>
            </w:r>
          </w:p>
        </w:tc>
        <w:tc>
          <w:tcPr>
            <w:tcW w:w="1185" w:type="dxa"/>
            <w:tcMar>
              <w:top w:w="60" w:type="dxa"/>
              <w:left w:w="120" w:type="dxa"/>
              <w:bottom w:w="30" w:type="dxa"/>
              <w:right w:w="120" w:type="dxa"/>
            </w:tcMar>
          </w:tcPr>
          <w:p w14:paraId="2DA2D9D2" w14:textId="77777777" w:rsidR="00D355F4" w:rsidRDefault="00000000">
            <w:pPr>
              <w:spacing w:before="120" w:after="120" w:line="288" w:lineRule="auto"/>
            </w:pPr>
            <w:r>
              <w:rPr>
                <w:rFonts w:ascii="Arial" w:eastAsia="等线" w:hAnsi="Arial" w:cs="Arial"/>
              </w:rPr>
              <w:t>150.0</w:t>
            </w:r>
          </w:p>
        </w:tc>
        <w:tc>
          <w:tcPr>
            <w:tcW w:w="1185" w:type="dxa"/>
            <w:tcMar>
              <w:top w:w="60" w:type="dxa"/>
              <w:left w:w="120" w:type="dxa"/>
              <w:bottom w:w="30" w:type="dxa"/>
              <w:right w:w="120" w:type="dxa"/>
            </w:tcMar>
          </w:tcPr>
          <w:p w14:paraId="5B8B08A2" w14:textId="77777777" w:rsidR="00D355F4" w:rsidRDefault="00000000">
            <w:pPr>
              <w:spacing w:before="120" w:after="120" w:line="288" w:lineRule="auto"/>
            </w:pPr>
            <w:r>
              <w:rPr>
                <w:rFonts w:ascii="Arial" w:eastAsia="等线" w:hAnsi="Arial" w:cs="Arial"/>
              </w:rPr>
              <w:t>141.7</w:t>
            </w:r>
          </w:p>
        </w:tc>
        <w:tc>
          <w:tcPr>
            <w:tcW w:w="1185" w:type="dxa"/>
            <w:tcMar>
              <w:top w:w="60" w:type="dxa"/>
              <w:left w:w="120" w:type="dxa"/>
              <w:bottom w:w="30" w:type="dxa"/>
              <w:right w:w="120" w:type="dxa"/>
            </w:tcMar>
          </w:tcPr>
          <w:p w14:paraId="7FD7034B" w14:textId="77777777" w:rsidR="00D355F4" w:rsidRDefault="00000000">
            <w:pPr>
              <w:spacing w:before="120" w:after="120" w:line="288" w:lineRule="auto"/>
            </w:pPr>
            <w:r>
              <w:rPr>
                <w:rFonts w:ascii="Arial" w:eastAsia="等线" w:hAnsi="Arial" w:cs="Arial"/>
              </w:rPr>
              <w:t>106.0</w:t>
            </w:r>
          </w:p>
        </w:tc>
      </w:tr>
    </w:tbl>
    <w:p w14:paraId="645644DE" w14:textId="77777777" w:rsidR="00D355F4" w:rsidRDefault="00000000">
      <w:pPr>
        <w:spacing w:before="320" w:after="120" w:line="288" w:lineRule="auto"/>
        <w:outlineLvl w:val="1"/>
      </w:pPr>
      <w:bookmarkStart w:id="1" w:name="heading_1"/>
      <w:r>
        <w:rPr>
          <w:rFonts w:ascii="Arial" w:eastAsia="等线" w:hAnsi="Arial" w:cs="Arial"/>
          <w:b/>
          <w:sz w:val="32"/>
        </w:rPr>
        <w:t>二、负载变化趋势分析</w:t>
      </w:r>
      <w:bookmarkEnd w:id="1"/>
    </w:p>
    <w:p w14:paraId="5C9CE046" w14:textId="77777777" w:rsidR="00D355F4" w:rsidRDefault="00000000">
      <w:pPr>
        <w:spacing w:before="300" w:after="120" w:line="288" w:lineRule="auto"/>
        <w:outlineLvl w:val="2"/>
      </w:pPr>
      <w:bookmarkStart w:id="2" w:name="heading_2"/>
      <w:r>
        <w:rPr>
          <w:rFonts w:ascii="Arial" w:eastAsia="等线" w:hAnsi="Arial" w:cs="Arial"/>
          <w:b/>
          <w:sz w:val="30"/>
        </w:rPr>
        <w:t xml:space="preserve">1. </w:t>
      </w:r>
      <w:r>
        <w:rPr>
          <w:rFonts w:ascii="Arial" w:eastAsia="等线" w:hAnsi="Arial" w:cs="Arial"/>
          <w:b/>
          <w:sz w:val="30"/>
        </w:rPr>
        <w:t>转速变化趋势</w:t>
      </w:r>
      <w:bookmarkEnd w:id="2"/>
    </w:p>
    <w:p w14:paraId="0954BF4A" w14:textId="77777777" w:rsidR="00D355F4" w:rsidRDefault="00000000">
      <w:pPr>
        <w:spacing w:before="120" w:after="120" w:line="288" w:lineRule="auto"/>
      </w:pPr>
      <w:r>
        <w:rPr>
          <w:rFonts w:ascii="Arial" w:eastAsia="等线" w:hAnsi="Arial" w:cs="Arial"/>
        </w:rPr>
        <w:t>随着负载从</w:t>
      </w:r>
      <w:r>
        <w:rPr>
          <w:rFonts w:ascii="Arial" w:eastAsia="等线" w:hAnsi="Arial" w:cs="Arial"/>
        </w:rPr>
        <w:t xml:space="preserve"> 25% </w:t>
      </w:r>
      <w:r>
        <w:rPr>
          <w:rFonts w:ascii="Arial" w:eastAsia="等线" w:hAnsi="Arial" w:cs="Arial"/>
        </w:rPr>
        <w:t>提升至</w:t>
      </w:r>
      <w:r>
        <w:rPr>
          <w:rFonts w:ascii="Arial" w:eastAsia="等线" w:hAnsi="Arial" w:cs="Arial"/>
        </w:rPr>
        <w:t xml:space="preserve"> 110%</w:t>
      </w:r>
      <w:r>
        <w:rPr>
          <w:rFonts w:ascii="Arial" w:eastAsia="等线" w:hAnsi="Arial" w:cs="Arial"/>
        </w:rPr>
        <w:t>，柴油机转速呈现持续上升的趋势，从</w:t>
      </w:r>
      <w:r>
        <w:rPr>
          <w:rFonts w:ascii="Arial" w:eastAsia="等线" w:hAnsi="Arial" w:cs="Arial"/>
        </w:rPr>
        <w:t xml:space="preserve"> 65.5rpm </w:t>
      </w:r>
      <w:r>
        <w:rPr>
          <w:rFonts w:ascii="Arial" w:eastAsia="等线" w:hAnsi="Arial" w:cs="Arial"/>
        </w:rPr>
        <w:t>逐步增</w:t>
      </w:r>
      <w:r>
        <w:rPr>
          <w:rFonts w:ascii="Arial" w:eastAsia="等线" w:hAnsi="Arial" w:cs="Arial"/>
        </w:rPr>
        <w:lastRenderedPageBreak/>
        <w:t>长到</w:t>
      </w:r>
      <w:r>
        <w:rPr>
          <w:rFonts w:ascii="Arial" w:eastAsia="等线" w:hAnsi="Arial" w:cs="Arial"/>
        </w:rPr>
        <w:t xml:space="preserve"> 107.4rpm</w:t>
      </w:r>
      <w:r>
        <w:rPr>
          <w:rFonts w:ascii="Arial" w:eastAsia="等线" w:hAnsi="Arial" w:cs="Arial"/>
        </w:rPr>
        <w:t>，增长过程平稳，符合柴油机负载增加时需要提升转速以输出更大功率的正常运行规律。</w:t>
      </w:r>
    </w:p>
    <w:p w14:paraId="133B35E7" w14:textId="77777777" w:rsidR="00D355F4" w:rsidRDefault="00000000">
      <w:pPr>
        <w:spacing w:before="300" w:after="120" w:line="288" w:lineRule="auto"/>
        <w:outlineLvl w:val="2"/>
      </w:pPr>
      <w:bookmarkStart w:id="3" w:name="heading_3"/>
      <w:r>
        <w:rPr>
          <w:rFonts w:ascii="Arial" w:eastAsia="等线" w:hAnsi="Arial" w:cs="Arial"/>
          <w:b/>
          <w:sz w:val="30"/>
        </w:rPr>
        <w:t xml:space="preserve">2. </w:t>
      </w:r>
      <w:r>
        <w:rPr>
          <w:rFonts w:ascii="Arial" w:eastAsia="等线" w:hAnsi="Arial" w:cs="Arial"/>
          <w:b/>
          <w:sz w:val="30"/>
        </w:rPr>
        <w:t>功率变化趋势</w:t>
      </w:r>
      <w:bookmarkEnd w:id="3"/>
    </w:p>
    <w:p w14:paraId="618FA559" w14:textId="77777777" w:rsidR="00D355F4" w:rsidRDefault="00000000">
      <w:pPr>
        <w:spacing w:before="120" w:after="120" w:line="288" w:lineRule="auto"/>
      </w:pPr>
      <w:r>
        <w:rPr>
          <w:rFonts w:ascii="Arial" w:eastAsia="等线" w:hAnsi="Arial" w:cs="Arial"/>
        </w:rPr>
        <w:t>功率随负载比例的增加近似线性增长，</w:t>
      </w:r>
      <w:r>
        <w:rPr>
          <w:rFonts w:ascii="Arial" w:eastAsia="等线" w:hAnsi="Arial" w:cs="Arial"/>
        </w:rPr>
        <w:t xml:space="preserve">25% </w:t>
      </w:r>
      <w:r>
        <w:rPr>
          <w:rFonts w:ascii="Arial" w:eastAsia="等线" w:hAnsi="Arial" w:cs="Arial"/>
        </w:rPr>
        <w:t>负载时功率为</w:t>
      </w:r>
      <w:r>
        <w:rPr>
          <w:rFonts w:ascii="Arial" w:eastAsia="等线" w:hAnsi="Arial" w:cs="Arial"/>
        </w:rPr>
        <w:t xml:space="preserve"> 18061kW</w:t>
      </w:r>
      <w:r>
        <w:rPr>
          <w:rFonts w:ascii="Arial" w:eastAsia="等线" w:hAnsi="Arial" w:cs="Arial"/>
        </w:rPr>
        <w:t>，</w:t>
      </w:r>
      <w:r>
        <w:rPr>
          <w:rFonts w:ascii="Arial" w:eastAsia="等线" w:hAnsi="Arial" w:cs="Arial"/>
        </w:rPr>
        <w:t xml:space="preserve">110% </w:t>
      </w:r>
      <w:r>
        <w:rPr>
          <w:rFonts w:ascii="Arial" w:eastAsia="等线" w:hAnsi="Arial" w:cs="Arial"/>
        </w:rPr>
        <w:t>负载时达到</w:t>
      </w:r>
      <w:r>
        <w:rPr>
          <w:rFonts w:ascii="Arial" w:eastAsia="等线" w:hAnsi="Arial" w:cs="Arial"/>
        </w:rPr>
        <w:t xml:space="preserve"> 79507kW</w:t>
      </w:r>
      <w:r>
        <w:rPr>
          <w:rFonts w:ascii="Arial" w:eastAsia="等线" w:hAnsi="Arial" w:cs="Arial"/>
        </w:rPr>
        <w:t>，功率增长比例与负载提升比例基本匹配，这是柴油机在不同负载下的正常功率输出表现。</w:t>
      </w:r>
    </w:p>
    <w:p w14:paraId="5EC73DA4" w14:textId="77777777" w:rsidR="00D355F4" w:rsidRDefault="00000000">
      <w:pPr>
        <w:spacing w:before="300" w:after="120" w:line="288" w:lineRule="auto"/>
        <w:outlineLvl w:val="2"/>
      </w:pPr>
      <w:bookmarkStart w:id="4" w:name="heading_4"/>
      <w:r>
        <w:rPr>
          <w:rFonts w:ascii="Arial" w:eastAsia="等线" w:hAnsi="Arial" w:cs="Arial"/>
          <w:b/>
          <w:sz w:val="30"/>
        </w:rPr>
        <w:t xml:space="preserve">3. </w:t>
      </w:r>
      <w:r>
        <w:rPr>
          <w:rFonts w:ascii="Arial" w:eastAsia="等线" w:hAnsi="Arial" w:cs="Arial"/>
          <w:b/>
          <w:sz w:val="30"/>
        </w:rPr>
        <w:t>最大爆发压力变化趋势</w:t>
      </w:r>
      <w:bookmarkEnd w:id="4"/>
    </w:p>
    <w:p w14:paraId="1C94B584" w14:textId="77777777" w:rsidR="00D355F4" w:rsidRDefault="00000000">
      <w:pPr>
        <w:spacing w:before="120" w:after="120" w:line="288" w:lineRule="auto"/>
      </w:pPr>
      <w:r>
        <w:rPr>
          <w:rFonts w:ascii="Arial" w:eastAsia="等线" w:hAnsi="Arial" w:cs="Arial"/>
        </w:rPr>
        <w:t>在</w:t>
      </w:r>
      <w:r>
        <w:rPr>
          <w:rFonts w:ascii="Arial" w:eastAsia="等线" w:hAnsi="Arial" w:cs="Arial"/>
        </w:rPr>
        <w:t xml:space="preserve"> 25%-90% </w:t>
      </w:r>
      <w:r>
        <w:rPr>
          <w:rFonts w:ascii="Arial" w:eastAsia="等线" w:hAnsi="Arial" w:cs="Arial"/>
        </w:rPr>
        <w:t>负载阶段，最大爆发压力从</w:t>
      </w:r>
      <w:r>
        <w:rPr>
          <w:rFonts w:ascii="Arial" w:eastAsia="等线" w:hAnsi="Arial" w:cs="Arial"/>
        </w:rPr>
        <w:t xml:space="preserve"> 74.2bar </w:t>
      </w:r>
      <w:r>
        <w:rPr>
          <w:rFonts w:ascii="Arial" w:eastAsia="等线" w:hAnsi="Arial" w:cs="Arial"/>
        </w:rPr>
        <w:t>持续上升至</w:t>
      </w:r>
      <w:r>
        <w:rPr>
          <w:rFonts w:ascii="Arial" w:eastAsia="等线" w:hAnsi="Arial" w:cs="Arial"/>
        </w:rPr>
        <w:t xml:space="preserve"> 150.4bar</w:t>
      </w:r>
      <w:r>
        <w:rPr>
          <w:rFonts w:ascii="Arial" w:eastAsia="等线" w:hAnsi="Arial" w:cs="Arial"/>
        </w:rPr>
        <w:t>；在</w:t>
      </w:r>
      <w:r>
        <w:rPr>
          <w:rFonts w:ascii="Arial" w:eastAsia="等线" w:hAnsi="Arial" w:cs="Arial"/>
        </w:rPr>
        <w:t xml:space="preserve"> 100% </w:t>
      </w:r>
      <w:r>
        <w:rPr>
          <w:rFonts w:ascii="Arial" w:eastAsia="等线" w:hAnsi="Arial" w:cs="Arial"/>
        </w:rPr>
        <w:t>和</w:t>
      </w:r>
      <w:r>
        <w:rPr>
          <w:rFonts w:ascii="Arial" w:eastAsia="等线" w:hAnsi="Arial" w:cs="Arial"/>
        </w:rPr>
        <w:t xml:space="preserve"> 110% </w:t>
      </w:r>
      <w:r>
        <w:rPr>
          <w:rFonts w:ascii="Arial" w:eastAsia="等线" w:hAnsi="Arial" w:cs="Arial"/>
        </w:rPr>
        <w:t>负载时，最大爆发压力稳定在</w:t>
      </w:r>
      <w:r>
        <w:rPr>
          <w:rFonts w:ascii="Arial" w:eastAsia="等线" w:hAnsi="Arial" w:cs="Arial"/>
        </w:rPr>
        <w:t xml:space="preserve"> 150.0bar </w:t>
      </w:r>
      <w:r>
        <w:rPr>
          <w:rFonts w:ascii="Arial" w:eastAsia="等线" w:hAnsi="Arial" w:cs="Arial"/>
        </w:rPr>
        <w:t>左右，不再继续上升。这是柴油机的正常保护机制，避免爆发压力过高对设备造成损坏，属于合理的运行表现。</w:t>
      </w:r>
    </w:p>
    <w:p w14:paraId="100442E0" w14:textId="77777777" w:rsidR="00D355F4" w:rsidRDefault="00000000">
      <w:pPr>
        <w:spacing w:before="300" w:after="120" w:line="288" w:lineRule="auto"/>
        <w:outlineLvl w:val="2"/>
      </w:pPr>
      <w:bookmarkStart w:id="5" w:name="heading_5"/>
      <w:r>
        <w:rPr>
          <w:rFonts w:ascii="Arial" w:eastAsia="等线" w:hAnsi="Arial" w:cs="Arial"/>
          <w:b/>
          <w:sz w:val="30"/>
        </w:rPr>
        <w:t xml:space="preserve">4. </w:t>
      </w:r>
      <w:r>
        <w:rPr>
          <w:rFonts w:ascii="Arial" w:eastAsia="等线" w:hAnsi="Arial" w:cs="Arial"/>
          <w:b/>
          <w:sz w:val="30"/>
        </w:rPr>
        <w:t>压缩压力变化趋势</w:t>
      </w:r>
      <w:bookmarkEnd w:id="5"/>
    </w:p>
    <w:p w14:paraId="0E864E84" w14:textId="77777777" w:rsidR="00D355F4" w:rsidRDefault="00000000">
      <w:pPr>
        <w:spacing w:before="120" w:after="120" w:line="288" w:lineRule="auto"/>
      </w:pPr>
      <w:r>
        <w:rPr>
          <w:rFonts w:ascii="Arial" w:eastAsia="等线" w:hAnsi="Arial" w:cs="Arial"/>
        </w:rPr>
        <w:t>压缩压力随负载增加持续上升，从</w:t>
      </w:r>
      <w:r>
        <w:rPr>
          <w:rFonts w:ascii="Arial" w:eastAsia="等线" w:hAnsi="Arial" w:cs="Arial"/>
        </w:rPr>
        <w:t xml:space="preserve"> 49.7bar </w:t>
      </w:r>
      <w:r>
        <w:rPr>
          <w:rFonts w:ascii="Arial" w:eastAsia="等线" w:hAnsi="Arial" w:cs="Arial"/>
        </w:rPr>
        <w:t>增长到</w:t>
      </w:r>
      <w:r>
        <w:rPr>
          <w:rFonts w:ascii="Arial" w:eastAsia="等线" w:hAnsi="Arial" w:cs="Arial"/>
        </w:rPr>
        <w:t xml:space="preserve"> 141.7bar</w:t>
      </w:r>
      <w:r>
        <w:rPr>
          <w:rFonts w:ascii="Arial" w:eastAsia="等线" w:hAnsi="Arial" w:cs="Arial"/>
        </w:rPr>
        <w:t>，呈现稳定的增长趋势。这是因为负载增加时，需要更高的压缩压力来保证燃油充分燃烧，以满足更大功率输出的需求，属于正常的运行特征。</w:t>
      </w:r>
    </w:p>
    <w:p w14:paraId="517EC7D6" w14:textId="77777777" w:rsidR="00D355F4" w:rsidRDefault="00000000">
      <w:pPr>
        <w:spacing w:before="300" w:after="120" w:line="288" w:lineRule="auto"/>
        <w:outlineLvl w:val="2"/>
      </w:pPr>
      <w:bookmarkStart w:id="6" w:name="heading_6"/>
      <w:r>
        <w:rPr>
          <w:rFonts w:ascii="Arial" w:eastAsia="等线" w:hAnsi="Arial" w:cs="Arial"/>
          <w:b/>
          <w:sz w:val="30"/>
        </w:rPr>
        <w:t xml:space="preserve">5. </w:t>
      </w:r>
      <w:r>
        <w:rPr>
          <w:rFonts w:ascii="Arial" w:eastAsia="等线" w:hAnsi="Arial" w:cs="Arial"/>
          <w:b/>
          <w:sz w:val="30"/>
        </w:rPr>
        <w:t>燃油指数变化趋势</w:t>
      </w:r>
      <w:bookmarkEnd w:id="6"/>
    </w:p>
    <w:p w14:paraId="07C54B31" w14:textId="77777777" w:rsidR="00D355F4" w:rsidRDefault="00000000">
      <w:pPr>
        <w:spacing w:before="120" w:after="120" w:line="288" w:lineRule="auto"/>
      </w:pPr>
      <w:r>
        <w:rPr>
          <w:rFonts w:ascii="Arial" w:eastAsia="等线" w:hAnsi="Arial" w:cs="Arial"/>
        </w:rPr>
        <w:t>燃油指数随负载增加逐步上升，从</w:t>
      </w:r>
      <w:r>
        <w:rPr>
          <w:rFonts w:ascii="Arial" w:eastAsia="等线" w:hAnsi="Arial" w:cs="Arial"/>
        </w:rPr>
        <w:t xml:space="preserve"> 44.0% </w:t>
      </w:r>
      <w:r>
        <w:rPr>
          <w:rFonts w:ascii="Arial" w:eastAsia="等线" w:hAnsi="Arial" w:cs="Arial"/>
        </w:rPr>
        <w:t>增长到</w:t>
      </w:r>
      <w:r>
        <w:rPr>
          <w:rFonts w:ascii="Arial" w:eastAsia="等线" w:hAnsi="Arial" w:cs="Arial"/>
        </w:rPr>
        <w:t xml:space="preserve"> 106.0%</w:t>
      </w:r>
      <w:r>
        <w:rPr>
          <w:rFonts w:ascii="Arial" w:eastAsia="等线" w:hAnsi="Arial" w:cs="Arial"/>
        </w:rPr>
        <w:t>；</w:t>
      </w:r>
      <w:r>
        <w:rPr>
          <w:rFonts w:ascii="Arial" w:eastAsia="等线" w:hAnsi="Arial" w:cs="Arial"/>
        </w:rPr>
        <w:t xml:space="preserve">100% </w:t>
      </w:r>
      <w:r>
        <w:rPr>
          <w:rFonts w:ascii="Arial" w:eastAsia="等线" w:hAnsi="Arial" w:cs="Arial"/>
        </w:rPr>
        <w:t>负载时燃油指数为</w:t>
      </w:r>
      <w:r>
        <w:rPr>
          <w:rFonts w:ascii="Arial" w:eastAsia="等线" w:hAnsi="Arial" w:cs="Arial"/>
        </w:rPr>
        <w:t xml:space="preserve"> 100%</w:t>
      </w:r>
      <w:r>
        <w:rPr>
          <w:rFonts w:ascii="Arial" w:eastAsia="等线" w:hAnsi="Arial" w:cs="Arial"/>
        </w:rPr>
        <w:t>，</w:t>
      </w:r>
      <w:r>
        <w:rPr>
          <w:rFonts w:ascii="Arial" w:eastAsia="等线" w:hAnsi="Arial" w:cs="Arial"/>
        </w:rPr>
        <w:t xml:space="preserve">110% </w:t>
      </w:r>
      <w:r>
        <w:rPr>
          <w:rFonts w:ascii="Arial" w:eastAsia="等线" w:hAnsi="Arial" w:cs="Arial"/>
        </w:rPr>
        <w:t>负载时略高于</w:t>
      </w:r>
      <w:r>
        <w:rPr>
          <w:rFonts w:ascii="Arial" w:eastAsia="等线" w:hAnsi="Arial" w:cs="Arial"/>
        </w:rPr>
        <w:t xml:space="preserve"> 100%</w:t>
      </w:r>
      <w:r>
        <w:rPr>
          <w:rFonts w:ascii="Arial" w:eastAsia="等线" w:hAnsi="Arial" w:cs="Arial"/>
        </w:rPr>
        <w:t>。这是因为负载增加需要更多的燃油供应，</w:t>
      </w:r>
      <w:r>
        <w:rPr>
          <w:rFonts w:ascii="Arial" w:eastAsia="等线" w:hAnsi="Arial" w:cs="Arial"/>
        </w:rPr>
        <w:t xml:space="preserve">110% </w:t>
      </w:r>
      <w:r>
        <w:rPr>
          <w:rFonts w:ascii="Arial" w:eastAsia="等线" w:hAnsi="Arial" w:cs="Arial"/>
        </w:rPr>
        <w:t>负载属于超负荷运行，燃油指数略高是合理的表现。</w:t>
      </w:r>
    </w:p>
    <w:p w14:paraId="36E2403D" w14:textId="77777777" w:rsidR="00D355F4" w:rsidRDefault="00000000">
      <w:pPr>
        <w:spacing w:before="320" w:after="120" w:line="288" w:lineRule="auto"/>
        <w:outlineLvl w:val="1"/>
      </w:pPr>
      <w:bookmarkStart w:id="7" w:name="heading_7"/>
      <w:r>
        <w:rPr>
          <w:rFonts w:ascii="Arial" w:eastAsia="等线" w:hAnsi="Arial" w:cs="Arial"/>
          <w:b/>
          <w:sz w:val="32"/>
        </w:rPr>
        <w:t>三、正常与异常情况判断</w:t>
      </w:r>
      <w:bookmarkEnd w:id="7"/>
    </w:p>
    <w:p w14:paraId="20C728CC" w14:textId="77777777" w:rsidR="00D355F4" w:rsidRDefault="00000000">
      <w:pPr>
        <w:spacing w:before="300" w:after="120" w:line="288" w:lineRule="auto"/>
        <w:outlineLvl w:val="2"/>
      </w:pPr>
      <w:bookmarkStart w:id="8" w:name="heading_8"/>
      <w:r>
        <w:rPr>
          <w:rFonts w:ascii="Arial" w:eastAsia="等线" w:hAnsi="Arial" w:cs="Arial"/>
          <w:b/>
          <w:sz w:val="30"/>
        </w:rPr>
        <w:t>正常情况</w:t>
      </w:r>
      <w:bookmarkEnd w:id="8"/>
    </w:p>
    <w:p w14:paraId="1374DC46" w14:textId="77777777" w:rsidR="00D355F4" w:rsidRDefault="00000000">
      <w:pPr>
        <w:numPr>
          <w:ilvl w:val="0"/>
          <w:numId w:val="1"/>
        </w:numPr>
        <w:spacing w:before="120" w:after="120" w:line="288" w:lineRule="auto"/>
      </w:pPr>
      <w:r>
        <w:rPr>
          <w:rFonts w:ascii="Arial" w:eastAsia="等线" w:hAnsi="Arial" w:cs="Arial"/>
        </w:rPr>
        <w:t xml:space="preserve">25%-90% </w:t>
      </w:r>
      <w:r>
        <w:rPr>
          <w:rFonts w:ascii="Arial" w:eastAsia="等线" w:hAnsi="Arial" w:cs="Arial"/>
        </w:rPr>
        <w:t>负载阶段，所有参数均随负载增加呈现合理的增长趋势，无异常波动，符合柴油机的正常运行规律。</w:t>
      </w:r>
    </w:p>
    <w:p w14:paraId="05332BD2" w14:textId="77777777" w:rsidR="00D355F4" w:rsidRDefault="00000000">
      <w:pPr>
        <w:numPr>
          <w:ilvl w:val="0"/>
          <w:numId w:val="2"/>
        </w:numPr>
        <w:spacing w:before="120" w:after="120" w:line="288" w:lineRule="auto"/>
      </w:pPr>
      <w:r>
        <w:rPr>
          <w:rFonts w:ascii="Arial" w:eastAsia="等线" w:hAnsi="Arial" w:cs="Arial"/>
        </w:rPr>
        <w:t xml:space="preserve">100% </w:t>
      </w:r>
      <w:r>
        <w:rPr>
          <w:rFonts w:ascii="Arial" w:eastAsia="等线" w:hAnsi="Arial" w:cs="Arial"/>
        </w:rPr>
        <w:t>和</w:t>
      </w:r>
      <w:r>
        <w:rPr>
          <w:rFonts w:ascii="Arial" w:eastAsia="等线" w:hAnsi="Arial" w:cs="Arial"/>
        </w:rPr>
        <w:t xml:space="preserve"> 110% </w:t>
      </w:r>
      <w:r>
        <w:rPr>
          <w:rFonts w:ascii="Arial" w:eastAsia="等线" w:hAnsi="Arial" w:cs="Arial"/>
        </w:rPr>
        <w:t>负载时，最大爆发压力稳定在</w:t>
      </w:r>
      <w:r>
        <w:rPr>
          <w:rFonts w:ascii="Arial" w:eastAsia="等线" w:hAnsi="Arial" w:cs="Arial"/>
        </w:rPr>
        <w:t xml:space="preserve"> 150bar </w:t>
      </w:r>
      <w:r>
        <w:rPr>
          <w:rFonts w:ascii="Arial" w:eastAsia="等线" w:hAnsi="Arial" w:cs="Arial"/>
        </w:rPr>
        <w:t>左右，是柴油机的正常保护机制，避免设备因压力过高受损。</w:t>
      </w:r>
    </w:p>
    <w:p w14:paraId="1724C838" w14:textId="77777777" w:rsidR="00D355F4" w:rsidRDefault="00000000">
      <w:pPr>
        <w:numPr>
          <w:ilvl w:val="0"/>
          <w:numId w:val="3"/>
        </w:numPr>
        <w:spacing w:before="120" w:after="120" w:line="288" w:lineRule="auto"/>
      </w:pPr>
      <w:r>
        <w:rPr>
          <w:rFonts w:ascii="Arial" w:eastAsia="等线" w:hAnsi="Arial" w:cs="Arial"/>
        </w:rPr>
        <w:t xml:space="preserve">110% </w:t>
      </w:r>
      <w:r>
        <w:rPr>
          <w:rFonts w:ascii="Arial" w:eastAsia="等线" w:hAnsi="Arial" w:cs="Arial"/>
        </w:rPr>
        <w:t>负载时，燃油指数为</w:t>
      </w:r>
      <w:r>
        <w:rPr>
          <w:rFonts w:ascii="Arial" w:eastAsia="等线" w:hAnsi="Arial" w:cs="Arial"/>
        </w:rPr>
        <w:t xml:space="preserve"> 106%</w:t>
      </w:r>
      <w:r>
        <w:rPr>
          <w:rFonts w:ascii="Arial" w:eastAsia="等线" w:hAnsi="Arial" w:cs="Arial"/>
        </w:rPr>
        <w:t>，属于超负荷运行的正常表现，为输出更大功率需要更多燃油供应。</w:t>
      </w:r>
    </w:p>
    <w:p w14:paraId="7921D745" w14:textId="77777777" w:rsidR="00D355F4" w:rsidRDefault="00000000">
      <w:pPr>
        <w:spacing w:before="300" w:after="120" w:line="288" w:lineRule="auto"/>
        <w:outlineLvl w:val="2"/>
      </w:pPr>
      <w:bookmarkStart w:id="9" w:name="heading_9"/>
      <w:r>
        <w:rPr>
          <w:rFonts w:ascii="Arial" w:eastAsia="等线" w:hAnsi="Arial" w:cs="Arial"/>
          <w:b/>
          <w:sz w:val="30"/>
        </w:rPr>
        <w:t>异常情况</w:t>
      </w:r>
      <w:bookmarkEnd w:id="9"/>
    </w:p>
    <w:p w14:paraId="67B7AA9B" w14:textId="3876A4CF" w:rsidR="00D355F4" w:rsidRDefault="00000000">
      <w:pPr>
        <w:spacing w:before="120" w:after="120" w:line="288" w:lineRule="auto"/>
        <w:rPr>
          <w:rFonts w:hint="eastAsia"/>
        </w:rPr>
      </w:pPr>
      <w:r>
        <w:rPr>
          <w:rFonts w:ascii="Arial" w:eastAsia="等线" w:hAnsi="Arial" w:cs="Arial"/>
        </w:rPr>
        <w:lastRenderedPageBreak/>
        <w:t>本次测试数据中未发现明显的异常情况，所有参数的变化均符合柴油机负载变化的正常规律，没有出现参数突变、不符合趋势的异常现象（如负载增加但功率下降、转速下降，或压力异常升</w:t>
      </w:r>
      <w:r>
        <w:rPr>
          <w:rFonts w:ascii="Arial" w:eastAsia="等线" w:hAnsi="Arial" w:cs="Arial"/>
        </w:rPr>
        <w:t xml:space="preserve"> / </w:t>
      </w:r>
      <w:r>
        <w:rPr>
          <w:rFonts w:ascii="Arial" w:eastAsia="等线" w:hAnsi="Arial" w:cs="Arial"/>
        </w:rPr>
        <w:t>降等情况）。</w:t>
      </w:r>
    </w:p>
    <w:sectPr w:rsidR="00D355F4">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96850" w14:textId="77777777" w:rsidR="00F15FCA" w:rsidRDefault="00F15FCA">
      <w:pPr>
        <w:spacing w:after="0" w:line="240" w:lineRule="auto"/>
      </w:pPr>
      <w:r>
        <w:separator/>
      </w:r>
    </w:p>
  </w:endnote>
  <w:endnote w:type="continuationSeparator" w:id="0">
    <w:p w14:paraId="6B6D277E" w14:textId="77777777" w:rsidR="00F15FCA" w:rsidRDefault="00F15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DB47" w14:textId="77777777" w:rsidR="00D355F4" w:rsidRDefault="00D355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25ACA" w14:textId="77777777" w:rsidR="00F15FCA" w:rsidRDefault="00F15FCA">
      <w:pPr>
        <w:spacing w:after="0" w:line="240" w:lineRule="auto"/>
      </w:pPr>
      <w:r>
        <w:separator/>
      </w:r>
    </w:p>
  </w:footnote>
  <w:footnote w:type="continuationSeparator" w:id="0">
    <w:p w14:paraId="7336E8EE" w14:textId="77777777" w:rsidR="00F15FCA" w:rsidRDefault="00F15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A253" w14:textId="77777777" w:rsidR="00D355F4" w:rsidRDefault="00D355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A15"/>
    <w:multiLevelType w:val="multilevel"/>
    <w:tmpl w:val="44AAADD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45F70D6"/>
    <w:multiLevelType w:val="multilevel"/>
    <w:tmpl w:val="02DC287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E79732A"/>
    <w:multiLevelType w:val="multilevel"/>
    <w:tmpl w:val="CF42D2B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13327283">
    <w:abstractNumId w:val="2"/>
  </w:num>
  <w:num w:numId="2" w16cid:durableId="866483784">
    <w:abstractNumId w:val="1"/>
  </w:num>
  <w:num w:numId="3" w16cid:durableId="560941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355F4"/>
    <w:rsid w:val="009D1139"/>
    <w:rsid w:val="00D355F4"/>
    <w:rsid w:val="00F15FCA"/>
    <w:rsid w:val="00F20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3D44CC"/>
  <w15:docId w15:val="{FBEDA732-A025-48A7-A157-9D9F8B129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555</Words>
  <Characters>756</Characters>
  <Application>Microsoft Office Word</Application>
  <DocSecurity>0</DocSecurity>
  <Lines>63</Lines>
  <Paragraphs>77</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加盐 小说</cp:lastModifiedBy>
  <cp:revision>2</cp:revision>
  <dcterms:created xsi:type="dcterms:W3CDTF">2026-02-14T01:46:00Z</dcterms:created>
  <dcterms:modified xsi:type="dcterms:W3CDTF">2026-02-14T01:48:00Z</dcterms:modified>
</cp:coreProperties>
</file>