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12K98ME-C7柴油机负载变化趋势分析报告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一、报告概述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本报告基于 12K98ME-C7 柴油机在 25%、50%、75%、90%、100%、110% 负载下的测试数据，分析各参数随负载变化的趋势，为船员提供正常运行状态的参考标准，以及异常情况的判断依据，帮助船员在日常运维中快速识别柴油机的运行状态是否正常。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二、各负载下的参数数据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（一）测试环境参数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28.2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27.7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27.2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27.1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26.7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25.6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大气压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1011.0 hpa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1011.0 hpa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1011.0 hpa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1010.0 hpa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1010.0 hpa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1010.0 hpa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（二）气缸参数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最大爆发压力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74.2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112.5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143.6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150.4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150.0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150.0 bar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压缩压力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49.7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75.7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107.8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120.3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132.1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141.7 bar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224.8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262.7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270.5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288.8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310.1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345.9 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（三）系统温度参数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排气阀淡水出口温度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88.4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89.9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95.2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99.1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冷却淡水出口温度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83.7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79.6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78.4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活塞冷却油出口温度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54.1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57.6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59.1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59.8 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（四）空冷器参数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扫气压力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0.31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1.85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2.47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2.86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3.12 bar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64.3 mmAq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129.5 mmAq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212.5 mmAq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250.0 mmAq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260.5 mmAq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266.25 mmAq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进气温度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146.5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211.75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出气温度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40.25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淡水进口温度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34.0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淡水出口温度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54.8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44.0 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（五）涡轮增压器参数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3778 rpm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6585 rpm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8433 rpm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9383 rpm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9945 rpm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10457 rpm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鼓风机入口温度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25.25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26.63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27.75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28.63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28.63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27.75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涡轮前温度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381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352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364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428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461.25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涡轮后温度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542.5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1120.0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1555.0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1805.0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255.25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滑油入口压力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1.33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1.18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1.18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1.23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 bar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 bar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滑油进口温度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42.0 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滑油出口温度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58.3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62.5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66.0 ℃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68.0 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（六）燃油消耗参数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负载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110% 负载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184.42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173.93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172.43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175.57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179.58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183.27 g/kWh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181.11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170.25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168.64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171.58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175.39 g/kWh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179.00 g/kWh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三、参数变化趋势可视化分析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（一）气缸参数变化趋势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气缸参数随负载变化的趋势如下，最大爆发压力随负载增加逐渐上升，在 90% 负载后趋于稳定；压缩压力随负载线性上升；排气温度随负载持续上升。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（二）系统温度参数变化趋势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系统温度参数中，排气阀淡水出口温度随负载缓慢上升；冷却淡水出口温度在 25% 负载后略有下降并保持稳定；活塞冷却油出口温度随负载上升并逐渐趋于稳定。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（三）空冷器参数变化趋势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空冷器的扫气压力随负载线性上升，进气温度也随负载持续上升，这符合柴油机负载增加时进气需求增加的规律。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（四）涡轮增压器参数变化趋势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涡轮增压器的转速随负载持续上升，110% 负载时转速接近 10500rpm；涡轮前温度随负载逐渐上升，符合负载增加时排气能量增加的规律。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（五）燃油消耗参数变化趋势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燃油消耗在 75% 负载时达到最低值，之后随负载上升缓慢增加，这是因为柴油机在中等负载时效率最高，高负载时燃油消耗会略有上升。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四、各参数线性趋势分析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通过线性回归分析各参数随负载（25% 到 110%，对应数值 0 到 5）的变化趋势，结果如下：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相关系数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 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-0.46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-0.96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0.0020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随负载增加缓慢下降，趋势显著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大气压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-0.26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1011.14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-0.88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随负载略有下降，趋势较显著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最大爆发压力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94.52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0.0289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随负载上升，趋势较显著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压缩压力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18.33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0.0012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21.89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229.09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排气阀淡水出口温度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85.71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冷却淡水出口温度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-0.82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81.69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-0.76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随负载略有下降，趋势不显著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活塞冷却油出口温度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51.02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0.0160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随负载上升，趋势显著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扫气压力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41.15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94.30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0.0066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进气温度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30.38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73.15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出气温度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31.33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0.6491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随负载无明显线性趋势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淡水进口温度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16.38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淡水出口温度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0.0634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随负载上升，趋势较显著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1269.29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4923.62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0.0047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鼓风机入口温度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0.0584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随负载略有上升，趋势较显著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涡轮前温度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18.72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349.24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0.0323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随负载上升，趋势较显著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涡轮后温度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135.68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565.43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0.4753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随负载无明显线性趋势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滑油入口压力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随负载无明显变化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滑油进口温度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40.95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0.1583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随负载略有上升，趋势不显著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滑油出口温度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47.76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随负载线性上升，趋势极显著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燃油消耗实测值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177.18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随负载无明显线性趋势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燃油消耗修正值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173.77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随负载无明显线性趋势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五、正常与异常情况判断标准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（一）正常情况判断标准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船员可根据以下标准判断柴油机在不同负载下的运行状态是否正常：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气缸参数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最大爆发压力：随负载增加逐渐上升，90% 负载后趋于稳定，100% 和 110% 负载时应保持在 150bar 左右，波动不超过 ±2bar。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压缩压力：随负载线性上升，各负载下的数值与测试数据的偏差不超过 ±5bar。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排气温度：随负载持续上升，110% 负载时不超过 350℃，各负载下的数值与测试数据的偏差不超过 ±15℃。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系统温度参数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排气阀淡水出口温度：随负载缓慢上升，110% 负载时不超过 100℃，各负载下的数值与测试数据的偏差不超过 ±3℃。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冷却淡水出口温度：25% 负载后略有下降并保持稳定，波动不超过 ±2℃，整体维持在 78-84℃之间。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活塞冷却油出口温度：随负载上升并逐渐趋于稳定，110% 负载时不超过 60℃，各负载下的数值与测试数据的偏差不超过 ±2℃。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空冷器参数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扫气压力：随负载线性上升，各负载下的数值与测试数据的偏差不超过 ±0.2bar。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进气温度：随负载持续上升，各负载下的数值与测试数据的偏差不超过 ±10℃。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涡轮增压器参数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转速：随负载持续上升，110% 负载时不超过 10500rpm，各负载下的数值与测试数据的偏差不超过 ±500rpm。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涡轮前温度：随负载逐渐上升，各负载下的数值与测试数据的偏差不超过 ±25℃。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滑油入口压力：保持在 1.18-1.33bar 之间，波动不超过 ±0.1bar。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燃油消耗参数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燃油消耗：75% 负载时达到最低值，之后随负载上升缓慢增加，修正值变化趋势与实测值一致，各负载下的数值与测试数据的偏差不超过 ±5g/kWh。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（二）异常情况判断标准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当出现以下情况时，说明柴油机可能存在异常，船员应及时检查：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参数突变</w:t>
      </w:r>
      <w:r>
        <w:rPr>
          <w:rFonts w:eastAsia="等线" w:ascii="Arial" w:cs="Arial" w:hAnsi="Arial"/>
          <w:sz w:val="22"/>
        </w:rPr>
        <w:t>：任何参数在负载变化时出现突变，变化率超过 ±20%（除正常趋势外），例如排气温度在某一负载下突然上升超过 20℃，或扫气压力突然下降超过 0.5bar。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气缸参数异常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最大爆发压力在 90% 负载后出现下降或大幅波动，波动超过 ±5bar。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压缩压力在某一负载下出现下降，与前一负载相比变化率为负。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系统温度参数异常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冷却淡水出口温度出现大幅波动（超过 ±5℃），或突然上升超过 5℃。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活塞冷却油出口温度在 110% 负载时超过 60℃，或在某一负载下突然上升超过 5℃。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涡轮增压器参数异常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涡轮后温度出现异常突变，如 110% 负载时突然下降过多（与 100% 负载相比下降超过 1000℃）。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涡轮增压器转速在某一负载下出现下降，与前一负载相比变化率为负。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滑油入口压力出现大幅下降，低于 1.1bar。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燃油消耗参数异常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燃油消耗在 75% 负载后出现异常上升，变化率超过 5%，与测试数据的偏差超过 ±8g/kWh。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六、总结与建议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柴油机在不同负载下的大部分参数都呈现出稳定的变化趋势，船员可根据本报告的标准进行日常监测。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当出现异常情况时，应首先检查相关的传感器是否正常，若传感器正常，则需进一步检查柴油机的相关部件，如气缸、涡轮增压器、冷却系统等。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建议船员在柴油机运行过程中，定期记录各参数的数值，与本报告的测试数据进行对比，及时发现潜在的问题，避免故障的发生。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075">
    <w:lvl>
      <w:start w:val="1"/>
      <w:numFmt w:val="decimal"/>
      <w:suff w:val="tab"/>
      <w:lvlText w:val="%1."/>
      <w:rPr>
        <w:color w:val="3370ff"/>
      </w:rPr>
    </w:lvl>
  </w:abstractNum>
  <w:abstractNum w:abstractNumId="55076">
    <w:lvl>
      <w:numFmt w:val="bullet"/>
      <w:suff w:val="tab"/>
      <w:lvlText w:val="￮"/>
      <w:rPr>
        <w:color w:val="3370ff"/>
      </w:rPr>
    </w:lvl>
  </w:abstractNum>
  <w:abstractNum w:abstractNumId="55077">
    <w:lvl>
      <w:numFmt w:val="bullet"/>
      <w:suff w:val="tab"/>
      <w:lvlText w:val="￮"/>
      <w:rPr>
        <w:color w:val="3370ff"/>
      </w:rPr>
    </w:lvl>
  </w:abstractNum>
  <w:abstractNum w:abstractNumId="55078">
    <w:lvl>
      <w:numFmt w:val="bullet"/>
      <w:suff w:val="tab"/>
      <w:lvlText w:val="￮"/>
      <w:rPr>
        <w:color w:val="3370ff"/>
      </w:rPr>
    </w:lvl>
  </w:abstractNum>
  <w:abstractNum w:abstractNumId="55079">
    <w:lvl>
      <w:start w:val="2"/>
      <w:numFmt w:val="decimal"/>
      <w:suff w:val="tab"/>
      <w:lvlText w:val="%1."/>
      <w:rPr>
        <w:color w:val="3370ff"/>
      </w:rPr>
    </w:lvl>
  </w:abstractNum>
  <w:abstractNum w:abstractNumId="55080">
    <w:lvl>
      <w:numFmt w:val="bullet"/>
      <w:suff w:val="tab"/>
      <w:lvlText w:val="￮"/>
      <w:rPr>
        <w:color w:val="3370ff"/>
      </w:rPr>
    </w:lvl>
  </w:abstractNum>
  <w:abstractNum w:abstractNumId="55081">
    <w:lvl>
      <w:numFmt w:val="bullet"/>
      <w:suff w:val="tab"/>
      <w:lvlText w:val="￮"/>
      <w:rPr>
        <w:color w:val="3370ff"/>
      </w:rPr>
    </w:lvl>
  </w:abstractNum>
  <w:abstractNum w:abstractNumId="55082">
    <w:lvl>
      <w:numFmt w:val="bullet"/>
      <w:suff w:val="tab"/>
      <w:lvlText w:val="￮"/>
      <w:rPr>
        <w:color w:val="3370ff"/>
      </w:rPr>
    </w:lvl>
  </w:abstractNum>
  <w:abstractNum w:abstractNumId="55083">
    <w:lvl>
      <w:start w:val="3"/>
      <w:numFmt w:val="decimal"/>
      <w:suff w:val="tab"/>
      <w:lvlText w:val="%1."/>
      <w:rPr>
        <w:color w:val="3370ff"/>
      </w:rPr>
    </w:lvl>
  </w:abstractNum>
  <w:abstractNum w:abstractNumId="55084">
    <w:lvl>
      <w:numFmt w:val="bullet"/>
      <w:suff w:val="tab"/>
      <w:lvlText w:val="￮"/>
      <w:rPr>
        <w:color w:val="3370ff"/>
      </w:rPr>
    </w:lvl>
  </w:abstractNum>
  <w:abstractNum w:abstractNumId="55085">
    <w:lvl>
      <w:numFmt w:val="bullet"/>
      <w:suff w:val="tab"/>
      <w:lvlText w:val="￮"/>
      <w:rPr>
        <w:color w:val="3370ff"/>
      </w:rPr>
    </w:lvl>
  </w:abstractNum>
  <w:abstractNum w:abstractNumId="55086">
    <w:lvl>
      <w:start w:val="4"/>
      <w:numFmt w:val="decimal"/>
      <w:suff w:val="tab"/>
      <w:lvlText w:val="%1."/>
      <w:rPr>
        <w:color w:val="3370ff"/>
      </w:rPr>
    </w:lvl>
  </w:abstractNum>
  <w:abstractNum w:abstractNumId="55087">
    <w:lvl>
      <w:numFmt w:val="bullet"/>
      <w:suff w:val="tab"/>
      <w:lvlText w:val="￮"/>
      <w:rPr>
        <w:color w:val="3370ff"/>
      </w:rPr>
    </w:lvl>
  </w:abstractNum>
  <w:abstractNum w:abstractNumId="55088">
    <w:lvl>
      <w:numFmt w:val="bullet"/>
      <w:suff w:val="tab"/>
      <w:lvlText w:val="￮"/>
      <w:rPr>
        <w:color w:val="3370ff"/>
      </w:rPr>
    </w:lvl>
  </w:abstractNum>
  <w:abstractNum w:abstractNumId="55089">
    <w:lvl>
      <w:numFmt w:val="bullet"/>
      <w:suff w:val="tab"/>
      <w:lvlText w:val="￮"/>
      <w:rPr>
        <w:color w:val="3370ff"/>
      </w:rPr>
    </w:lvl>
  </w:abstractNum>
  <w:abstractNum w:abstractNumId="55090">
    <w:lvl>
      <w:start w:val="5"/>
      <w:numFmt w:val="decimal"/>
      <w:suff w:val="tab"/>
      <w:lvlText w:val="%1."/>
      <w:rPr>
        <w:color w:val="3370ff"/>
      </w:rPr>
    </w:lvl>
  </w:abstractNum>
  <w:abstractNum w:abstractNumId="55091">
    <w:lvl>
      <w:numFmt w:val="bullet"/>
      <w:suff w:val="tab"/>
      <w:lvlText w:val="￮"/>
      <w:rPr>
        <w:color w:val="3370ff"/>
      </w:rPr>
    </w:lvl>
  </w:abstractNum>
  <w:abstractNum w:abstractNumId="55092">
    <w:lvl>
      <w:start w:val="1"/>
      <w:numFmt w:val="decimal"/>
      <w:suff w:val="tab"/>
      <w:lvlText w:val="%1."/>
      <w:rPr>
        <w:color w:val="3370ff"/>
      </w:rPr>
    </w:lvl>
  </w:abstractNum>
  <w:abstractNum w:abstractNumId="55093">
    <w:lvl>
      <w:start w:val="2"/>
      <w:numFmt w:val="decimal"/>
      <w:suff w:val="tab"/>
      <w:lvlText w:val="%1."/>
      <w:rPr>
        <w:color w:val="3370ff"/>
      </w:rPr>
    </w:lvl>
  </w:abstractNum>
  <w:abstractNum w:abstractNumId="55094">
    <w:lvl>
      <w:numFmt w:val="bullet"/>
      <w:suff w:val="tab"/>
      <w:lvlText w:val="￮"/>
      <w:rPr>
        <w:color w:val="3370ff"/>
      </w:rPr>
    </w:lvl>
  </w:abstractNum>
  <w:abstractNum w:abstractNumId="55095">
    <w:lvl>
      <w:numFmt w:val="bullet"/>
      <w:suff w:val="tab"/>
      <w:lvlText w:val="￮"/>
      <w:rPr>
        <w:color w:val="3370ff"/>
      </w:rPr>
    </w:lvl>
  </w:abstractNum>
  <w:abstractNum w:abstractNumId="55096">
    <w:lvl>
      <w:start w:val="3"/>
      <w:numFmt w:val="decimal"/>
      <w:suff w:val="tab"/>
      <w:lvlText w:val="%1."/>
      <w:rPr>
        <w:color w:val="3370ff"/>
      </w:rPr>
    </w:lvl>
  </w:abstractNum>
  <w:abstractNum w:abstractNumId="55097">
    <w:lvl>
      <w:numFmt w:val="bullet"/>
      <w:suff w:val="tab"/>
      <w:lvlText w:val="￮"/>
      <w:rPr>
        <w:color w:val="3370ff"/>
      </w:rPr>
    </w:lvl>
  </w:abstractNum>
  <w:abstractNum w:abstractNumId="55098">
    <w:lvl>
      <w:numFmt w:val="bullet"/>
      <w:suff w:val="tab"/>
      <w:lvlText w:val="￮"/>
      <w:rPr>
        <w:color w:val="3370ff"/>
      </w:rPr>
    </w:lvl>
  </w:abstractNum>
  <w:abstractNum w:abstractNumId="55099">
    <w:lvl>
      <w:start w:val="4"/>
      <w:numFmt w:val="decimal"/>
      <w:suff w:val="tab"/>
      <w:lvlText w:val="%1."/>
      <w:rPr>
        <w:color w:val="3370ff"/>
      </w:rPr>
    </w:lvl>
  </w:abstractNum>
  <w:abstractNum w:abstractNumId="55100">
    <w:lvl>
      <w:numFmt w:val="bullet"/>
      <w:suff w:val="tab"/>
      <w:lvlText w:val="￮"/>
      <w:rPr>
        <w:color w:val="3370ff"/>
      </w:rPr>
    </w:lvl>
  </w:abstractNum>
  <w:abstractNum w:abstractNumId="55101">
    <w:lvl>
      <w:numFmt w:val="bullet"/>
      <w:suff w:val="tab"/>
      <w:lvlText w:val="￮"/>
      <w:rPr>
        <w:color w:val="3370ff"/>
      </w:rPr>
    </w:lvl>
  </w:abstractNum>
  <w:abstractNum w:abstractNumId="55102">
    <w:lvl>
      <w:numFmt w:val="bullet"/>
      <w:suff w:val="tab"/>
      <w:lvlText w:val="￮"/>
      <w:rPr>
        <w:color w:val="3370ff"/>
      </w:rPr>
    </w:lvl>
  </w:abstractNum>
  <w:abstractNum w:abstractNumId="55103">
    <w:lvl>
      <w:start w:val="5"/>
      <w:numFmt w:val="decimal"/>
      <w:suff w:val="tab"/>
      <w:lvlText w:val="%1."/>
      <w:rPr>
        <w:color w:val="3370ff"/>
      </w:rPr>
    </w:lvl>
  </w:abstractNum>
  <w:abstractNum w:abstractNumId="55104">
    <w:lvl>
      <w:numFmt w:val="bullet"/>
      <w:suff w:val="tab"/>
      <w:lvlText w:val="￮"/>
      <w:rPr>
        <w:color w:val="3370ff"/>
      </w:rPr>
    </w:lvl>
  </w:abstractNum>
  <w:abstractNum w:abstractNumId="55105">
    <w:lvl>
      <w:start w:val="1"/>
      <w:numFmt w:val="decimal"/>
      <w:suff w:val="tab"/>
      <w:lvlText w:val="%1."/>
      <w:rPr>
        <w:color w:val="3370ff"/>
      </w:rPr>
    </w:lvl>
  </w:abstractNum>
  <w:abstractNum w:abstractNumId="55106">
    <w:lvl>
      <w:start w:val="2"/>
      <w:numFmt w:val="decimal"/>
      <w:suff w:val="tab"/>
      <w:lvlText w:val="%1."/>
      <w:rPr>
        <w:color w:val="3370ff"/>
      </w:rPr>
    </w:lvl>
  </w:abstractNum>
  <w:abstractNum w:abstractNumId="5510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5075"/>
  </w:num>
  <w:num w:numId="2">
    <w:abstractNumId w:val="55076"/>
  </w:num>
  <w:num w:numId="3">
    <w:abstractNumId w:val="55077"/>
  </w:num>
  <w:num w:numId="4">
    <w:abstractNumId w:val="55078"/>
  </w:num>
  <w:num w:numId="5">
    <w:abstractNumId w:val="55079"/>
  </w:num>
  <w:num w:numId="6">
    <w:abstractNumId w:val="55080"/>
  </w:num>
  <w:num w:numId="7">
    <w:abstractNumId w:val="55081"/>
  </w:num>
  <w:num w:numId="8">
    <w:abstractNumId w:val="55082"/>
  </w:num>
  <w:num w:numId="9">
    <w:abstractNumId w:val="55083"/>
  </w:num>
  <w:num w:numId="10">
    <w:abstractNumId w:val="55084"/>
  </w:num>
  <w:num w:numId="11">
    <w:abstractNumId w:val="55085"/>
  </w:num>
  <w:num w:numId="12">
    <w:abstractNumId w:val="55086"/>
  </w:num>
  <w:num w:numId="13">
    <w:abstractNumId w:val="55087"/>
  </w:num>
  <w:num w:numId="14">
    <w:abstractNumId w:val="55088"/>
  </w:num>
  <w:num w:numId="15">
    <w:abstractNumId w:val="55089"/>
  </w:num>
  <w:num w:numId="16">
    <w:abstractNumId w:val="55090"/>
  </w:num>
  <w:num w:numId="17">
    <w:abstractNumId w:val="55091"/>
  </w:num>
  <w:num w:numId="18">
    <w:abstractNumId w:val="55092"/>
  </w:num>
  <w:num w:numId="19">
    <w:abstractNumId w:val="55093"/>
  </w:num>
  <w:num w:numId="20">
    <w:abstractNumId w:val="55094"/>
  </w:num>
  <w:num w:numId="21">
    <w:abstractNumId w:val="55095"/>
  </w:num>
  <w:num w:numId="22">
    <w:abstractNumId w:val="55096"/>
  </w:num>
  <w:num w:numId="23">
    <w:abstractNumId w:val="55097"/>
  </w:num>
  <w:num w:numId="24">
    <w:abstractNumId w:val="55098"/>
  </w:num>
  <w:num w:numId="25">
    <w:abstractNumId w:val="55099"/>
  </w:num>
  <w:num w:numId="26">
    <w:abstractNumId w:val="55100"/>
  </w:num>
  <w:num w:numId="27">
    <w:abstractNumId w:val="55101"/>
  </w:num>
  <w:num w:numId="28">
    <w:abstractNumId w:val="55102"/>
  </w:num>
  <w:num w:numId="29">
    <w:abstractNumId w:val="55103"/>
  </w:num>
  <w:num w:numId="30">
    <w:abstractNumId w:val="55104"/>
  </w:num>
  <w:num w:numId="31">
    <w:abstractNumId w:val="55105"/>
  </w:num>
  <w:num w:numId="32">
    <w:abstractNumId w:val="55106"/>
  </w:num>
  <w:num w:numId="33">
    <w:abstractNumId w:val="551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2026-02-14T02:48:09Z</dcterms:created>
  <dc:creator>Apache POI</dc:creator>
</cp:coreProperties>
</file>