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8E32" w14:textId="77777777" w:rsidR="00825C3F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油控实时监测系统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燃油消耗正常与异常判定</w:t>
      </w:r>
    </w:p>
    <w:p w14:paraId="3BDA28A4" w14:textId="77777777" w:rsidR="00BE1C5A" w:rsidRDefault="00BE1C5A" w:rsidP="00BE1C5A">
      <w:pPr>
        <w:rPr>
          <w:b/>
          <w:bCs/>
        </w:rPr>
      </w:pPr>
      <w:r>
        <w:rPr>
          <w:rFonts w:hint="eastAsia"/>
          <w:b/>
          <w:bCs/>
        </w:rPr>
        <w:t>###智能体须知：</w:t>
      </w:r>
    </w:p>
    <w:p w14:paraId="3B55F2DF" w14:textId="77777777" w:rsidR="00BE1C5A" w:rsidRPr="00E536ED" w:rsidRDefault="00BE1C5A" w:rsidP="00BE1C5A">
      <w:pPr>
        <w:pStyle w:val="a7"/>
        <w:numPr>
          <w:ilvl w:val="0"/>
          <w:numId w:val="32"/>
        </w:numPr>
        <w:rPr>
          <w:b/>
          <w:bCs/>
        </w:rPr>
      </w:pPr>
      <w:r w:rsidRPr="00E536ED">
        <w:rPr>
          <w:rFonts w:hint="eastAsia"/>
          <w:b/>
          <w:bCs/>
        </w:rPr>
        <w:t>主机划分额定功率</w:t>
      </w:r>
      <w:r w:rsidRPr="00E536ED">
        <w:rPr>
          <w:b/>
          <w:bCs/>
        </w:rPr>
        <w:t>85%、轻载25%，，中</w:t>
      </w:r>
      <w:r>
        <w:rPr>
          <w:rFonts w:hint="eastAsia"/>
          <w:b/>
          <w:bCs/>
        </w:rPr>
        <w:t>载</w:t>
      </w:r>
      <w:r w:rsidRPr="00E536ED">
        <w:rPr>
          <w:b/>
          <w:bCs/>
        </w:rPr>
        <w:t>50%</w:t>
      </w:r>
      <w:r w:rsidRPr="00E536ED">
        <w:rPr>
          <w:rFonts w:hint="eastAsia"/>
          <w:b/>
          <w:bCs/>
        </w:rPr>
        <w:t>、</w:t>
      </w:r>
      <w:r w:rsidRPr="00E536ED">
        <w:rPr>
          <w:b/>
          <w:bCs/>
        </w:rPr>
        <w:t>超负荷110%</w:t>
      </w:r>
      <w:r w:rsidRPr="00E536ED">
        <w:rPr>
          <w:rFonts w:hint="eastAsia"/>
          <w:b/>
          <w:bCs/>
        </w:rPr>
        <w:t>。</w:t>
      </w:r>
    </w:p>
    <w:p w14:paraId="6B531FF0" w14:textId="77777777" w:rsidR="00BE1C5A" w:rsidRDefault="00BE1C5A" w:rsidP="00BE1C5A">
      <w:pPr>
        <w:pStyle w:val="a7"/>
        <w:numPr>
          <w:ilvl w:val="0"/>
          <w:numId w:val="32"/>
        </w:numPr>
        <w:rPr>
          <w:b/>
          <w:bCs/>
        </w:rPr>
      </w:pPr>
      <w:r w:rsidRPr="00E536ED"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油耗</w:t>
      </w:r>
      <w:r w:rsidRPr="00E536ED">
        <w:rPr>
          <w:rFonts w:hint="eastAsia"/>
          <w:b/>
          <w:bCs/>
        </w:rPr>
        <w:t>与实际</w:t>
      </w:r>
      <w:r>
        <w:rPr>
          <w:rFonts w:hint="eastAsia"/>
          <w:b/>
          <w:bCs/>
        </w:rPr>
        <w:t>油耗会有一定偏差，针对负载、油耗要对主机有相应的判断</w:t>
      </w:r>
    </w:p>
    <w:p w14:paraId="6EFD2C9A" w14:textId="77777777" w:rsidR="00BE1C5A" w:rsidRDefault="00BE1C5A" w:rsidP="00BE1C5A">
      <w:pPr>
        <w:pStyle w:val="a7"/>
        <w:numPr>
          <w:ilvl w:val="0"/>
          <w:numId w:val="32"/>
        </w:numPr>
        <w:rPr>
          <w:b/>
          <w:bCs/>
        </w:rPr>
      </w:pPr>
      <w:r>
        <w:rPr>
          <w:rFonts w:hint="eastAsia"/>
          <w:b/>
          <w:bCs/>
        </w:rPr>
        <w:t>需根据油耗变化趋势来分析主机的运行情况</w:t>
      </w:r>
    </w:p>
    <w:p w14:paraId="01A4F7E0" w14:textId="77777777" w:rsidR="00BE1C5A" w:rsidRPr="00E536ED" w:rsidRDefault="00BE1C5A" w:rsidP="00BE1C5A">
      <w:pPr>
        <w:pStyle w:val="a7"/>
        <w:numPr>
          <w:ilvl w:val="0"/>
          <w:numId w:val="32"/>
        </w:numPr>
        <w:rPr>
          <w:b/>
          <w:bCs/>
        </w:rPr>
      </w:pPr>
      <w:r>
        <w:rPr>
          <w:rFonts w:hint="eastAsia"/>
          <w:b/>
          <w:bCs/>
        </w:rPr>
        <w:t>分析异常状况，如出现故障情况立刻报警</w:t>
      </w:r>
    </w:p>
    <w:p w14:paraId="27F9F935" w14:textId="77777777" w:rsidR="00BE1C5A" w:rsidRPr="00BE1C5A" w:rsidRDefault="00BE1C5A">
      <w:pPr>
        <w:spacing w:before="480" w:after="480" w:line="288" w:lineRule="auto"/>
        <w:rPr>
          <w:rFonts w:hint="eastAsia"/>
        </w:rPr>
      </w:pPr>
    </w:p>
    <w:p w14:paraId="7D20C709" w14:textId="77777777" w:rsidR="00825C3F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一、判定依据</w:t>
      </w:r>
      <w:bookmarkEnd w:id="0"/>
    </w:p>
    <w:p w14:paraId="6D80B148" w14:textId="77777777" w:rsidR="00825C3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本判定标准基于</w:t>
      </w:r>
      <w:r>
        <w:rPr>
          <w:rFonts w:ascii="Arial" w:eastAsia="等线" w:hAnsi="Arial" w:cs="Arial"/>
        </w:rPr>
        <w:t xml:space="preserve"> 12K98ME-C7 </w:t>
      </w:r>
      <w:r>
        <w:rPr>
          <w:rFonts w:ascii="Arial" w:eastAsia="等线" w:hAnsi="Arial" w:cs="Arial"/>
        </w:rPr>
        <w:t>柴油机的燃油消耗测试数据及变化趋势，以修正后燃油消耗率为核心判定指标，同时结合负载变化时的油耗变化趋势进行综合判断。</w:t>
      </w:r>
    </w:p>
    <w:p w14:paraId="7D1E11A9" w14:textId="77777777" w:rsidR="00825C3F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二、不同负载下的燃油消耗正常范围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5C3F" w14:paraId="13786FD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88000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405D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对应功率（</w:t>
            </w:r>
            <w:r>
              <w:rPr>
                <w:rFonts w:ascii="Arial" w:eastAsia="等线" w:hAnsi="Arial" w:cs="Arial"/>
              </w:rPr>
              <w:t>kW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0ABF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修正后燃油消耗率正常范围（</w:t>
            </w:r>
            <w:r>
              <w:rPr>
                <w:rFonts w:ascii="Arial" w:eastAsia="等线" w:hAnsi="Arial" w:cs="Arial"/>
              </w:rPr>
              <w:t>g/kWh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2EDC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正常波动范围</w:t>
            </w:r>
          </w:p>
        </w:tc>
      </w:tr>
      <w:tr w:rsidR="00825C3F" w14:paraId="79C1796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1EC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28DB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18060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949BA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179.13-182.74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3B30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173.76-188.22g/kWh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5C3F" w14:paraId="7055CA4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490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0031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36120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3144B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170.23-171.16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6F0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165.12-176.29g/kWh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5C3F" w14:paraId="28BE05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D5611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949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54180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FD9C4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168.64-169.56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21289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163.58-174.65g/kWh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5C3F" w14:paraId="1FB50F5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5841A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A5BA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65016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8099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171.53-172.64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D57FB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166.38-177.82g/kWh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5C3F" w14:paraId="4AFD8C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9C683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13D85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72240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1FE6C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175.39-175.96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3419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170.13-181.24g/kWh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5C3F" w14:paraId="2F44F9A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C126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FD5FA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79464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0A55E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178.71-180.61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0747" w14:textId="77777777" w:rsidR="00825C3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±3%</w:t>
            </w:r>
            <w:r>
              <w:rPr>
                <w:rFonts w:ascii="Arial" w:eastAsia="等线" w:hAnsi="Arial" w:cs="Arial"/>
              </w:rPr>
              <w:t>（即</w:t>
            </w:r>
            <w:r>
              <w:rPr>
                <w:rFonts w:ascii="Arial" w:eastAsia="等线" w:hAnsi="Arial" w:cs="Arial"/>
              </w:rPr>
              <w:t xml:space="preserve"> 173.35-186.03g/kWh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042A1A64" w14:textId="77777777" w:rsidR="00825C3F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三、正常情况判定</w:t>
      </w:r>
      <w:bookmarkEnd w:id="2"/>
    </w:p>
    <w:p w14:paraId="5E4333EF" w14:textId="77777777" w:rsidR="00825C3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单负载工况正常</w:t>
      </w:r>
      <w:r>
        <w:rPr>
          <w:rFonts w:ascii="Arial" w:eastAsia="等线" w:hAnsi="Arial" w:cs="Arial"/>
        </w:rPr>
        <w:t>：在某一固定负载下，燃油消耗率处于上述对应负载的正常波动范围内，且连续监测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分钟内数据稳定，无大幅跳变。</w:t>
      </w:r>
    </w:p>
    <w:p w14:paraId="532C4E36" w14:textId="77777777" w:rsidR="00825C3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负载变化时的趋势正常</w:t>
      </w:r>
      <w:r>
        <w:rPr>
          <w:rFonts w:ascii="Arial" w:eastAsia="等线" w:hAnsi="Arial" w:cs="Arial"/>
        </w:rPr>
        <w:t>：</w:t>
      </w:r>
    </w:p>
    <w:p w14:paraId="65C14728" w14:textId="77777777" w:rsidR="00825C3F" w:rsidRDefault="00000000">
      <w:pPr>
        <w:numPr>
          <w:ilvl w:val="0"/>
          <w:numId w:val="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负载从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过程中，燃油消耗率呈现持续下降的趋势，且每提升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负载，油耗降幅不低于</w:t>
      </w:r>
      <w:r>
        <w:rPr>
          <w:rFonts w:ascii="Arial" w:eastAsia="等线" w:hAnsi="Arial" w:cs="Arial"/>
        </w:rPr>
        <w:t xml:space="preserve"> 2%</w:t>
      </w:r>
    </w:p>
    <w:p w14:paraId="42D3A5B1" w14:textId="77777777" w:rsidR="00825C3F" w:rsidRDefault="00000000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负载从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110% </w:t>
      </w:r>
      <w:r>
        <w:rPr>
          <w:rFonts w:ascii="Arial" w:eastAsia="等线" w:hAnsi="Arial" w:cs="Arial"/>
        </w:rPr>
        <w:t>过程中，燃油消耗率呈现持续上升的趋势，且每提升</w:t>
      </w:r>
      <w:r>
        <w:rPr>
          <w:rFonts w:ascii="Arial" w:eastAsia="等线" w:hAnsi="Arial" w:cs="Arial"/>
        </w:rPr>
        <w:t xml:space="preserve"> 15% </w:t>
      </w:r>
      <w:r>
        <w:rPr>
          <w:rFonts w:ascii="Arial" w:eastAsia="等线" w:hAnsi="Arial" w:cs="Arial"/>
        </w:rPr>
        <w:t>负载，油耗增幅不低于</w:t>
      </w:r>
      <w:r>
        <w:rPr>
          <w:rFonts w:ascii="Arial" w:eastAsia="等线" w:hAnsi="Arial" w:cs="Arial"/>
        </w:rPr>
        <w:t xml:space="preserve"> 2%</w:t>
      </w:r>
    </w:p>
    <w:p w14:paraId="4C88612D" w14:textId="77777777" w:rsidR="00825C3F" w:rsidRDefault="00000000">
      <w:pPr>
        <w:numPr>
          <w:ilvl w:val="0"/>
          <w:numId w:val="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负载降低时，油耗变化趋势与负载提升时的趋势相反，即从高负载降至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时油耗下降，从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降至低负载时油耗上升</w:t>
      </w:r>
    </w:p>
    <w:p w14:paraId="2704C813" w14:textId="77777777" w:rsidR="00825C3F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四、异常情况判定</w:t>
      </w:r>
      <w:bookmarkEnd w:id="3"/>
    </w:p>
    <w:p w14:paraId="7D7C5ABD" w14:textId="77777777" w:rsidR="00825C3F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单负载工况异常</w:t>
      </w:r>
      <w:bookmarkEnd w:id="4"/>
    </w:p>
    <w:p w14:paraId="26B1FCB2" w14:textId="77777777" w:rsidR="00825C3F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燃油消耗率超出对应负载的正常波动范围，例如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负载时油耗超过</w:t>
      </w:r>
      <w:r>
        <w:rPr>
          <w:rFonts w:ascii="Arial" w:eastAsia="等线" w:hAnsi="Arial" w:cs="Arial"/>
        </w:rPr>
        <w:t xml:space="preserve"> 188.22g/kWh </w:t>
      </w:r>
      <w:r>
        <w:rPr>
          <w:rFonts w:ascii="Arial" w:eastAsia="等线" w:hAnsi="Arial" w:cs="Arial"/>
        </w:rPr>
        <w:t>或低于</w:t>
      </w:r>
      <w:r>
        <w:rPr>
          <w:rFonts w:ascii="Arial" w:eastAsia="等线" w:hAnsi="Arial" w:cs="Arial"/>
        </w:rPr>
        <w:t xml:space="preserve"> 173.76g/kWh</w:t>
      </w:r>
    </w:p>
    <w:p w14:paraId="15381235" w14:textId="77777777" w:rsidR="00825C3F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在固定负载下，燃油消耗率在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分钟内波动幅度超过</w:t>
      </w:r>
      <w:r>
        <w:rPr>
          <w:rFonts w:ascii="Arial" w:eastAsia="等线" w:hAnsi="Arial" w:cs="Arial"/>
        </w:rPr>
        <w:t xml:space="preserve"> 5%</w:t>
      </w:r>
      <w:r>
        <w:rPr>
          <w:rFonts w:ascii="Arial" w:eastAsia="等线" w:hAnsi="Arial" w:cs="Arial"/>
        </w:rPr>
        <w:t>，数据出现大幅跳变</w:t>
      </w:r>
    </w:p>
    <w:p w14:paraId="231F310E" w14:textId="77777777" w:rsidR="00825C3F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同一负载下，连续三次监测的燃油消耗率平均值超出正常范围</w:t>
      </w:r>
    </w:p>
    <w:p w14:paraId="7EA9A998" w14:textId="77777777" w:rsidR="00825C3F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负载变化时的趋势异常</w:t>
      </w:r>
      <w:bookmarkEnd w:id="5"/>
    </w:p>
    <w:p w14:paraId="4DDC1F4F" w14:textId="77777777" w:rsidR="00825C3F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负载从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过程中，燃油消耗率未出现下降，反而上升，或者降幅低于</w:t>
      </w:r>
      <w:r>
        <w:rPr>
          <w:rFonts w:ascii="Arial" w:eastAsia="等线" w:hAnsi="Arial" w:cs="Arial"/>
        </w:rPr>
        <w:t xml:space="preserve"> 2%</w:t>
      </w:r>
    </w:p>
    <w:p w14:paraId="10A9F38B" w14:textId="77777777" w:rsidR="00825C3F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负载从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110% </w:t>
      </w:r>
      <w:r>
        <w:rPr>
          <w:rFonts w:ascii="Arial" w:eastAsia="等线" w:hAnsi="Arial" w:cs="Arial"/>
        </w:rPr>
        <w:t>过程中，燃油消耗率未出现上升，反而下降，或者增幅低于</w:t>
      </w:r>
      <w:r>
        <w:rPr>
          <w:rFonts w:ascii="Arial" w:eastAsia="等线" w:hAnsi="Arial" w:cs="Arial"/>
        </w:rPr>
        <w:t xml:space="preserve"> 2%</w:t>
      </w:r>
    </w:p>
    <w:p w14:paraId="62F0C6CE" w14:textId="77777777" w:rsidR="00825C3F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负载降低时，油耗未出现相应的上升（从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降至低负载）或下降（从高负载降至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）</w:t>
      </w:r>
    </w:p>
    <w:p w14:paraId="4A07A63A" w14:textId="77777777" w:rsidR="00825C3F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油耗变化趋势呈现无规律的波动，不符合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先降后升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U </w:t>
      </w:r>
      <w:r>
        <w:rPr>
          <w:rFonts w:ascii="Arial" w:eastAsia="等线" w:hAnsi="Arial" w:cs="Arial"/>
        </w:rPr>
        <w:t>型规律</w:t>
      </w:r>
    </w:p>
    <w:p w14:paraId="2280CD4C" w14:textId="77777777" w:rsidR="00825C3F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特殊异常情况</w:t>
      </w:r>
      <w:bookmarkEnd w:id="6"/>
    </w:p>
    <w:p w14:paraId="4250A85D" w14:textId="77777777" w:rsidR="00825C3F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低负载（</w:t>
      </w:r>
      <w:r>
        <w:rPr>
          <w:rFonts w:ascii="Arial" w:eastAsia="等线" w:hAnsi="Arial" w:cs="Arial"/>
        </w:rPr>
        <w:t xml:space="preserve">25% </w:t>
      </w:r>
      <w:r>
        <w:rPr>
          <w:rFonts w:ascii="Arial" w:eastAsia="等线" w:hAnsi="Arial" w:cs="Arial"/>
        </w:rPr>
        <w:t>以下）工况下，燃油消耗率超过</w:t>
      </w:r>
      <w:r>
        <w:rPr>
          <w:rFonts w:ascii="Arial" w:eastAsia="等线" w:hAnsi="Arial" w:cs="Arial"/>
        </w:rPr>
        <w:t xml:space="preserve"> 200g/kWh</w:t>
      </w:r>
    </w:p>
    <w:p w14:paraId="2B57C3C4" w14:textId="77777777" w:rsidR="00825C3F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最优负载区间（</w:t>
      </w:r>
      <w:r>
        <w:rPr>
          <w:rFonts w:ascii="Arial" w:eastAsia="等线" w:hAnsi="Arial" w:cs="Arial"/>
        </w:rPr>
        <w:t>70%-80%</w:t>
      </w:r>
      <w:r>
        <w:rPr>
          <w:rFonts w:ascii="Arial" w:eastAsia="等线" w:hAnsi="Arial" w:cs="Arial"/>
        </w:rPr>
        <w:t>）内，燃油消耗率超过</w:t>
      </w:r>
      <w:r>
        <w:rPr>
          <w:rFonts w:ascii="Arial" w:eastAsia="等线" w:hAnsi="Arial" w:cs="Arial"/>
        </w:rPr>
        <w:t xml:space="preserve"> 180g/kWh</w:t>
      </w:r>
    </w:p>
    <w:p w14:paraId="60FDF0B8" w14:textId="77777777" w:rsidR="00825C3F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超负荷（</w:t>
      </w:r>
      <w:r>
        <w:rPr>
          <w:rFonts w:ascii="Arial" w:eastAsia="等线" w:hAnsi="Arial" w:cs="Arial"/>
        </w:rPr>
        <w:t xml:space="preserve">110% </w:t>
      </w:r>
      <w:r>
        <w:rPr>
          <w:rFonts w:ascii="Arial" w:eastAsia="等线" w:hAnsi="Arial" w:cs="Arial"/>
        </w:rPr>
        <w:t>以上）工况下，燃油消耗率超过</w:t>
      </w:r>
      <w:r>
        <w:rPr>
          <w:rFonts w:ascii="Arial" w:eastAsia="等线" w:hAnsi="Arial" w:cs="Arial"/>
        </w:rPr>
        <w:t xml:space="preserve"> 200g/kWh</w:t>
      </w:r>
    </w:p>
    <w:p w14:paraId="0908BDBB" w14:textId="77777777" w:rsidR="00825C3F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无负载（</w:t>
      </w:r>
      <w:proofErr w:type="gramStart"/>
      <w:r>
        <w:rPr>
          <w:rFonts w:ascii="Arial" w:eastAsia="等线" w:hAnsi="Arial" w:cs="Arial"/>
        </w:rPr>
        <w:t>怠</w:t>
      </w:r>
      <w:proofErr w:type="gramEnd"/>
      <w:r>
        <w:rPr>
          <w:rFonts w:ascii="Arial" w:eastAsia="等线" w:hAnsi="Arial" w:cs="Arial"/>
        </w:rPr>
        <w:t>速）状态下，燃油消耗率出现异常升高或波动</w:t>
      </w:r>
    </w:p>
    <w:p w14:paraId="2F635E37" w14:textId="77777777" w:rsidR="00825C3F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五、异常情况的可能原因</w:t>
      </w:r>
      <w:bookmarkEnd w:id="7"/>
    </w:p>
    <w:p w14:paraId="12222F10" w14:textId="77777777" w:rsidR="00825C3F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设备故障类</w:t>
      </w:r>
      <w:bookmarkEnd w:id="8"/>
    </w:p>
    <w:p w14:paraId="44742C70" w14:textId="77777777" w:rsidR="00825C3F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喷油嘴堵塞或雾化不良，导致燃油燃烧不充分</w:t>
      </w:r>
    </w:p>
    <w:p w14:paraId="37D9A44C" w14:textId="77777777" w:rsidR="00825C3F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空气滤清器堵塞，进气量不足，影响混合气配比</w:t>
      </w:r>
    </w:p>
    <w:p w14:paraId="3380C8C2" w14:textId="77777777" w:rsidR="00825C3F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发动机气缸磨损，导致压缩比下降，燃烧效率降低</w:t>
      </w:r>
    </w:p>
    <w:p w14:paraId="6EA28973" w14:textId="77777777" w:rsidR="00825C3F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增压器故障，无法提供足够的进气压力</w:t>
      </w:r>
    </w:p>
    <w:p w14:paraId="6C7FEBD9" w14:textId="77777777" w:rsidR="00825C3F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冷却系统故障，发动机工作温度异常，影响燃烧效率</w:t>
      </w:r>
    </w:p>
    <w:p w14:paraId="0287D368" w14:textId="77777777" w:rsidR="00825C3F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燃油品质类</w:t>
      </w:r>
      <w:bookmarkEnd w:id="9"/>
    </w:p>
    <w:p w14:paraId="2FC5DBBA" w14:textId="77777777" w:rsidR="00825C3F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使用的燃油热值低于标准值（</w:t>
      </w:r>
      <w:r>
        <w:rPr>
          <w:rFonts w:ascii="Arial" w:eastAsia="等线" w:hAnsi="Arial" w:cs="Arial"/>
        </w:rPr>
        <w:t>10200kcal/kg</w:t>
      </w:r>
      <w:r>
        <w:rPr>
          <w:rFonts w:ascii="Arial" w:eastAsia="等线" w:hAnsi="Arial" w:cs="Arial"/>
        </w:rPr>
        <w:t>）</w:t>
      </w:r>
    </w:p>
    <w:p w14:paraId="548B4916" w14:textId="77777777" w:rsidR="00825C3F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燃油中杂质含量过高，影响燃烧效果</w:t>
      </w:r>
    </w:p>
    <w:p w14:paraId="7E7FABA7" w14:textId="77777777" w:rsidR="00825C3F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燃油标号不符合要求，在低温或高温环境下无法正常燃烧</w:t>
      </w:r>
    </w:p>
    <w:p w14:paraId="02E91DA2" w14:textId="77777777" w:rsidR="00825C3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工况类</w:t>
      </w:r>
      <w:bookmarkEnd w:id="10"/>
    </w:p>
    <w:p w14:paraId="44227BFC" w14:textId="77777777" w:rsidR="00825C3F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实际运行工况与</w:t>
      </w:r>
      <w:r>
        <w:rPr>
          <w:rFonts w:ascii="Arial" w:eastAsia="等线" w:hAnsi="Arial" w:cs="Arial"/>
        </w:rPr>
        <w:t xml:space="preserve"> ISO </w:t>
      </w:r>
      <w:r>
        <w:rPr>
          <w:rFonts w:ascii="Arial" w:eastAsia="等线" w:hAnsi="Arial" w:cs="Arial"/>
        </w:rPr>
        <w:t>标准工况偏差过大，如海拔过高、环境温度异常</w:t>
      </w:r>
    </w:p>
    <w:p w14:paraId="79FB4BDC" w14:textId="77777777" w:rsidR="00825C3F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负载波动过于频繁，导致发动机无法稳定运行</w:t>
      </w:r>
    </w:p>
    <w:p w14:paraId="389A3B8C" w14:textId="77777777" w:rsidR="00825C3F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发动机未进行定期保养，机油、滤芯等未及时更换</w:t>
      </w:r>
    </w:p>
    <w:p w14:paraId="0FEB30D2" w14:textId="77777777" w:rsidR="00825C3F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六、异常处理建议</w:t>
      </w:r>
      <w:bookmarkEnd w:id="11"/>
    </w:p>
    <w:p w14:paraId="4CBC9C4A" w14:textId="77777777" w:rsidR="00825C3F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当出现单负载工况异常时，首先检查燃油品质，然后对发动机进行常规检查，包括空气滤清器、喷油嘴等部件</w:t>
      </w:r>
    </w:p>
    <w:p w14:paraId="7AC49EF7" w14:textId="77777777" w:rsidR="00825C3F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当出现趋势异常时，应对发动机进行全面检测，包括气缸压力、增压器状态、冷</w:t>
      </w:r>
      <w:r>
        <w:rPr>
          <w:rFonts w:ascii="Arial" w:eastAsia="等线" w:hAnsi="Arial" w:cs="Arial"/>
        </w:rPr>
        <w:lastRenderedPageBreak/>
        <w:t>却系统等</w:t>
      </w:r>
    </w:p>
    <w:p w14:paraId="641372FF" w14:textId="77777777" w:rsidR="00825C3F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对于持续异常的情况，应暂停设备运行，联系专业维修人员进行检修</w:t>
      </w:r>
    </w:p>
    <w:p w14:paraId="592F97D9" w14:textId="77777777" w:rsidR="00825C3F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定期对燃油消耗数据进行统计分析，及时发现潜在的异常趋势</w:t>
      </w:r>
    </w:p>
    <w:p w14:paraId="11E1394D" w14:textId="77777777" w:rsidR="00825C3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825C3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2B63" w14:textId="77777777" w:rsidR="00EC1325" w:rsidRDefault="00EC1325">
      <w:pPr>
        <w:spacing w:after="0" w:line="240" w:lineRule="auto"/>
      </w:pPr>
      <w:r>
        <w:separator/>
      </w:r>
    </w:p>
  </w:endnote>
  <w:endnote w:type="continuationSeparator" w:id="0">
    <w:p w14:paraId="159C417C" w14:textId="77777777" w:rsidR="00EC1325" w:rsidRDefault="00EC1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AC37" w14:textId="77777777" w:rsidR="00EC1325" w:rsidRDefault="00EC1325">
      <w:pPr>
        <w:spacing w:after="0" w:line="240" w:lineRule="auto"/>
      </w:pPr>
      <w:r>
        <w:separator/>
      </w:r>
    </w:p>
  </w:footnote>
  <w:footnote w:type="continuationSeparator" w:id="0">
    <w:p w14:paraId="50C55BE5" w14:textId="77777777" w:rsidR="00EC1325" w:rsidRDefault="00EC1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333"/>
    <w:multiLevelType w:val="multilevel"/>
    <w:tmpl w:val="629C6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4109BB"/>
    <w:multiLevelType w:val="multilevel"/>
    <w:tmpl w:val="194016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664EA6"/>
    <w:multiLevelType w:val="multilevel"/>
    <w:tmpl w:val="EACE72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CF1900"/>
    <w:multiLevelType w:val="multilevel"/>
    <w:tmpl w:val="872C1E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76501"/>
    <w:multiLevelType w:val="multilevel"/>
    <w:tmpl w:val="343C5F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EF6F5F"/>
    <w:multiLevelType w:val="multilevel"/>
    <w:tmpl w:val="9FA629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4003DD"/>
    <w:multiLevelType w:val="multilevel"/>
    <w:tmpl w:val="D3DC5E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DD11C2"/>
    <w:multiLevelType w:val="multilevel"/>
    <w:tmpl w:val="C11A81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015EF8"/>
    <w:multiLevelType w:val="multilevel"/>
    <w:tmpl w:val="58EA6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EC58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241A3ED5"/>
    <w:multiLevelType w:val="multilevel"/>
    <w:tmpl w:val="7AAEC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184DD5"/>
    <w:multiLevelType w:val="multilevel"/>
    <w:tmpl w:val="3C5268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4B6C75"/>
    <w:multiLevelType w:val="multilevel"/>
    <w:tmpl w:val="210AE1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89C70D9"/>
    <w:multiLevelType w:val="multilevel"/>
    <w:tmpl w:val="158A9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DCF001B"/>
    <w:multiLevelType w:val="multilevel"/>
    <w:tmpl w:val="7856EB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2E7ADA"/>
    <w:multiLevelType w:val="multilevel"/>
    <w:tmpl w:val="99F28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0117E1"/>
    <w:multiLevelType w:val="multilevel"/>
    <w:tmpl w:val="8FFC3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4B75ADC"/>
    <w:multiLevelType w:val="multilevel"/>
    <w:tmpl w:val="F32A3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D725D6D"/>
    <w:multiLevelType w:val="multilevel"/>
    <w:tmpl w:val="CBB20F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E2A644A"/>
    <w:multiLevelType w:val="multilevel"/>
    <w:tmpl w:val="7200C6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B858C2"/>
    <w:multiLevelType w:val="multilevel"/>
    <w:tmpl w:val="96BADC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B6F6AC2"/>
    <w:multiLevelType w:val="multilevel"/>
    <w:tmpl w:val="D84099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921808"/>
    <w:multiLevelType w:val="multilevel"/>
    <w:tmpl w:val="4F84FA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E3306B0"/>
    <w:multiLevelType w:val="multilevel"/>
    <w:tmpl w:val="61509E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0C41C17"/>
    <w:multiLevelType w:val="multilevel"/>
    <w:tmpl w:val="91F039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3433FD2"/>
    <w:multiLevelType w:val="multilevel"/>
    <w:tmpl w:val="536811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4C23534"/>
    <w:multiLevelType w:val="multilevel"/>
    <w:tmpl w:val="97D2C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5843E44"/>
    <w:multiLevelType w:val="multilevel"/>
    <w:tmpl w:val="0E8C5C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9470EA"/>
    <w:multiLevelType w:val="multilevel"/>
    <w:tmpl w:val="25E639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9861892"/>
    <w:multiLevelType w:val="multilevel"/>
    <w:tmpl w:val="894E02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AB15BD8"/>
    <w:multiLevelType w:val="multilevel"/>
    <w:tmpl w:val="93722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15A6C11"/>
    <w:multiLevelType w:val="multilevel"/>
    <w:tmpl w:val="438CAA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947009">
    <w:abstractNumId w:val="11"/>
  </w:num>
  <w:num w:numId="2" w16cid:durableId="1749841095">
    <w:abstractNumId w:val="21"/>
  </w:num>
  <w:num w:numId="3" w16cid:durableId="2051614205">
    <w:abstractNumId w:val="29"/>
  </w:num>
  <w:num w:numId="4" w16cid:durableId="1430199412">
    <w:abstractNumId w:val="14"/>
  </w:num>
  <w:num w:numId="5" w16cid:durableId="2132941125">
    <w:abstractNumId w:val="18"/>
  </w:num>
  <w:num w:numId="6" w16cid:durableId="1211304557">
    <w:abstractNumId w:val="24"/>
  </w:num>
  <w:num w:numId="7" w16cid:durableId="1558131464">
    <w:abstractNumId w:val="19"/>
  </w:num>
  <w:num w:numId="8" w16cid:durableId="1633900924">
    <w:abstractNumId w:val="26"/>
  </w:num>
  <w:num w:numId="9" w16cid:durableId="319651050">
    <w:abstractNumId w:val="13"/>
  </w:num>
  <w:num w:numId="10" w16cid:durableId="414327292">
    <w:abstractNumId w:val="31"/>
  </w:num>
  <w:num w:numId="11" w16cid:durableId="1368681421">
    <w:abstractNumId w:val="12"/>
  </w:num>
  <w:num w:numId="12" w16cid:durableId="1798837022">
    <w:abstractNumId w:val="28"/>
  </w:num>
  <w:num w:numId="13" w16cid:durableId="446655701">
    <w:abstractNumId w:val="10"/>
  </w:num>
  <w:num w:numId="14" w16cid:durableId="1893543848">
    <w:abstractNumId w:val="17"/>
  </w:num>
  <w:num w:numId="15" w16cid:durableId="1257905769">
    <w:abstractNumId w:val="4"/>
  </w:num>
  <w:num w:numId="16" w16cid:durableId="725027595">
    <w:abstractNumId w:val="27"/>
  </w:num>
  <w:num w:numId="17" w16cid:durableId="1240947013">
    <w:abstractNumId w:val="8"/>
  </w:num>
  <w:num w:numId="18" w16cid:durableId="317226662">
    <w:abstractNumId w:val="0"/>
  </w:num>
  <w:num w:numId="19" w16cid:durableId="1570263262">
    <w:abstractNumId w:val="2"/>
  </w:num>
  <w:num w:numId="20" w16cid:durableId="1226797705">
    <w:abstractNumId w:val="7"/>
  </w:num>
  <w:num w:numId="21" w16cid:durableId="435715905">
    <w:abstractNumId w:val="20"/>
  </w:num>
  <w:num w:numId="22" w16cid:durableId="786043800">
    <w:abstractNumId w:val="15"/>
  </w:num>
  <w:num w:numId="23" w16cid:durableId="2066223489">
    <w:abstractNumId w:val="25"/>
  </w:num>
  <w:num w:numId="24" w16cid:durableId="802700472">
    <w:abstractNumId w:val="30"/>
  </w:num>
  <w:num w:numId="25" w16cid:durableId="1515339052">
    <w:abstractNumId w:val="1"/>
  </w:num>
  <w:num w:numId="26" w16cid:durableId="557402464">
    <w:abstractNumId w:val="16"/>
  </w:num>
  <w:num w:numId="27" w16cid:durableId="1874685159">
    <w:abstractNumId w:val="23"/>
  </w:num>
  <w:num w:numId="28" w16cid:durableId="1315380277">
    <w:abstractNumId w:val="22"/>
  </w:num>
  <w:num w:numId="29" w16cid:durableId="1780182442">
    <w:abstractNumId w:val="6"/>
  </w:num>
  <w:num w:numId="30" w16cid:durableId="1126050198">
    <w:abstractNumId w:val="5"/>
  </w:num>
  <w:num w:numId="31" w16cid:durableId="529802860">
    <w:abstractNumId w:val="3"/>
  </w:num>
  <w:num w:numId="32" w16cid:durableId="52627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C3F"/>
    <w:rsid w:val="00825C3F"/>
    <w:rsid w:val="00A84700"/>
    <w:rsid w:val="00BE1C5A"/>
    <w:rsid w:val="00E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DB260"/>
  <w15:docId w15:val="{4D0298B5-9041-4F06-86D4-48099BBE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C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1C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1C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1C5A"/>
    <w:rPr>
      <w:sz w:val="18"/>
      <w:szCs w:val="18"/>
    </w:rPr>
  </w:style>
  <w:style w:type="paragraph" w:styleId="a7">
    <w:name w:val="List Paragraph"/>
    <w:basedOn w:val="a"/>
    <w:uiPriority w:val="34"/>
    <w:qFormat/>
    <w:rsid w:val="00BE1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740</Words>
  <Characters>1052</Characters>
  <Application>Microsoft Office Word</Application>
  <DocSecurity>0</DocSecurity>
  <Lines>58</Lines>
  <Paragraphs>68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2</cp:revision>
  <dcterms:created xsi:type="dcterms:W3CDTF">2026-02-12T04:30:00Z</dcterms:created>
  <dcterms:modified xsi:type="dcterms:W3CDTF">2026-02-12T04:42:00Z</dcterms:modified>
</cp:coreProperties>
</file>