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333A" w14:textId="77777777" w:rsidR="000D17F5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12K98ME-C7</w:t>
      </w:r>
      <w:r>
        <w:rPr>
          <w:rFonts w:ascii="Arial" w:eastAsia="等线" w:hAnsi="Arial" w:cs="Arial"/>
          <w:b/>
          <w:sz w:val="52"/>
        </w:rPr>
        <w:t>柴油机涡轮增压器转速正常与异常工况判断</w:t>
      </w:r>
    </w:p>
    <w:p w14:paraId="70D80026" w14:textId="77777777" w:rsidR="000D17F5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一、涡轮增压器转速正常工况判断</w:t>
      </w:r>
      <w:bookmarkEnd w:id="0"/>
    </w:p>
    <w:p w14:paraId="298AA7F8" w14:textId="77777777" w:rsidR="000D17F5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不同负载下的转速处于标准区间内</w:t>
      </w:r>
      <w:bookmarkEnd w:id="1"/>
    </w:p>
    <w:p w14:paraId="475A99CE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根据该机型工厂测试数据，不同负载下涡轮增压器转速</w:t>
      </w:r>
      <w:proofErr w:type="gramStart"/>
      <w:r>
        <w:rPr>
          <w:rFonts w:ascii="Arial" w:eastAsia="等线" w:hAnsi="Arial" w:cs="Arial"/>
        </w:rPr>
        <w:t>需处于</w:t>
      </w:r>
      <w:proofErr w:type="gramEnd"/>
      <w:r>
        <w:rPr>
          <w:rFonts w:ascii="Arial" w:eastAsia="等线" w:hAnsi="Arial" w:cs="Arial"/>
        </w:rPr>
        <w:t>以下区间内：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0D17F5" w14:paraId="47DA228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3CF6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EB45D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对应功率（</w:t>
            </w:r>
            <w:r>
              <w:rPr>
                <w:rFonts w:ascii="Arial" w:eastAsia="等线" w:hAnsi="Arial" w:cs="Arial"/>
              </w:rPr>
              <w:t>kW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0529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正常转速区间（</w:t>
            </w:r>
            <w:r>
              <w:rPr>
                <w:rFonts w:ascii="Arial" w:eastAsia="等线" w:hAnsi="Arial" w:cs="Arial"/>
              </w:rPr>
              <w:t>rpm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4EAA2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平均转速（</w:t>
            </w:r>
            <w:r>
              <w:rPr>
                <w:rFonts w:ascii="Arial" w:eastAsia="等线" w:hAnsi="Arial" w:cs="Arial"/>
              </w:rPr>
              <w:t>rpm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0D17F5" w14:paraId="0849890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BF23C" w14:textId="50428BBA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  <w:r w:rsidR="000A0627">
              <w:rPr>
                <w:rFonts w:ascii="Arial" w:eastAsia="等线" w:hAnsi="Arial" w:cs="Arial" w:hint="eastAsia"/>
              </w:rPr>
              <w:t>（低载）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A311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18060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490A8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3840-3880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E2977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3862</w:t>
            </w:r>
          </w:p>
        </w:tc>
      </w:tr>
      <w:tr w:rsidR="000D17F5" w14:paraId="35BAD66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BB3A" w14:textId="5F7F8DEB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  <w:r w:rsidR="000A0627">
              <w:rPr>
                <w:rFonts w:ascii="Arial" w:eastAsia="等线" w:hAnsi="Arial" w:cs="Arial" w:hint="eastAsia"/>
              </w:rPr>
              <w:t>（中载）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A4B15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36120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F2224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6539-6595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C426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6565</w:t>
            </w:r>
          </w:p>
        </w:tc>
      </w:tr>
      <w:tr w:rsidR="000D17F5" w14:paraId="6732D7A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0C75F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750F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54180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895B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8500-8581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237C8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8540</w:t>
            </w:r>
          </w:p>
        </w:tc>
      </w:tr>
      <w:tr w:rsidR="000D17F5" w14:paraId="17F302D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4139" w14:textId="05ED922F" w:rsidR="000D17F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90%</w:t>
            </w:r>
            <w:r w:rsidR="000A0627">
              <w:rPr>
                <w:rFonts w:ascii="Arial" w:eastAsia="等线" w:hAnsi="Arial" w:cs="Arial" w:hint="eastAsia"/>
              </w:rPr>
              <w:t>（可做额定功率）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E9B8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65016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12A9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9327-9376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E9691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9350</w:t>
            </w:r>
          </w:p>
        </w:tc>
      </w:tr>
      <w:tr w:rsidR="000D17F5" w14:paraId="093B49B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15EA7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175D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72240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23DCC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9874-10070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B46C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9960</w:t>
            </w:r>
          </w:p>
        </w:tc>
      </w:tr>
      <w:tr w:rsidR="000D17F5" w14:paraId="06D887C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809E" w14:textId="03BC54AA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  <w:r w:rsidR="000A0627">
              <w:rPr>
                <w:rFonts w:ascii="Arial" w:eastAsia="等线" w:hAnsi="Arial" w:cs="Arial" w:hint="eastAsia"/>
              </w:rPr>
              <w:t>（超负荷）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FB66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79464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25544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10327-10392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DEA0B" w14:textId="77777777" w:rsidR="000D17F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10351</w:t>
            </w:r>
          </w:p>
        </w:tc>
      </w:tr>
    </w:tbl>
    <w:p w14:paraId="3BDCD633" w14:textId="77777777" w:rsidR="000D17F5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转速随负载的变化趋势符合正相关规律</w:t>
      </w:r>
      <w:bookmarkEnd w:id="2"/>
    </w:p>
    <w:p w14:paraId="22122943" w14:textId="77777777" w:rsidR="000D17F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主机负载提升时，涡轮增压器转速应平稳逐步上升，无停滞或下降情况</w:t>
      </w:r>
    </w:p>
    <w:p w14:paraId="2DC5B4CD" w14:textId="77777777" w:rsidR="000D17F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主机负载降低时，涡轮增压器转速应平稳逐步下降，无突然升高的情况</w:t>
      </w:r>
    </w:p>
    <w:p w14:paraId="14B5DE90" w14:textId="77777777" w:rsidR="000D17F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转速的变化速率与负载的变化速率匹配，无明显的滞后或超前</w:t>
      </w:r>
    </w:p>
    <w:p w14:paraId="2027F5BC" w14:textId="77777777" w:rsidR="000D17F5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同负载下多台涡轮增压器转速差异合理</w:t>
      </w:r>
      <w:bookmarkEnd w:id="3"/>
    </w:p>
    <w:p w14:paraId="380AE259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同负载工况下，</w:t>
      </w: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台涡轮增压器的转速差异应</w:t>
      </w:r>
      <w:r>
        <w:rPr>
          <w:rFonts w:ascii="Arial" w:eastAsia="等线" w:hAnsi="Arial" w:cs="Arial"/>
        </w:rPr>
        <w:t>≤50rpm</w:t>
      </w:r>
      <w:r>
        <w:rPr>
          <w:rFonts w:ascii="Arial" w:eastAsia="等线" w:hAnsi="Arial" w:cs="Arial"/>
        </w:rPr>
        <w:t>，属于正常的测试与运行误差范围。</w:t>
      </w:r>
    </w:p>
    <w:p w14:paraId="149A3AE3" w14:textId="77777777" w:rsidR="000D17F5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转速未超过最高限值</w:t>
      </w:r>
      <w:bookmarkEnd w:id="4"/>
    </w:p>
    <w:p w14:paraId="7BD1E609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所有运行工况下，涡轮增压器转速均应低于最高限值</w:t>
      </w:r>
      <w:r>
        <w:rPr>
          <w:rFonts w:ascii="Arial" w:eastAsia="等线" w:hAnsi="Arial" w:cs="Arial"/>
        </w:rPr>
        <w:t xml:space="preserve"> 13350rpm</w:t>
      </w:r>
      <w:r>
        <w:rPr>
          <w:rFonts w:ascii="Arial" w:eastAsia="等线" w:hAnsi="Arial" w:cs="Arial"/>
        </w:rPr>
        <w:t>。</w:t>
      </w:r>
    </w:p>
    <w:p w14:paraId="3E72E3BA" w14:textId="77777777" w:rsidR="000D17F5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二、涡轮增压器转速异常工况判断</w:t>
      </w:r>
      <w:bookmarkEnd w:id="5"/>
    </w:p>
    <w:p w14:paraId="5897252B" w14:textId="77777777" w:rsidR="000D17F5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转速偏离对应负载的标准区间</w:t>
      </w:r>
      <w:bookmarkEnd w:id="6"/>
    </w:p>
    <w:p w14:paraId="3979D137" w14:textId="77777777" w:rsidR="000D17F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25%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3800rpm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3900rpm</w:t>
      </w:r>
    </w:p>
    <w:p w14:paraId="115C08B8" w14:textId="77777777" w:rsidR="000D17F5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50%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6500rpm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6650rpm</w:t>
      </w:r>
    </w:p>
    <w:p w14:paraId="12C7373D" w14:textId="77777777" w:rsidR="000D17F5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75%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8450rpm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8650rpm</w:t>
      </w:r>
    </w:p>
    <w:p w14:paraId="7F9EE211" w14:textId="77777777" w:rsidR="000D17F5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90%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9250rpm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9450rpm</w:t>
      </w:r>
    </w:p>
    <w:p w14:paraId="0D53AE40" w14:textId="77777777" w:rsidR="000D17F5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100%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9800rpm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10150rpm</w:t>
      </w:r>
    </w:p>
    <w:p w14:paraId="5E507B54" w14:textId="77777777" w:rsidR="000D17F5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110% </w:t>
      </w:r>
      <w:r>
        <w:rPr>
          <w:rFonts w:ascii="Arial" w:eastAsia="等线" w:hAnsi="Arial" w:cs="Arial"/>
        </w:rPr>
        <w:t>负载下，转速低于</w:t>
      </w:r>
      <w:r>
        <w:rPr>
          <w:rFonts w:ascii="Arial" w:eastAsia="等线" w:hAnsi="Arial" w:cs="Arial"/>
        </w:rPr>
        <w:t xml:space="preserve"> 10250rpm </w:t>
      </w:r>
      <w:r>
        <w:rPr>
          <w:rFonts w:ascii="Arial" w:eastAsia="等线" w:hAnsi="Arial" w:cs="Arial"/>
        </w:rPr>
        <w:t>或高于</w:t>
      </w:r>
      <w:r>
        <w:rPr>
          <w:rFonts w:ascii="Arial" w:eastAsia="等线" w:hAnsi="Arial" w:cs="Arial"/>
        </w:rPr>
        <w:t xml:space="preserve"> 10450rpm</w:t>
      </w:r>
    </w:p>
    <w:p w14:paraId="50983A8E" w14:textId="77777777" w:rsidR="000D17F5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转速与负载变化不匹配</w:t>
      </w:r>
      <w:bookmarkEnd w:id="7"/>
    </w:p>
    <w:p w14:paraId="7B0B28C8" w14:textId="77777777" w:rsidR="000D17F5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主机负载提升时，涡轮增压器转速不上升甚至下降</w:t>
      </w:r>
    </w:p>
    <w:p w14:paraId="762880A1" w14:textId="77777777" w:rsidR="000D17F5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主机负载降低时，涡轮增压器转速不下降反而升高</w:t>
      </w:r>
    </w:p>
    <w:p w14:paraId="0ADBA9FC" w14:textId="77777777" w:rsidR="000D17F5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转速变化与负载变化的速率差异过大，出现明显滞后或突变</w:t>
      </w:r>
    </w:p>
    <w:p w14:paraId="2814E803" w14:textId="77777777" w:rsidR="000D17F5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同负载下多台涡轮增压器转速差异过大</w:t>
      </w:r>
      <w:bookmarkEnd w:id="8"/>
    </w:p>
    <w:p w14:paraId="45158F29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同负载工况下，任意两台涡轮增压器的转速差异</w:t>
      </w:r>
      <w:r>
        <w:rPr>
          <w:rFonts w:ascii="Arial" w:eastAsia="等线" w:hAnsi="Arial" w:cs="Arial"/>
        </w:rPr>
        <w:t>≥100rpm</w:t>
      </w:r>
      <w:r>
        <w:rPr>
          <w:rFonts w:ascii="Arial" w:eastAsia="等线" w:hAnsi="Arial" w:cs="Arial"/>
        </w:rPr>
        <w:t>，说明存在涡轮增压器工作异常的情况。</w:t>
      </w:r>
    </w:p>
    <w:p w14:paraId="6721EA17" w14:textId="77777777" w:rsidR="000D17F5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转速出现突变</w:t>
      </w:r>
      <w:bookmarkEnd w:id="9"/>
    </w:p>
    <w:p w14:paraId="1B1E582A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涡轮增压器转速单次变化超过</w:t>
      </w:r>
      <w:r>
        <w:rPr>
          <w:rFonts w:ascii="Arial" w:eastAsia="等线" w:hAnsi="Arial" w:cs="Arial"/>
        </w:rPr>
        <w:t xml:space="preserve"> 500rpm</w:t>
      </w:r>
      <w:r>
        <w:rPr>
          <w:rFonts w:ascii="Arial" w:eastAsia="等线" w:hAnsi="Arial" w:cs="Arial"/>
        </w:rPr>
        <w:t>，且无对应的负载大幅变化，属于异常工况。</w:t>
      </w:r>
    </w:p>
    <w:p w14:paraId="7628F4A2" w14:textId="77777777" w:rsidR="000D17F5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转速超过最高限值</w:t>
      </w:r>
      <w:bookmarkEnd w:id="10"/>
    </w:p>
    <w:p w14:paraId="1C3DDF98" w14:textId="77777777" w:rsidR="000D17F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涡轮增压器转速达到或超过</w:t>
      </w:r>
      <w:r>
        <w:rPr>
          <w:rFonts w:ascii="Arial" w:eastAsia="等线" w:hAnsi="Arial" w:cs="Arial"/>
        </w:rPr>
        <w:t xml:space="preserve"> 13350rpm</w:t>
      </w:r>
      <w:r>
        <w:rPr>
          <w:rFonts w:ascii="Arial" w:eastAsia="等线" w:hAnsi="Arial" w:cs="Arial"/>
        </w:rPr>
        <w:t>，属于严重异常，可能导致涡轮增压器损坏。</w:t>
      </w:r>
    </w:p>
    <w:p w14:paraId="0CB77DB3" w14:textId="5D111B40" w:rsidR="000D17F5" w:rsidRDefault="000D17F5">
      <w:pPr>
        <w:spacing w:before="120" w:after="120" w:line="288" w:lineRule="auto"/>
      </w:pPr>
    </w:p>
    <w:sectPr w:rsidR="000D17F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9C667" w14:textId="77777777" w:rsidR="005B2026" w:rsidRDefault="005B2026">
      <w:pPr>
        <w:spacing w:after="0" w:line="240" w:lineRule="auto"/>
      </w:pPr>
      <w:r>
        <w:separator/>
      </w:r>
    </w:p>
  </w:endnote>
  <w:endnote w:type="continuationSeparator" w:id="0">
    <w:p w14:paraId="1C0096AC" w14:textId="77777777" w:rsidR="005B2026" w:rsidRDefault="005B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0621" w14:textId="77777777" w:rsidR="005B2026" w:rsidRDefault="005B2026">
      <w:pPr>
        <w:spacing w:after="0" w:line="240" w:lineRule="auto"/>
      </w:pPr>
      <w:r>
        <w:separator/>
      </w:r>
    </w:p>
  </w:footnote>
  <w:footnote w:type="continuationSeparator" w:id="0">
    <w:p w14:paraId="6E8B5736" w14:textId="77777777" w:rsidR="005B2026" w:rsidRDefault="005B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32"/>
    <w:multiLevelType w:val="multilevel"/>
    <w:tmpl w:val="B644C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F068C3"/>
    <w:multiLevelType w:val="multilevel"/>
    <w:tmpl w:val="B60094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B455A6"/>
    <w:multiLevelType w:val="multilevel"/>
    <w:tmpl w:val="2B861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9946B9"/>
    <w:multiLevelType w:val="multilevel"/>
    <w:tmpl w:val="EFB47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2E29C6"/>
    <w:multiLevelType w:val="multilevel"/>
    <w:tmpl w:val="88EC4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4C3066"/>
    <w:multiLevelType w:val="multilevel"/>
    <w:tmpl w:val="03E00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6E6737"/>
    <w:multiLevelType w:val="multilevel"/>
    <w:tmpl w:val="CD0A6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6074DB"/>
    <w:multiLevelType w:val="multilevel"/>
    <w:tmpl w:val="A10CE2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D0A438C"/>
    <w:multiLevelType w:val="multilevel"/>
    <w:tmpl w:val="398AD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13948D6"/>
    <w:multiLevelType w:val="multilevel"/>
    <w:tmpl w:val="E3E2FE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BEA43E5"/>
    <w:multiLevelType w:val="multilevel"/>
    <w:tmpl w:val="C2A605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FF22EF7"/>
    <w:multiLevelType w:val="multilevel"/>
    <w:tmpl w:val="F762F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6243942">
    <w:abstractNumId w:val="1"/>
  </w:num>
  <w:num w:numId="2" w16cid:durableId="1384522158">
    <w:abstractNumId w:val="9"/>
  </w:num>
  <w:num w:numId="3" w16cid:durableId="1568955948">
    <w:abstractNumId w:val="7"/>
  </w:num>
  <w:num w:numId="4" w16cid:durableId="620308168">
    <w:abstractNumId w:val="4"/>
  </w:num>
  <w:num w:numId="5" w16cid:durableId="120615857">
    <w:abstractNumId w:val="6"/>
  </w:num>
  <w:num w:numId="6" w16cid:durableId="1281837282">
    <w:abstractNumId w:val="0"/>
  </w:num>
  <w:num w:numId="7" w16cid:durableId="793255823">
    <w:abstractNumId w:val="3"/>
  </w:num>
  <w:num w:numId="8" w16cid:durableId="1412778742">
    <w:abstractNumId w:val="11"/>
  </w:num>
  <w:num w:numId="9" w16cid:durableId="395858255">
    <w:abstractNumId w:val="8"/>
  </w:num>
  <w:num w:numId="10" w16cid:durableId="2039701489">
    <w:abstractNumId w:val="5"/>
  </w:num>
  <w:num w:numId="11" w16cid:durableId="1419861842">
    <w:abstractNumId w:val="2"/>
  </w:num>
  <w:num w:numId="12" w16cid:durableId="420487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7F5"/>
    <w:rsid w:val="000A0627"/>
    <w:rsid w:val="000A2416"/>
    <w:rsid w:val="000D17F5"/>
    <w:rsid w:val="00380B2C"/>
    <w:rsid w:val="005B2026"/>
    <w:rsid w:val="00B1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00E4C"/>
  <w15:docId w15:val="{3C5574BC-EE8B-4CA9-BFFE-FC09D1A7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06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06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06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06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606</Characters>
  <Application>Microsoft Office Word</Application>
  <DocSecurity>0</DocSecurity>
  <Lines>43</Lines>
  <Paragraphs>61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3</cp:revision>
  <dcterms:created xsi:type="dcterms:W3CDTF">2026-02-13T02:27:00Z</dcterms:created>
  <dcterms:modified xsi:type="dcterms:W3CDTF">2026-02-13T06:20:00Z</dcterms:modified>
</cp:coreProperties>
</file>