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7F24F" w14:textId="231D069E" w:rsidR="00DD25BE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各类远洋船舶突发状况应对的相似性与差异性分析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</w:rPr>
        <w:id w:val="15058607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1378D20" w14:textId="54AFF1CA" w:rsidR="00DD25BE" w:rsidRDefault="00DD25BE">
          <w:pPr>
            <w:pStyle w:val="TOC"/>
          </w:pPr>
          <w:r>
            <w:rPr>
              <w:lang w:val="zh-CN"/>
            </w:rPr>
            <w:t>目录</w:t>
          </w:r>
        </w:p>
        <w:p w14:paraId="4F6CE2C9" w14:textId="0FAC12D9" w:rsidR="00C90B04" w:rsidRDefault="00DD25BE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96013" w:history="1">
            <w:r w:rsidR="00C90B04" w:rsidRPr="00F54008">
              <w:rPr>
                <w:rStyle w:val="a3"/>
                <w:rFonts w:ascii="Arial" w:eastAsia="等线" w:hAnsi="Arial" w:cs="Arial"/>
                <w:b/>
                <w:noProof/>
              </w:rPr>
              <w:t>一、各类远洋船舶突发状况应对的相似性</w:t>
            </w:r>
            <w:r w:rsidR="00C90B04">
              <w:rPr>
                <w:noProof/>
                <w:webHidden/>
              </w:rPr>
              <w:tab/>
            </w:r>
            <w:r w:rsidR="00C90B04">
              <w:rPr>
                <w:noProof/>
                <w:webHidden/>
              </w:rPr>
              <w:fldChar w:fldCharType="begin"/>
            </w:r>
            <w:r w:rsidR="00C90B04">
              <w:rPr>
                <w:noProof/>
                <w:webHidden/>
              </w:rPr>
              <w:instrText xml:space="preserve"> PAGEREF _Toc221696013 \h </w:instrText>
            </w:r>
            <w:r w:rsidR="00C90B04">
              <w:rPr>
                <w:noProof/>
                <w:webHidden/>
              </w:rPr>
            </w:r>
            <w:r w:rsidR="00C90B04">
              <w:rPr>
                <w:noProof/>
                <w:webHidden/>
              </w:rPr>
              <w:fldChar w:fldCharType="separate"/>
            </w:r>
            <w:r w:rsidR="00C90B04">
              <w:rPr>
                <w:noProof/>
                <w:webHidden/>
              </w:rPr>
              <w:t>1</w:t>
            </w:r>
            <w:r w:rsidR="00C90B04">
              <w:rPr>
                <w:noProof/>
                <w:webHidden/>
              </w:rPr>
              <w:fldChar w:fldCharType="end"/>
            </w:r>
          </w:hyperlink>
        </w:p>
        <w:p w14:paraId="1F45255E" w14:textId="773716FD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14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（一）应急响应核心流程一致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753A7" w14:textId="381E5110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15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（二）基础应急保障体系通用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29B" w14:textId="122045CD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16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（三）共性突发状况应对逻辑相通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7DBFA" w14:textId="77F4A75B" w:rsidR="00C90B04" w:rsidRDefault="00C90B04">
          <w:pPr>
            <w:pStyle w:val="TOC2"/>
            <w:tabs>
              <w:tab w:val="right" w:leader="dot" w:pos="8295"/>
            </w:tabs>
            <w:ind w:left="440"/>
            <w:rPr>
              <w:noProof/>
            </w:rPr>
          </w:pPr>
          <w:hyperlink w:anchor="_Toc221696017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二、各类远洋船舶突发状况应对的差异性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0473" w14:textId="4EE53742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18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（一）集装箱船：聚焦货物固定与箱体风险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A88B8" w14:textId="09C1DC90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19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（二）散货船：侧重货舱稳定性与物料风险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BC5A0" w14:textId="7AFB5058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20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（三）客货船：优先保障人员安全与客舱秩序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493E" w14:textId="1DCE441E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21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（四）液化气船：严控泄漏与爆炸风险（高危危险品船舶）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9941" w14:textId="69695CFC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22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（五）油轮：聚焦油污防控与火灾爆炸风险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2244" w14:textId="32913432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23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（六）杂货船：适配货物多样性与装卸设备风险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4167" w14:textId="2817F8DC" w:rsidR="00C90B04" w:rsidRDefault="00C90B04">
          <w:pPr>
            <w:pStyle w:val="TOC3"/>
            <w:tabs>
              <w:tab w:val="right" w:leader="dot" w:pos="8295"/>
            </w:tabs>
            <w:ind w:left="880"/>
            <w:rPr>
              <w:noProof/>
            </w:rPr>
          </w:pPr>
          <w:hyperlink w:anchor="_Toc221696024" w:history="1">
            <w:r w:rsidRPr="00F54008">
              <w:rPr>
                <w:rStyle w:val="a3"/>
                <w:rFonts w:ascii="Arial" w:eastAsia="等线" w:hAnsi="Arial" w:cs="Arial"/>
                <w:b/>
                <w:noProof/>
              </w:rPr>
              <w:t>（七）滚装船：关注车辆移动与舱室通风风险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_Toc221696024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DE8F3" w14:textId="2897D6D3" w:rsidR="00DD25BE" w:rsidRDefault="00DD25BE">
          <w:r>
            <w:rPr>
              <w:b/>
              <w:bCs/>
              <w:lang w:val="zh-CN"/>
            </w:rPr>
            <w:fldChar w:fldCharType="end"/>
          </w:r>
        </w:p>
      </w:sdtContent>
    </w:sdt>
    <w:p w14:paraId="6E297A82" w14:textId="173E2180" w:rsidR="00AD0CB0" w:rsidRDefault="00AD0CB0">
      <w:pPr>
        <w:spacing w:before="480" w:after="480" w:line="288" w:lineRule="auto"/>
      </w:pPr>
    </w:p>
    <w:p w14:paraId="4877F47E" w14:textId="77777777" w:rsidR="008600DB" w:rsidRDefault="008600DB">
      <w:pPr>
        <w:spacing w:before="120" w:after="120" w:line="288" w:lineRule="auto"/>
        <w:rPr>
          <w:rFonts w:ascii="Arial" w:eastAsia="等线" w:hAnsi="Arial" w:cs="Arial"/>
        </w:rPr>
        <w:sectPr w:rsidR="008600DB" w:rsidSect="00DD25B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5" w:h="16840"/>
          <w:pgMar w:top="1440" w:right="1800" w:bottom="1440" w:left="1800" w:header="720" w:footer="720" w:gutter="0"/>
          <w:pgNumType w:start="1"/>
          <w:cols w:space="720"/>
          <w:docGrid w:linePitch="299"/>
        </w:sectPr>
      </w:pPr>
    </w:p>
    <w:p w14:paraId="484DACAF" w14:textId="77777777" w:rsidR="00AD0CB0" w:rsidRDefault="00000000">
      <w:pPr>
        <w:spacing w:before="120" w:after="120" w:line="288" w:lineRule="auto"/>
      </w:pPr>
      <w:bookmarkStart w:id="0" w:name="OLE_LINK1"/>
      <w:r>
        <w:rPr>
          <w:rFonts w:ascii="Arial" w:eastAsia="等线" w:hAnsi="Arial" w:cs="Arial"/>
        </w:rPr>
        <w:lastRenderedPageBreak/>
        <w:t>远洋船舶在航行中需直面复杂海洋环境、设备故障、人员突发情况等各类风险，不同类型船舶因船体结构、运载属性、功能定位的差异，突发状况应对逻辑存在显著分化，但核心应对原则与基础处置流程仍具备共通性。本文系统梳理集装箱船、散货船、客货船、液化气船、油轮、杂货船、滚装船的应急共性与差异化要点，为远洋船舶智能体的场景化适配、决策逻辑搭建及功能模块设计提供全面参考依据。</w:t>
      </w:r>
    </w:p>
    <w:p w14:paraId="66E69F4C" w14:textId="77777777" w:rsidR="00AD0CB0" w:rsidRDefault="00000000">
      <w:pPr>
        <w:spacing w:before="320" w:after="120" w:line="288" w:lineRule="auto"/>
        <w:outlineLvl w:val="1"/>
      </w:pPr>
      <w:bookmarkStart w:id="1" w:name="heading_0"/>
      <w:bookmarkStart w:id="2" w:name="_Toc221696013"/>
      <w:bookmarkEnd w:id="0"/>
      <w:r>
        <w:rPr>
          <w:rFonts w:ascii="Arial" w:eastAsia="等线" w:hAnsi="Arial" w:cs="Arial"/>
          <w:b/>
          <w:sz w:val="32"/>
        </w:rPr>
        <w:t>一、各类远洋船舶突发状况应对的相似性</w:t>
      </w:r>
      <w:bookmarkEnd w:id="1"/>
      <w:bookmarkEnd w:id="2"/>
    </w:p>
    <w:p w14:paraId="387A0BC3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无论船舶类型与运载属性如何，突发状况应对的核心目标均统一为保障船舶航行安全、船员及旅客生命安全、海洋生态环境安全，基础处置流程与核心指导原则保持一致，具体可归纳为以下三方面：</w:t>
      </w:r>
    </w:p>
    <w:p w14:paraId="3D2219EC" w14:textId="77777777" w:rsidR="00AD0CB0" w:rsidRDefault="00000000">
      <w:pPr>
        <w:spacing w:before="300" w:after="120" w:line="288" w:lineRule="auto"/>
        <w:outlineLvl w:val="2"/>
      </w:pPr>
      <w:bookmarkStart w:id="3" w:name="heading_1"/>
      <w:bookmarkStart w:id="4" w:name="_Toc221696014"/>
      <w:r>
        <w:rPr>
          <w:rFonts w:ascii="Arial" w:eastAsia="等线" w:hAnsi="Arial" w:cs="Arial"/>
          <w:b/>
          <w:sz w:val="30"/>
        </w:rPr>
        <w:t>（一）应急响应核心流程一致</w:t>
      </w:r>
      <w:bookmarkEnd w:id="3"/>
      <w:bookmarkEnd w:id="4"/>
    </w:p>
    <w:p w14:paraId="604943A8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所有远洋船舶均遵循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发现预警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评估研判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启动预案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执行处置</w:t>
      </w:r>
      <w:r>
        <w:rPr>
          <w:rFonts w:ascii="Arial" w:eastAsia="等线" w:hAnsi="Arial" w:cs="Arial"/>
        </w:rPr>
        <w:t>—</w:t>
      </w:r>
      <w:r>
        <w:rPr>
          <w:rFonts w:ascii="Arial" w:eastAsia="等线" w:hAnsi="Arial" w:cs="Arial"/>
        </w:rPr>
        <w:t>复盘优化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的标准化闭环流程，这一核心逻辑为智能体搭建基础应急框架提供了统一范式。在发现预警阶段，通过船舶传感器网络、船员定时巡查、气象导航系统等多渠道捕捉异常信号，涵盖设备故障报警、极端天气预警、火灾烟雾探测等各类场景；评估研判阶段，快速界定突发状况等级、影响范围及蔓延风险，明确是否对航行安全构成致命威胁；启动预案阶段，根据状况类型精准激活对应应急小组，如消防小组、医疗小组、堵漏小组等；执行处置阶段，严格按照预设预案开展规范化操作；复盘优化阶段，完整记录处置全过程，提炼问题并迭代完善应急预案。</w:t>
      </w:r>
    </w:p>
    <w:p w14:paraId="75B56476" w14:textId="77777777" w:rsidR="00AD0CB0" w:rsidRDefault="00000000">
      <w:pPr>
        <w:spacing w:before="300" w:after="120" w:line="288" w:lineRule="auto"/>
        <w:outlineLvl w:val="2"/>
      </w:pPr>
      <w:bookmarkStart w:id="5" w:name="heading_2"/>
      <w:bookmarkStart w:id="6" w:name="_Toc221696015"/>
      <w:r>
        <w:rPr>
          <w:rFonts w:ascii="Arial" w:eastAsia="等线" w:hAnsi="Arial" w:cs="Arial"/>
          <w:b/>
          <w:sz w:val="30"/>
        </w:rPr>
        <w:t>（二）基础应急保障体系通用</w:t>
      </w:r>
      <w:bookmarkEnd w:id="5"/>
      <w:bookmarkEnd w:id="6"/>
    </w:p>
    <w:p w14:paraId="4ADBFA4D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人员保障：所有船舶均配备基础医疗设备、应急通讯设备（</w:t>
      </w:r>
      <w:r>
        <w:rPr>
          <w:rFonts w:ascii="Arial" w:eastAsia="等线" w:hAnsi="Arial" w:cs="Arial"/>
        </w:rPr>
        <w:t>VHF</w:t>
      </w:r>
      <w:r>
        <w:rPr>
          <w:rFonts w:ascii="Arial" w:eastAsia="等线" w:hAnsi="Arial" w:cs="Arial"/>
        </w:rPr>
        <w:t>、卫星电话）、应急逃生设施（救生艇、救生筏、救生衣），应对人员受伤、落水、紧急撤离等场景的基础措施一致，智能体可预设通用人员应急处置逻辑（如医疗急救指引、撤离路线规划）。</w:t>
      </w:r>
    </w:p>
    <w:p w14:paraId="741E4A7D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设备保障：均配备消防系统（灭火器、消防栓、泡沫系统）、堵漏设备、应急发电设备、锚泊设备等基础应急设施，应对火灾、船体破损、断电等共性突发状况的设备操作逻辑相通。</w:t>
      </w:r>
    </w:p>
    <w:p w14:paraId="491C9A8A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合规性要求：各类船舶均需严格遵循</w:t>
      </w:r>
      <w:r>
        <w:rPr>
          <w:rFonts w:ascii="Arial" w:eastAsia="等线" w:hAnsi="Arial" w:cs="Arial"/>
        </w:rPr>
        <w:t>SOLAS</w:t>
      </w:r>
      <w:r>
        <w:rPr>
          <w:rFonts w:ascii="Arial" w:eastAsia="等线" w:hAnsi="Arial" w:cs="Arial"/>
        </w:rPr>
        <w:t>公约（国际海上人命安全公约）、</w:t>
      </w:r>
      <w:r>
        <w:rPr>
          <w:rFonts w:ascii="Arial" w:eastAsia="等线" w:hAnsi="Arial" w:cs="Arial"/>
        </w:rPr>
        <w:t>MARPOL</w:t>
      </w:r>
      <w:r>
        <w:rPr>
          <w:rFonts w:ascii="Arial" w:eastAsia="等线" w:hAnsi="Arial" w:cs="Arial"/>
        </w:rPr>
        <w:t>公约（国际防止船舶造成污染公约）等国际海事规则，应急处置全过程需满足最低合规标准，例如油污应急报告流程、人员应急训练频次、应急设备配置规范等。基于此，智能体可嵌入通用合规性校验模块，确保应急决策与操作不违反国际公约及行业规范。</w:t>
      </w:r>
    </w:p>
    <w:p w14:paraId="69618728" w14:textId="77777777" w:rsidR="00AD0CB0" w:rsidRDefault="00000000">
      <w:pPr>
        <w:spacing w:before="300" w:after="120" w:line="288" w:lineRule="auto"/>
        <w:outlineLvl w:val="2"/>
      </w:pPr>
      <w:bookmarkStart w:id="7" w:name="heading_3"/>
      <w:bookmarkStart w:id="8" w:name="_Toc221696016"/>
      <w:r>
        <w:rPr>
          <w:rFonts w:ascii="Arial" w:eastAsia="等线" w:hAnsi="Arial" w:cs="Arial"/>
          <w:b/>
          <w:sz w:val="30"/>
        </w:rPr>
        <w:t>（三）共性突发状况应对逻辑相通</w:t>
      </w:r>
      <w:bookmarkEnd w:id="7"/>
      <w:bookmarkEnd w:id="8"/>
    </w:p>
    <w:p w14:paraId="5D8B005E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>针对极端天气（台风、暴雨、巨浪）、船舶搁浅、触礁、人员突发疾病、通讯设备故障等共性突发状况，各类船舶的应对逻辑高度相通。例如遭遇极端天气时，均需及时调整航线规避风险、降低航速减少船体受力、加固船舶设备与运载货物、关闭非必要舱门及通风系统；人员突发疾病时，均需先由船员开展初步诊疗，同步通过卫星通讯联动岸基医疗支援，必要时申请紧急靠港或直升机救援；通讯设备故障时，立即启动备用通讯设备，优先保障与岸基指挥中心及周边船舶的通讯畅通，确保救援指令传递与信息交互无阻。</w:t>
      </w:r>
    </w:p>
    <w:p w14:paraId="3899F323" w14:textId="77777777" w:rsidR="00AD0CB0" w:rsidRDefault="00000000">
      <w:pPr>
        <w:spacing w:before="320" w:after="120" w:line="288" w:lineRule="auto"/>
        <w:outlineLvl w:val="1"/>
      </w:pPr>
      <w:bookmarkStart w:id="9" w:name="heading_4"/>
      <w:bookmarkStart w:id="10" w:name="_Toc221696017"/>
      <w:r>
        <w:rPr>
          <w:rFonts w:ascii="Arial" w:eastAsia="等线" w:hAnsi="Arial" w:cs="Arial"/>
          <w:b/>
          <w:sz w:val="32"/>
        </w:rPr>
        <w:t>二、各类远洋船舶突发状况应对的差异性</w:t>
      </w:r>
      <w:bookmarkEnd w:id="9"/>
      <w:bookmarkEnd w:id="10"/>
    </w:p>
    <w:p w14:paraId="05114927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各类船舶应急处置的差异性，核心源于运载货物特性（危险品、普通货物、旅客）、船体结构设计（开放式货舱、密闭储罐、多层舱室）及功能定位（纯货运、客货兼顾）的不同，进而导致突发状况类型、处置优先级、风险防控重点存在显著区别，具体分述如下：</w:t>
      </w:r>
    </w:p>
    <w:p w14:paraId="033022EE" w14:textId="77777777" w:rsidR="00AD0CB0" w:rsidRDefault="00000000">
      <w:pPr>
        <w:spacing w:before="300" w:after="120" w:line="288" w:lineRule="auto"/>
        <w:outlineLvl w:val="2"/>
      </w:pPr>
      <w:bookmarkStart w:id="11" w:name="heading_5"/>
      <w:bookmarkStart w:id="12" w:name="_Toc221696018"/>
      <w:r>
        <w:rPr>
          <w:rFonts w:ascii="Arial" w:eastAsia="等线" w:hAnsi="Arial" w:cs="Arial"/>
          <w:b/>
          <w:sz w:val="30"/>
        </w:rPr>
        <w:t>（一）集装箱船：聚焦货物固定与箱体风险</w:t>
      </w:r>
      <w:bookmarkEnd w:id="11"/>
      <w:bookmarkEnd w:id="12"/>
    </w:p>
    <w:p w14:paraId="68B8BC0E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集装箱船以运载标准化集装箱为核心，货物种类繁杂（含普通货物、危险品集装箱等），船体采用开放式货舱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甲板堆箱结构，其突发状况及应对逻辑均围绕集装箱管理展开，具体差异点如下：</w:t>
      </w:r>
    </w:p>
    <w:p w14:paraId="12135CC0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典型突发状况：集装箱移位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倒塌、危险品集装箱泄漏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自燃、箱体落水。</w:t>
      </w:r>
    </w:p>
    <w:p w14:paraId="0BD9FF4E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应对重点：针对集装箱移位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倒塌风险，航行中需实时监测绑扎强度，遇巨浪等恶劣海况时，及时调整航速与航向减少船体晃动，避免集装箱碰撞破损；若发生危险品集装箱泄漏，需先通过箱体标识确认危险品类型（易燃、腐蚀、有毒等），立即启动专用防护预案，隔离泄漏箱体并避免与其他箱体接触，易燃类危险品需严格管控火源，同时按</w:t>
      </w:r>
      <w:r>
        <w:rPr>
          <w:rFonts w:ascii="Arial" w:eastAsia="等线" w:hAnsi="Arial" w:cs="Arial"/>
        </w:rPr>
        <w:t>MARPOL</w:t>
      </w:r>
      <w:r>
        <w:rPr>
          <w:rFonts w:ascii="Arial" w:eastAsia="等线" w:hAnsi="Arial" w:cs="Arial"/>
        </w:rPr>
        <w:t>公约要求上报岸基，严禁随意排放泄漏物；若出现箱体落水情况，需精准记录落水位置并标记危险范围，避免影响后续航行，同步联系专业打捞机构，若为危险品箱体，需第一时间通报周边船舶及海事部门，防范二次风险。</w:t>
      </w:r>
    </w:p>
    <w:p w14:paraId="452406BD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智能体适配建议：嵌入集装箱绑扎强度监测模型、危险品集装箱信息数据库（关联应急处置方案），预设箱体移位预警算法（结合海况、航速数据）。</w:t>
      </w:r>
    </w:p>
    <w:p w14:paraId="12234B5E" w14:textId="77777777" w:rsidR="00AD0CB0" w:rsidRDefault="00000000">
      <w:pPr>
        <w:spacing w:before="300" w:after="120" w:line="288" w:lineRule="auto"/>
        <w:outlineLvl w:val="2"/>
      </w:pPr>
      <w:bookmarkStart w:id="13" w:name="heading_6"/>
      <w:bookmarkStart w:id="14" w:name="_Toc221696019"/>
      <w:r>
        <w:rPr>
          <w:rFonts w:ascii="Arial" w:eastAsia="等线" w:hAnsi="Arial" w:cs="Arial"/>
          <w:b/>
          <w:sz w:val="30"/>
        </w:rPr>
        <w:t>（二）散货船：侧重货舱稳定性与物料风险</w:t>
      </w:r>
      <w:bookmarkEnd w:id="13"/>
      <w:bookmarkEnd w:id="14"/>
    </w:p>
    <w:p w14:paraId="6F0F0C4B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散货船主要运载煤炭、矿石、粮食等散装物料，货舱分为密闭式与开放式两类，货物易受湿度、船体震动影响发生流动、结块，应急处置重点聚焦货舱稳定性与物料特性风险，具体如下：</w:t>
      </w:r>
    </w:p>
    <w:p w14:paraId="2F578D76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典型突发状况：货物流动（导致船舶倾斜）、货舱起火（如煤炭自燃）、货物结块堵塞卸货设备。</w:t>
      </w:r>
    </w:p>
    <w:p w14:paraId="4CDAB737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lastRenderedPageBreak/>
        <w:t xml:space="preserve">2.  </w:t>
      </w:r>
      <w:r>
        <w:rPr>
          <w:rFonts w:ascii="Arial" w:eastAsia="等线" w:hAnsi="Arial" w:cs="Arial"/>
        </w:rPr>
        <w:t>应对重点：货物流动易导致船舶倾斜失衡，航行中需定期监测货舱内物料状态，一旦出现倾斜迹象，立即通过调整压载水平衡船体，严禁急转向、急加速等加剧失衡的操作；煤炭等易燃散货发生自燃时，需迅速封闭货舱，通入惰性气体抑制燃烧反应，同时排查舱体是否存在破损，防止火势蔓延至机舱等核心区域；货物结块易堵塞卸货设备，处置时需使用专用破碎设备逐步清理，避免强行卸货造成设备损坏，同时实时监测货舱结构受力情况，防范舱体变形风险。</w:t>
      </w:r>
    </w:p>
    <w:p w14:paraId="7DB3A087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智能体适配建议：搭建货舱物料状态监测模块（湿度、温度、堆积密度），预设船舶倾斜平衡调节算法（关联压载水系统操作），嵌入惰性气体系统控制逻辑。</w:t>
      </w:r>
    </w:p>
    <w:p w14:paraId="6F225C4B" w14:textId="77777777" w:rsidR="00AD0CB0" w:rsidRDefault="00000000">
      <w:pPr>
        <w:spacing w:before="300" w:after="120" w:line="288" w:lineRule="auto"/>
        <w:outlineLvl w:val="2"/>
      </w:pPr>
      <w:bookmarkStart w:id="15" w:name="heading_7"/>
      <w:bookmarkStart w:id="16" w:name="_Toc221696020"/>
      <w:r>
        <w:rPr>
          <w:rFonts w:ascii="Arial" w:eastAsia="等线" w:hAnsi="Arial" w:cs="Arial"/>
          <w:b/>
          <w:sz w:val="30"/>
        </w:rPr>
        <w:t>（三）客货船：优先保障人员安全与客舱秩序</w:t>
      </w:r>
      <w:bookmarkEnd w:id="15"/>
      <w:bookmarkEnd w:id="16"/>
    </w:p>
    <w:p w14:paraId="143B8FD3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客货船兼具旅客运输与货物运输功能，船体包含客舱、货舱、公共区域等多元空间，人员密集（含船员与旅客），应急处置需坚守</w:t>
      </w:r>
      <w:r>
        <w:rPr>
          <w:rFonts w:ascii="Arial" w:eastAsia="等线" w:hAnsi="Arial" w:cs="Arial"/>
        </w:rPr>
        <w:t>“</w:t>
      </w:r>
      <w:r>
        <w:rPr>
          <w:rFonts w:ascii="Arial" w:eastAsia="等线" w:hAnsi="Arial" w:cs="Arial"/>
        </w:rPr>
        <w:t>人员安全优先</w:t>
      </w:r>
      <w:r>
        <w:rPr>
          <w:rFonts w:ascii="Arial" w:eastAsia="等线" w:hAnsi="Arial" w:cs="Arial"/>
        </w:rPr>
        <w:t>”</w:t>
      </w:r>
      <w:r>
        <w:rPr>
          <w:rFonts w:ascii="Arial" w:eastAsia="等线" w:hAnsi="Arial" w:cs="Arial"/>
        </w:rPr>
        <w:t>原则，兼顾旅客秩序维护与货物风险管控，具体差异点如下：</w:t>
      </w:r>
    </w:p>
    <w:p w14:paraId="4C095EC1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典型突发状况：旅客突发疾病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意外受伤、客舱火灾、旅客恐慌性拥挤、货物泄漏影响旅客区域。</w:t>
      </w:r>
    </w:p>
    <w:p w14:paraId="1E84E86F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应对重点：突发状况发生时，首要任务是保障人员安全，立即通过广播发布清晰通知，安抚旅客情绪避免恐慌性拥挤，组织船员引导旅客沿预设路线有序疏散，严格区分旅客与船员逃生通道，同时启用专用医疗舱室与急救资源开展医疗救援；客舱发生火灾时，优先关闭通风系统防止火势蔓延，选用适配室内场景的灭火设备，避免因灭火操作损坏客舱设施或产生有毒烟雾，同步快速疏散火灾区域周边旅客；若出现货物泄漏，需立即隔离货舱与客舱通道，阻止泄漏物扩散至旅客活动区域，若为有毒有害物质，及时为旅客发放防护用品并做好防护指引。</w:t>
      </w:r>
    </w:p>
    <w:p w14:paraId="6BD5A763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智能体适配建议：嵌入旅客疏散路线规划算法（结合客舱布局、人员密度）、应急广播话术模板（分场景适配，如火灾、医疗急救），关联旅客信息数据库（便于快速定位特殊旅客，如老人、儿童、病患）。</w:t>
      </w:r>
    </w:p>
    <w:p w14:paraId="7E838296" w14:textId="77777777" w:rsidR="00AD0CB0" w:rsidRDefault="00000000">
      <w:pPr>
        <w:spacing w:before="300" w:after="120" w:line="288" w:lineRule="auto"/>
        <w:outlineLvl w:val="2"/>
      </w:pPr>
      <w:bookmarkStart w:id="17" w:name="heading_8"/>
      <w:bookmarkStart w:id="18" w:name="_Toc221696021"/>
      <w:r>
        <w:rPr>
          <w:rFonts w:ascii="Arial" w:eastAsia="等线" w:hAnsi="Arial" w:cs="Arial"/>
          <w:b/>
          <w:sz w:val="30"/>
        </w:rPr>
        <w:t>（四）液化气船：严控泄漏与爆炸风险（高危危险品船舶）</w:t>
      </w:r>
      <w:bookmarkEnd w:id="17"/>
      <w:bookmarkEnd w:id="18"/>
    </w:p>
    <w:p w14:paraId="1635BDFD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液化气船（含</w:t>
      </w:r>
      <w:r>
        <w:rPr>
          <w:rFonts w:ascii="Arial" w:eastAsia="等线" w:hAnsi="Arial" w:cs="Arial"/>
        </w:rPr>
        <w:t>LPG</w:t>
      </w:r>
      <w:r>
        <w:rPr>
          <w:rFonts w:ascii="Arial" w:eastAsia="等线" w:hAnsi="Arial" w:cs="Arial"/>
        </w:rPr>
        <w:t>船、</w:t>
      </w:r>
      <w:r>
        <w:rPr>
          <w:rFonts w:ascii="Arial" w:eastAsia="等线" w:hAnsi="Arial" w:cs="Arial"/>
        </w:rPr>
        <w:t>LNG</w:t>
      </w:r>
      <w:r>
        <w:rPr>
          <w:rFonts w:ascii="Arial" w:eastAsia="等线" w:hAnsi="Arial" w:cs="Arial"/>
        </w:rPr>
        <w:t>船）专门运载液化石油气、液化天然气，货物具有易燃、易爆、低温的高危特性，船体配备专用压力储罐或低温储罐，应急处置对密封性、温度控制、火源隔离的要求极高，具体如下：</w:t>
      </w:r>
    </w:p>
    <w:p w14:paraId="26C65260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典型突发状况：储罐泄漏、低温冻伤、气体爆炸前兆、储罐压力异常。</w:t>
      </w:r>
    </w:p>
    <w:p w14:paraId="215300F2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应对重点：储罐泄漏是核心高危场景，需立即启动紧急封闭系统，关闭储罐阀门切断泄漏源，通入惰性气体稀释泄漏气体，同时通过高精度传感器实时监测周边气体浓度，划定危险禁区并严禁任何火源（含电气设备火花、静电），船员需穿戴专用低温防护装备与防毒面具开展处置；储罐压力异常时，及时启动泄压装置调节压力，</w:t>
      </w:r>
      <w:r>
        <w:rPr>
          <w:rFonts w:ascii="Arial" w:eastAsia="等线" w:hAnsi="Arial" w:cs="Arial"/>
        </w:rPr>
        <w:t>LNG</w:t>
      </w:r>
      <w:r>
        <w:rPr>
          <w:rFonts w:ascii="Arial" w:eastAsia="等线" w:hAnsi="Arial" w:cs="Arial"/>
        </w:rPr>
        <w:t>船</w:t>
      </w:r>
      <w:r>
        <w:rPr>
          <w:rFonts w:ascii="Arial" w:eastAsia="等线" w:hAnsi="Arial" w:cs="Arial"/>
        </w:rPr>
        <w:lastRenderedPageBreak/>
        <w:t>需重点维持低温储存环境，防范物料气化导致压力骤升，同步排查故障原因（如阀门故障、冷却系统失效）并快速修复；若监测到气体浓度接近爆炸极限，立即启动应急撤离预案，同时联动岸基专业救援团队，此类高危场景下船员自主处置权限有限，需依赖专业技术支持。</w:t>
      </w:r>
    </w:p>
    <w:p w14:paraId="0858161D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智能体适配建议：搭建高精度气体浓度、储罐压力、温度监测模型，预设惰性气体系统、泄压系统联动控制逻辑，嵌入危险品泄漏应急处置专家库（关联不同泄漏场景的操作步骤），设置岸基救援联动接口。</w:t>
      </w:r>
    </w:p>
    <w:p w14:paraId="365513FA" w14:textId="77777777" w:rsidR="00AD0CB0" w:rsidRDefault="00000000">
      <w:pPr>
        <w:spacing w:before="300" w:after="120" w:line="288" w:lineRule="auto"/>
        <w:outlineLvl w:val="2"/>
      </w:pPr>
      <w:bookmarkStart w:id="19" w:name="heading_9"/>
      <w:bookmarkStart w:id="20" w:name="_Toc221696022"/>
      <w:r>
        <w:rPr>
          <w:rFonts w:ascii="Arial" w:eastAsia="等线" w:hAnsi="Arial" w:cs="Arial"/>
          <w:b/>
          <w:sz w:val="30"/>
        </w:rPr>
        <w:t>（五）油轮：聚焦油污防控与火灾爆炸风险</w:t>
      </w:r>
      <w:bookmarkEnd w:id="19"/>
      <w:bookmarkEnd w:id="20"/>
    </w:p>
    <w:p w14:paraId="78EC358F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油轮运载原油、成品油等液态货物，船体配备专用油舱、输油管道及货油泵，货物具有易燃、易爆、易造成海洋污染的特性，应急处置需兼顾火灾防控与油污治理双重目标，具体差异点如下：</w:t>
      </w:r>
    </w:p>
    <w:p w14:paraId="18CFA3B1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典型突发状况：油舱泄漏（船体破损导致漏油）、输油管道破裂、油舱火灾、油污扩散。</w:t>
      </w:r>
    </w:p>
    <w:p w14:paraId="70C770C6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应对重点：发生油舱泄漏或输油管道破裂时，立即关闭对应油舱阀门与管道开关，启动围油栏阻挡油污扩散，使用吸油毡、环保型消油剂清理泄漏物，同时按</w:t>
      </w:r>
      <w:r>
        <w:rPr>
          <w:rFonts w:ascii="Arial" w:eastAsia="等线" w:hAnsi="Arial" w:cs="Arial"/>
        </w:rPr>
        <w:t>MARPOL</w:t>
      </w:r>
      <w:r>
        <w:rPr>
          <w:rFonts w:ascii="Arial" w:eastAsia="等线" w:hAnsi="Arial" w:cs="Arial"/>
        </w:rPr>
        <w:t>公约要求，向海事部门、岸基指挥中心上报漏油总量、扩散范围及处置进展；油舱火灾易引发爆炸，处置时需先隔离火灾区域，关闭通风系统，采用泡沫灭火系统覆盖火源（严禁用水直接灭火，避免油品飞溅加剧火势），同时对周边油舱进行冷却降温，防范火势蔓延；若因搁浅、触礁导致油舱破损，需及时调整压载水减少船体倾斜，同步联系专业清污船舶支援，最大限度降低海洋污染风险。</w:t>
      </w:r>
    </w:p>
    <w:p w14:paraId="2E3E53F7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智能体适配建议：嵌入油污扩散模拟模型（结合海流、风向数据），预设泡沫灭火系统、围油栏联动控制逻辑，关联油污清污方案数据库，设置漏油应急报告标准化模板。</w:t>
      </w:r>
    </w:p>
    <w:p w14:paraId="28280446" w14:textId="77777777" w:rsidR="00AD0CB0" w:rsidRDefault="00000000">
      <w:pPr>
        <w:spacing w:before="300" w:after="120" w:line="288" w:lineRule="auto"/>
        <w:outlineLvl w:val="2"/>
      </w:pPr>
      <w:bookmarkStart w:id="21" w:name="heading_10"/>
      <w:bookmarkStart w:id="22" w:name="_Toc221696023"/>
      <w:r>
        <w:rPr>
          <w:rFonts w:ascii="Arial" w:eastAsia="等线" w:hAnsi="Arial" w:cs="Arial"/>
          <w:b/>
          <w:sz w:val="30"/>
        </w:rPr>
        <w:t>（六）杂货船：适配货物多样性与装卸设备风险</w:t>
      </w:r>
      <w:bookmarkEnd w:id="21"/>
      <w:bookmarkEnd w:id="22"/>
    </w:p>
    <w:p w14:paraId="2238A73B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杂货船运载机械设备、木材、钢材、包装货物等非标准化货物，装载方式灵活（单件装载、捆装等），船体配备起重机、吊杆等装卸设备，应急状况多与货物装载管理及装卸设备故障相关，具体如下：</w:t>
      </w:r>
    </w:p>
    <w:p w14:paraId="727445F1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典型突发状况：装卸设备故障（起重机断裂、吊杆脱落）、货物捆绑松动、易碎货物破损、木材等易燃货物起火。</w:t>
      </w:r>
    </w:p>
    <w:p w14:paraId="71AC21A3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应对重点：装卸设备发生故障（如起重机断裂、吊杆脱落）时，立即停止装卸作业，排查故障类型（机械故障、电气故障），对脱落部件进行清理，避免影响船舶航行平衡，远洋航行中需提前储备常用备件，同时联系岸基维修团队提供远程指导；货物捆绑松动时，根据货物重量、形状选用适配绑扎材料重新加固，航行中定时巡查检查，防范</w:t>
      </w:r>
      <w:r>
        <w:rPr>
          <w:rFonts w:ascii="Arial" w:eastAsia="等线" w:hAnsi="Arial" w:cs="Arial"/>
        </w:rPr>
        <w:lastRenderedPageBreak/>
        <w:t>货物碰撞破损；木材等易燃货物起火时，针对性选用灭火设备（木材起火可用水、泡沫，机械设备起火需规避用水，防止设备损坏），同时隔离易燃货物与其他物料，阻断火势蔓延路径。</w:t>
      </w:r>
    </w:p>
    <w:p w14:paraId="73936A6A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智能体适配建议：搭建装卸设备故障诊断模型（关联设备运行参数、故障历史数据），预设不同类型货物的捆绑加固方案数据库，适配多样化货物应急处置需求。</w:t>
      </w:r>
    </w:p>
    <w:p w14:paraId="79665C9D" w14:textId="77777777" w:rsidR="00AD0CB0" w:rsidRDefault="00000000">
      <w:pPr>
        <w:spacing w:before="300" w:after="120" w:line="288" w:lineRule="auto"/>
        <w:outlineLvl w:val="2"/>
      </w:pPr>
      <w:bookmarkStart w:id="23" w:name="heading_11"/>
      <w:bookmarkStart w:id="24" w:name="_Toc221696024"/>
      <w:r>
        <w:rPr>
          <w:rFonts w:ascii="Arial" w:eastAsia="等线" w:hAnsi="Arial" w:cs="Arial"/>
          <w:b/>
          <w:sz w:val="30"/>
        </w:rPr>
        <w:t>（七）滚装船：关注车辆移动与舱室通风风险</w:t>
      </w:r>
      <w:bookmarkEnd w:id="23"/>
      <w:bookmarkEnd w:id="24"/>
    </w:p>
    <w:p w14:paraId="66FBF9D4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>滚装船主要运载汽车、货车、工程机械等车辆，船体采用多层开放式舱室设计，车辆可通过跳板直接驶入装卸，应急状况集中于车辆管理与舱室环境管控，具体差异点如下：</w:t>
      </w:r>
    </w:p>
    <w:p w14:paraId="6BAC3186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1.  </w:t>
      </w:r>
      <w:r>
        <w:rPr>
          <w:rFonts w:ascii="Arial" w:eastAsia="等线" w:hAnsi="Arial" w:cs="Arial"/>
        </w:rPr>
        <w:t>典型突发状况：车辆移位（航行中车辆滑动碰撞）、车辆燃油泄漏起火、舱室通风不良导致有毒气体积聚。</w:t>
      </w:r>
    </w:p>
    <w:p w14:paraId="47F4D704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2.  </w:t>
      </w:r>
      <w:r>
        <w:rPr>
          <w:rFonts w:ascii="Arial" w:eastAsia="等线" w:hAnsi="Arial" w:cs="Arial"/>
        </w:rPr>
        <w:t>应对重点：车辆移位风险需从源头防控，航行前确保所有车辆手刹拉紧、轮挡固定到位，遭遇海况波动时，实时监测舱室车辆状态，若出现移位迹象，及时调整航速减少船体晃动，必要时组织船员加固轮挡；车辆燃油泄漏起火时，立即关闭舱室通风系统，使用泡沫灭火系统覆盖火源，同步疏散周边车辆，排查燃油管道破裂位置并阻断泄漏，防止火势蔓延至其他舱室；舱室通风不良易导致车辆尾气、燃油泄漏气体积聚，处置时需启动强制通风系统排出有毒气体，船员穿戴防毒装备进入舱室排查，全程严禁火源进入舱室。</w:t>
      </w:r>
    </w:p>
    <w:p w14:paraId="16E99FAE" w14:textId="77777777" w:rsidR="00AD0CB0" w:rsidRDefault="00000000">
      <w:pPr>
        <w:spacing w:before="120" w:after="120" w:line="288" w:lineRule="auto"/>
      </w:pPr>
      <w:r>
        <w:rPr>
          <w:rFonts w:ascii="Arial" w:eastAsia="等线" w:hAnsi="Arial" w:cs="Arial"/>
        </w:rPr>
        <w:t xml:space="preserve">3.  </w:t>
      </w:r>
      <w:r>
        <w:rPr>
          <w:rFonts w:ascii="Arial" w:eastAsia="等线" w:hAnsi="Arial" w:cs="Arial"/>
        </w:rPr>
        <w:t>智能体适配建议：嵌入舱室车辆固定状态监测模块，预设通风系统与灭火系统联动逻辑，搭建有毒气体浓度预警模型（关联车辆运行状态、舱室通风参数）。</w:t>
      </w:r>
    </w:p>
    <w:p w14:paraId="5DF7B091" w14:textId="38CEB454" w:rsidR="004F49AD" w:rsidRPr="004F49AD" w:rsidRDefault="00C90B04" w:rsidP="004F49AD">
      <w:pPr>
        <w:spacing w:before="120" w:after="120" w:line="288" w:lineRule="auto"/>
        <w:rPr>
          <w:rFonts w:ascii="Arial" w:eastAsia="等线" w:hAnsi="Arial" w:cs="Arial"/>
          <w:b/>
          <w:sz w:val="30"/>
        </w:rPr>
      </w:pPr>
      <w:r>
        <w:rPr>
          <w:rFonts w:ascii="Arial" w:eastAsia="等线" w:hAnsi="Arial" w:cs="Arial" w:hint="eastAsia"/>
          <w:b/>
          <w:sz w:val="30"/>
        </w:rPr>
        <w:t>最后</w:t>
      </w:r>
    </w:p>
    <w:p w14:paraId="0FA0B318" w14:textId="77777777" w:rsidR="004F49AD" w:rsidRPr="004F49AD" w:rsidRDefault="004F49AD" w:rsidP="004F49AD">
      <w:pPr>
        <w:spacing w:before="120" w:after="120" w:line="288" w:lineRule="auto"/>
        <w:rPr>
          <w:b/>
          <w:bCs/>
        </w:rPr>
      </w:pPr>
      <w:r w:rsidRPr="004F49AD">
        <w:rPr>
          <w:b/>
          <w:bCs/>
        </w:rPr>
        <w:t>船体结构差异</w:t>
      </w:r>
    </w:p>
    <w:p w14:paraId="23036627" w14:textId="77777777" w:rsidR="004F49AD" w:rsidRPr="004F49AD" w:rsidRDefault="004F49AD" w:rsidP="004F49AD">
      <w:pPr>
        <w:numPr>
          <w:ilvl w:val="0"/>
          <w:numId w:val="2"/>
        </w:numPr>
        <w:spacing w:before="120" w:after="120" w:line="288" w:lineRule="auto"/>
      </w:pPr>
      <w:r w:rsidRPr="004F49AD">
        <w:rPr>
          <w:b/>
          <w:bCs/>
        </w:rPr>
        <w:t>单船体船</w:t>
      </w:r>
      <w:r w:rsidRPr="004F49AD">
        <w:t>：是最常见的船体结构形式，整个船体为一个整体，结构相对简单，建造难度和成本较低。适用于大多数普通运输船舶和小型船舶。</w:t>
      </w:r>
    </w:p>
    <w:p w14:paraId="5472B61E" w14:textId="77777777" w:rsidR="004F49AD" w:rsidRPr="004F49AD" w:rsidRDefault="004F49AD" w:rsidP="004F49AD">
      <w:pPr>
        <w:numPr>
          <w:ilvl w:val="0"/>
          <w:numId w:val="2"/>
        </w:numPr>
        <w:spacing w:before="120" w:after="120" w:line="288" w:lineRule="auto"/>
      </w:pPr>
      <w:r w:rsidRPr="004F49AD">
        <w:rPr>
          <w:b/>
          <w:bCs/>
        </w:rPr>
        <w:t>双体船和三体船</w:t>
      </w:r>
      <w:r w:rsidRPr="004F49AD">
        <w:t>：具有多个船体，稳定性好，甲板面积大。双体船由两个船体通过连接结构组成，三体船则由三个船体组成。这种结构的船舶在高速航行时具有较好的性能，常用于一些高速客船、海洋科考船等。</w:t>
      </w:r>
    </w:p>
    <w:p w14:paraId="4FC16F78" w14:textId="77777777" w:rsidR="004F49AD" w:rsidRPr="004F49AD" w:rsidRDefault="004F49AD" w:rsidP="004F49AD">
      <w:pPr>
        <w:spacing w:before="120" w:after="120" w:line="288" w:lineRule="auto"/>
        <w:rPr>
          <w:b/>
          <w:bCs/>
        </w:rPr>
      </w:pPr>
      <w:r w:rsidRPr="004F49AD">
        <w:rPr>
          <w:b/>
          <w:bCs/>
        </w:rPr>
        <w:t>动力系统差异</w:t>
      </w:r>
    </w:p>
    <w:p w14:paraId="4ADE2EE0" w14:textId="77777777" w:rsidR="004F49AD" w:rsidRPr="004F49AD" w:rsidRDefault="004F49AD" w:rsidP="004F49AD">
      <w:pPr>
        <w:numPr>
          <w:ilvl w:val="0"/>
          <w:numId w:val="3"/>
        </w:numPr>
        <w:spacing w:before="120" w:after="120" w:line="288" w:lineRule="auto"/>
      </w:pPr>
      <w:r w:rsidRPr="004F49AD">
        <w:rPr>
          <w:b/>
          <w:bCs/>
        </w:rPr>
        <w:t>蒸汽动力系统</w:t>
      </w:r>
      <w:r w:rsidRPr="004F49AD">
        <w:t>：历史悠久，过去常被大型船舶使用。通过燃烧燃料加热水产生蒸汽，推动蒸汽轮机做功来驱动船舶前进。但蒸汽动力系统效率相对较低，启动时间长，目前应用逐渐减少。</w:t>
      </w:r>
    </w:p>
    <w:p w14:paraId="48B930E0" w14:textId="77777777" w:rsidR="004F49AD" w:rsidRPr="004F49AD" w:rsidRDefault="004F49AD" w:rsidP="004F49AD">
      <w:pPr>
        <w:numPr>
          <w:ilvl w:val="0"/>
          <w:numId w:val="3"/>
        </w:numPr>
        <w:spacing w:before="120" w:after="120" w:line="288" w:lineRule="auto"/>
      </w:pPr>
      <w:r w:rsidRPr="004F49AD">
        <w:rPr>
          <w:b/>
          <w:bCs/>
        </w:rPr>
        <w:t>柴油动力系统</w:t>
      </w:r>
      <w:r w:rsidRPr="004F49AD">
        <w:t>：具有效率高、可靠性强、成本相对较低等优点，是目前应用最广泛的船舶动力系统。它通过柴油发动机燃烧柴油产生动力，广泛应用于各类</w:t>
      </w:r>
      <w:r w:rsidRPr="004F49AD">
        <w:lastRenderedPageBreak/>
        <w:t>运输船舶、工程船舶等。</w:t>
      </w:r>
    </w:p>
    <w:p w14:paraId="0394D1A1" w14:textId="77777777" w:rsidR="004F49AD" w:rsidRPr="004F49AD" w:rsidRDefault="004F49AD" w:rsidP="004F49AD">
      <w:pPr>
        <w:numPr>
          <w:ilvl w:val="0"/>
          <w:numId w:val="3"/>
        </w:numPr>
        <w:spacing w:before="120" w:after="120" w:line="288" w:lineRule="auto"/>
      </w:pPr>
      <w:r w:rsidRPr="004F49AD">
        <w:rPr>
          <w:b/>
          <w:bCs/>
        </w:rPr>
        <w:t>燃气动力系统</w:t>
      </w:r>
      <w:r w:rsidRPr="004F49AD">
        <w:t>：功率密度大、启动速度快，适用于对速度和机动性要求较高的船舶，如一些高性能军舰和快速客船。</w:t>
      </w:r>
    </w:p>
    <w:p w14:paraId="7F3AAF34" w14:textId="77777777" w:rsidR="004F49AD" w:rsidRPr="004F49AD" w:rsidRDefault="004F49AD" w:rsidP="004F49AD">
      <w:pPr>
        <w:numPr>
          <w:ilvl w:val="0"/>
          <w:numId w:val="3"/>
        </w:numPr>
        <w:spacing w:before="120" w:after="120" w:line="288" w:lineRule="auto"/>
      </w:pPr>
      <w:r w:rsidRPr="004F49AD">
        <w:rPr>
          <w:b/>
          <w:bCs/>
        </w:rPr>
        <w:t>电力推进系统</w:t>
      </w:r>
      <w:r w:rsidRPr="004F49AD">
        <w:t>：具有噪音低、振动小、操控性能好等优点。可以采用多种能源作为发电动力，如柴油发电机组、燃料电池等。常用于一些对环境要求较高或需要精确操控的船舶，如游轮、科考船等。</w:t>
      </w:r>
    </w:p>
    <w:p w14:paraId="0960540E" w14:textId="77777777" w:rsidR="004F49AD" w:rsidRPr="004F49AD" w:rsidRDefault="004F49AD" w:rsidP="004F49AD">
      <w:pPr>
        <w:spacing w:before="120" w:after="120" w:line="288" w:lineRule="auto"/>
        <w:rPr>
          <w:b/>
          <w:bCs/>
        </w:rPr>
      </w:pPr>
      <w:r w:rsidRPr="004F49AD">
        <w:rPr>
          <w:b/>
          <w:bCs/>
        </w:rPr>
        <w:t>性能参数差异</w:t>
      </w:r>
    </w:p>
    <w:p w14:paraId="4F8561CB" w14:textId="77777777" w:rsidR="004F49AD" w:rsidRPr="004F49AD" w:rsidRDefault="004F49AD" w:rsidP="004F49AD">
      <w:pPr>
        <w:numPr>
          <w:ilvl w:val="0"/>
          <w:numId w:val="4"/>
        </w:numPr>
        <w:spacing w:before="120" w:after="120" w:line="288" w:lineRule="auto"/>
      </w:pPr>
      <w:r w:rsidRPr="004F49AD">
        <w:rPr>
          <w:b/>
          <w:bCs/>
        </w:rPr>
        <w:t>航速</w:t>
      </w:r>
      <w:r w:rsidRPr="004F49AD">
        <w:t>：不同用途的船舶航速差异较大。集装箱船和高速客船等要求快速运输，航速通常较快，可达20 - 30节甚至更高；而散货船、油轮等大型运输船舶航速相对较慢，一般在12 - 20节左右。</w:t>
      </w:r>
    </w:p>
    <w:p w14:paraId="4B05983D" w14:textId="77777777" w:rsidR="004F49AD" w:rsidRPr="004F49AD" w:rsidRDefault="004F49AD" w:rsidP="004F49AD">
      <w:pPr>
        <w:numPr>
          <w:ilvl w:val="0"/>
          <w:numId w:val="4"/>
        </w:numPr>
        <w:spacing w:before="120" w:after="120" w:line="288" w:lineRule="auto"/>
      </w:pPr>
      <w:r w:rsidRPr="004F49AD">
        <w:rPr>
          <w:b/>
          <w:bCs/>
        </w:rPr>
        <w:t>续航能力</w:t>
      </w:r>
      <w:r w:rsidRPr="004F49AD">
        <w:t>：远洋运输船舶需要具备较长的续航能力，以满足跨洋航行的需求。它们通常配备较大的燃油舱和淡水舱，续航里程可达数千海里甚至上万海里；而一些近海作业船舶和小型船舶续航能力相对较短，一般在几百海里到一千多海里。</w:t>
      </w:r>
    </w:p>
    <w:p w14:paraId="30AE40CA" w14:textId="77777777" w:rsidR="004F49AD" w:rsidRPr="004F49AD" w:rsidRDefault="004F49AD" w:rsidP="004F49AD">
      <w:pPr>
        <w:numPr>
          <w:ilvl w:val="0"/>
          <w:numId w:val="4"/>
        </w:numPr>
        <w:spacing w:before="120" w:after="120" w:line="288" w:lineRule="auto"/>
      </w:pPr>
      <w:r w:rsidRPr="004F49AD">
        <w:rPr>
          <w:b/>
          <w:bCs/>
        </w:rPr>
        <w:t>载货量</w:t>
      </w:r>
      <w:r w:rsidRPr="004F49AD">
        <w:t>：大型集装箱船的载货量可达数万标准箱，超大型油轮的载重量可达数十万吨；而小型运输船舶和渔船的载货量则相对较少，可能仅有几吨到几百吨。</w:t>
      </w:r>
    </w:p>
    <w:p w14:paraId="734A7B24" w14:textId="77777777" w:rsidR="004F49AD" w:rsidRPr="004F49AD" w:rsidRDefault="004F49AD">
      <w:pPr>
        <w:spacing w:before="120" w:after="120" w:line="288" w:lineRule="auto"/>
      </w:pPr>
    </w:p>
    <w:sectPr w:rsidR="004F49AD" w:rsidRPr="004F49AD" w:rsidSect="00DD25BE">
      <w:pgSz w:w="11905" w:h="16840"/>
      <w:pgMar w:top="1440" w:right="1800" w:bottom="1440" w:left="180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70CF" w14:textId="77777777" w:rsidR="00AF0687" w:rsidRDefault="00AF0687">
      <w:pPr>
        <w:spacing w:after="0" w:line="240" w:lineRule="auto"/>
      </w:pPr>
      <w:r>
        <w:separator/>
      </w:r>
    </w:p>
  </w:endnote>
  <w:endnote w:type="continuationSeparator" w:id="0">
    <w:p w14:paraId="4DDDB233" w14:textId="77777777" w:rsidR="00AF0687" w:rsidRDefault="00AF0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14D9B" w14:textId="77777777" w:rsidR="00DD25BE" w:rsidRDefault="00DD25B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9711325"/>
      <w:docPartObj>
        <w:docPartGallery w:val="Page Numbers (Bottom of Page)"/>
        <w:docPartUnique/>
      </w:docPartObj>
    </w:sdtPr>
    <w:sdtContent>
      <w:p w14:paraId="16AD7DEE" w14:textId="4F951C6B" w:rsidR="008600DB" w:rsidRDefault="008600DB">
        <w:pPr>
          <w:pStyle w:val="a6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56941A5" w14:textId="688A24AA" w:rsidR="00AD0CB0" w:rsidRDefault="00AD0CB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69502" w14:textId="77777777" w:rsidR="00DD25BE" w:rsidRDefault="00DD25B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7FB15" w14:textId="77777777" w:rsidR="00AF0687" w:rsidRDefault="00AF0687">
      <w:pPr>
        <w:spacing w:after="0" w:line="240" w:lineRule="auto"/>
      </w:pPr>
      <w:r>
        <w:separator/>
      </w:r>
    </w:p>
  </w:footnote>
  <w:footnote w:type="continuationSeparator" w:id="0">
    <w:p w14:paraId="0D50F84B" w14:textId="77777777" w:rsidR="00AF0687" w:rsidRDefault="00AF0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D38D" w14:textId="77777777" w:rsidR="00DD25BE" w:rsidRDefault="00DD25B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39688" w14:textId="77777777" w:rsidR="00AD0CB0" w:rsidRDefault="00AD0CB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B4BFF" w14:textId="77777777" w:rsidR="00DD25BE" w:rsidRDefault="00DD25B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08AD"/>
    <w:multiLevelType w:val="multilevel"/>
    <w:tmpl w:val="FD7C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F1A71"/>
    <w:multiLevelType w:val="multilevel"/>
    <w:tmpl w:val="175A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06AEC"/>
    <w:multiLevelType w:val="multilevel"/>
    <w:tmpl w:val="667E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A011D1"/>
    <w:multiLevelType w:val="multilevel"/>
    <w:tmpl w:val="59D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640126">
    <w:abstractNumId w:val="0"/>
  </w:num>
  <w:num w:numId="2" w16cid:durableId="1101686948">
    <w:abstractNumId w:val="1"/>
  </w:num>
  <w:num w:numId="3" w16cid:durableId="1628730991">
    <w:abstractNumId w:val="2"/>
  </w:num>
  <w:num w:numId="4" w16cid:durableId="10436763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CB0"/>
    <w:rsid w:val="000D3BE8"/>
    <w:rsid w:val="00337108"/>
    <w:rsid w:val="00392C6A"/>
    <w:rsid w:val="003F3FDC"/>
    <w:rsid w:val="00494EEF"/>
    <w:rsid w:val="004F49AD"/>
    <w:rsid w:val="00786FBA"/>
    <w:rsid w:val="008600DB"/>
    <w:rsid w:val="00876162"/>
    <w:rsid w:val="00AD0CB0"/>
    <w:rsid w:val="00AF0687"/>
    <w:rsid w:val="00B20317"/>
    <w:rsid w:val="00B73FB7"/>
    <w:rsid w:val="00C90B04"/>
    <w:rsid w:val="00CD4C85"/>
    <w:rsid w:val="00CE76F5"/>
    <w:rsid w:val="00D200DA"/>
    <w:rsid w:val="00DD25BE"/>
    <w:rsid w:val="00DF4546"/>
    <w:rsid w:val="00F50A35"/>
    <w:rsid w:val="00F6269D"/>
    <w:rsid w:val="00F8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ACBB9"/>
  <w15:docId w15:val="{E4C1F980-E4AB-4B8A-8A65-1E5F3D7B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25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49A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25BE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DD25BE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DD25BE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DD25BE"/>
    <w:pPr>
      <w:ind w:leftChars="400" w:left="840"/>
    </w:pPr>
  </w:style>
  <w:style w:type="character" w:styleId="a3">
    <w:name w:val="Hyperlink"/>
    <w:basedOn w:val="a0"/>
    <w:uiPriority w:val="99"/>
    <w:unhideWhenUsed/>
    <w:rsid w:val="00DD25BE"/>
    <w:rPr>
      <w:color w:val="467886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25B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25B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25B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25BE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4F49AD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E87EF5-B661-4DC0-B201-9A9FFFACD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3242</Words>
  <Characters>3276</Characters>
  <Application>Microsoft Office Word</Application>
  <DocSecurity>0</DocSecurity>
  <Lines>117</Lines>
  <Paragraphs>91</Paragraphs>
  <ScaleCrop>false</ScaleCrop>
  <Company/>
  <LinksUpToDate>false</LinksUpToDate>
  <CharactersWithSpaces>6427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加盐 小说</cp:lastModifiedBy>
  <cp:revision>12</cp:revision>
  <dcterms:created xsi:type="dcterms:W3CDTF">2026-01-26T10:19:00Z</dcterms:created>
  <dcterms:modified xsi:type="dcterms:W3CDTF">2026-02-11T04:59:00Z</dcterms:modified>
</cp:coreProperties>
</file>