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before="240"/>
        <w:ind/>
        <w:jc w:val="both"/>
        <w:rPr>
          <w:sz w:val="24"/>
        </w:rPr>
      </w:pPr>
      <w:r>
        <w:rPr>
          <w:sz w:val="24"/>
        </w:rPr>
        <w:t xml:space="preserve">03/06/2026</w:t>
      </w:r>
      <w:r>
        <w:rPr>
          <w:sz w:val="24"/>
        </w:rPr>
      </w:r>
    </w:p>
    <w:p>
      <w:pPr>
        <w:pBdr/>
        <w:spacing/>
        <w:ind/>
        <w:jc w:val="center"/>
        <w:rPr>
          <w:sz w:val="24"/>
        </w:rPr>
      </w:pPr>
      <w:r>
        <w:rPr>
          <w:sz w:val="24"/>
        </w:rPr>
        <w:t xml:space="preserve">Etude de marché : </w:t>
      </w:r>
      <w:r>
        <w:rPr>
          <w:sz w:val="24"/>
        </w:rPr>
        <w:t xml:space="preserve">Infoscribe</w:t>
      </w:r>
      <w:r>
        <w:rPr>
          <w:sz w:val="24"/>
        </w:rPr>
        <w:t xml:space="preserve"> 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Parler des nouveaux trains de numérisation pour l’année 2026 avec deux lots sur trois avec </w:t>
      </w:r>
      <w:r>
        <w:rPr>
          <w:sz w:val="24"/>
        </w:rPr>
        <w:t xml:space="preserve">OCR et dernier lots sans OCR.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Fournisse </w:t>
      </w:r>
      <w:r>
        <w:rPr>
          <w:sz w:val="24"/>
        </w:rPr>
        <w:t xml:space="preserve">l’arborescence de travail à l’entreprise et se met d’accord sur la méthode de travail à suivre afin que chacun si retrouve.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Procédure de remplissage de la Dublin </w:t>
      </w:r>
      <w:r>
        <w:rPr>
          <w:sz w:val="24"/>
        </w:rPr>
        <w:t xml:space="preserve">Core</w:t>
      </w:r>
      <w:r>
        <w:rPr>
          <w:sz w:val="24"/>
        </w:rPr>
        <w:t xml:space="preserve"> + Procédure de la TDC.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Leur troisième lot a un cas particulier : format datant la 2</w:t>
      </w:r>
      <w:r>
        <w:rPr>
          <w:sz w:val="24"/>
          <w:vertAlign w:val="superscript"/>
        </w:rPr>
        <w:t xml:space="preserve">nd</w:t>
      </w:r>
      <w:r>
        <w:rPr>
          <w:sz w:val="24"/>
        </w:rPr>
        <w:t xml:space="preserve"> GM où il était </w:t>
      </w:r>
      <w:r>
        <w:rPr>
          <w:sz w:val="24"/>
        </w:rPr>
        <w:t xml:space="preserve">difficile d’avoir les sous pour avoir le même format.</w:t>
      </w:r>
      <w:r>
        <w:rPr>
          <w:sz w:val="24"/>
        </w:rPr>
      </w:r>
    </w:p>
    <w:p>
      <w:pPr>
        <w:pStyle w:val="672"/>
        <w:numPr>
          <w:ilvl w:val="0"/>
          <w:numId w:val="1"/>
        </w:numPr>
        <w:pBdr/>
        <w:spacing/>
        <w:ind/>
        <w:jc w:val="both"/>
        <w:rPr>
          <w:sz w:val="24"/>
        </w:rPr>
      </w:pPr>
      <w:r>
        <w:rPr>
          <w:sz w:val="24"/>
        </w:rPr>
        <w:t xml:space="preserve">Particulier de ce lot : un livre aura deux formats différents. Format A5 et A4. Demande à respecter le format des pages pour que cela ne dénature l’ouvrage.</w:t>
      </w:r>
      <w:r>
        <w:rPr>
          <w:sz w:val="24"/>
        </w:rPr>
      </w:r>
    </w:p>
    <w:p>
      <w:pPr>
        <w:pStyle w:val="672"/>
        <w:numPr>
          <w:ilvl w:val="1"/>
          <w:numId w:val="1"/>
        </w:numPr>
        <w:pBdr/>
        <w:spacing/>
        <w:ind/>
        <w:jc w:val="both"/>
        <w:rPr>
          <w:sz w:val="24"/>
        </w:rPr>
      </w:pPr>
      <w:r>
        <w:rPr>
          <w:sz w:val="24"/>
        </w:rPr>
        <w:t xml:space="preserve">Période où il était difficile de trouver du papier donc il a été optimisé le document.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Se met d’accord sur la colorimétrie. 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Demande de faire un test : 3 volumes pour trois trains. Délai : 6 jours ouvrés.</w:t>
      </w:r>
      <w:r>
        <w:rPr>
          <w:sz w:val="24"/>
        </w:rPr>
        <w:t xml:space="preserve"> Numérisation : 1 jour de numérisation, temps de récupération des images, temps en </w:t>
      </w:r>
      <w:r>
        <w:rPr>
          <w:sz w:val="24"/>
        </w:rPr>
        <w:t xml:space="preserve">prod</w:t>
      </w:r>
      <w:r>
        <w:rPr>
          <w:sz w:val="24"/>
        </w:rPr>
        <w:t xml:space="preserve">, OCR.</w:t>
      </w:r>
      <w:r>
        <w:rPr>
          <w:sz w:val="24"/>
        </w:rPr>
        <w:t xml:space="preserve"> </w:t>
      </w:r>
      <w:r>
        <w:rPr>
          <w:sz w:val="24"/>
        </w:rPr>
        <w:t xml:space="preserve">Finalement passer à 15 jours.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Se met d’accord sur le calendrier à suivre.</w:t>
      </w:r>
      <w:r>
        <w:rPr>
          <w:sz w:val="24"/>
        </w:rPr>
        <w:t xml:space="preserve"> Totalité des documents numérisés : 60 ouvrages.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Demande d’</w:t>
      </w:r>
      <w:r>
        <w:rPr>
          <w:sz w:val="24"/>
        </w:rPr>
        <w:t xml:space="preserve">Infoscribe</w:t>
      </w:r>
      <w:r>
        <w:rPr>
          <w:sz w:val="24"/>
        </w:rPr>
        <w:t xml:space="preserve"> : l’aval pour la qualité du scan afin d’avancer la numérisation pour leur permettre de gagner du temps.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Réunion de suivi = mis en place.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Isako</w:t>
      </w:r>
      <w:r>
        <w:rPr>
          <w:sz w:val="24"/>
        </w:rPr>
        <w:t xml:space="preserve"> : outil qui a été racheté par Cairn.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Essaye de comprendre ce que le prestataire est capable de faire.</w:t>
      </w:r>
      <w:r>
        <w:rPr>
          <w:sz w:val="24"/>
        </w:rPr>
      </w:r>
    </w:p>
    <w:p>
      <w:pPr>
        <w:pStyle w:val="672"/>
        <w:pBdr/>
        <w:spacing/>
        <w:ind/>
        <w:jc w:val="both"/>
        <w:rPr>
          <w:sz w:val="24"/>
        </w:rPr>
      </w:pPr>
      <w:r/>
      <w:bookmarkStart w:id="0" w:name="_GoBack"/>
      <w:r/>
      <w:bookmarkEnd w:id="0"/>
      <w:r/>
      <w:r>
        <w:rPr>
          <w:sz w:val="24"/>
        </w:rPr>
      </w:r>
    </w:p>
    <w:sectPr>
      <w:footnotePr/>
      <w:endnotePr/>
      <w:type w:val="nextPage"/>
      <w:pgSz w:h="16838" w:orient="portrait" w:w="11906"/>
      <w:pgMar w:top="1417" w:right="1417" w:bottom="1417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125CDB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 w:cs="Calibri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65A53D6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eastAsiaTheme="minorHAnsi" w:cstheme="minorBid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8"/>
    <w:next w:val="66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8"/>
    <w:next w:val="66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8"/>
    <w:next w:val="66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8"/>
    <w:next w:val="66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8"/>
    <w:next w:val="66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8"/>
    <w:next w:val="66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8"/>
    <w:next w:val="66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8"/>
    <w:next w:val="66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8"/>
    <w:next w:val="66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9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9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9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9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9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9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9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9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9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8"/>
    <w:next w:val="66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9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8"/>
    <w:next w:val="66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9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8"/>
    <w:next w:val="66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9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6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8"/>
    <w:next w:val="66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9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9"/>
    <w:link w:val="176"/>
    <w:uiPriority w:val="99"/>
    <w:pPr>
      <w:pBdr/>
      <w:spacing/>
      <w:ind/>
    </w:pPr>
  </w:style>
  <w:style w:type="paragraph" w:styleId="178">
    <w:name w:val="Footer"/>
    <w:basedOn w:val="66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9"/>
    <w:link w:val="178"/>
    <w:uiPriority w:val="99"/>
    <w:pPr>
      <w:pBdr/>
      <w:spacing/>
      <w:ind/>
    </w:pPr>
  </w:style>
  <w:style w:type="paragraph" w:styleId="180">
    <w:name w:val="Caption"/>
    <w:basedOn w:val="668"/>
    <w:next w:val="66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9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66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8"/>
    <w:next w:val="668"/>
    <w:uiPriority w:val="39"/>
    <w:unhideWhenUsed/>
    <w:pPr>
      <w:pBdr/>
      <w:spacing w:after="100"/>
      <w:ind/>
    </w:pPr>
  </w:style>
  <w:style w:type="paragraph" w:styleId="190">
    <w:name w:val="toc 2"/>
    <w:basedOn w:val="668"/>
    <w:next w:val="668"/>
    <w:uiPriority w:val="39"/>
    <w:unhideWhenUsed/>
    <w:pPr>
      <w:pBdr/>
      <w:spacing w:after="100"/>
      <w:ind w:left="220"/>
    </w:pPr>
  </w:style>
  <w:style w:type="paragraph" w:styleId="191">
    <w:name w:val="toc 3"/>
    <w:basedOn w:val="668"/>
    <w:next w:val="668"/>
    <w:uiPriority w:val="39"/>
    <w:unhideWhenUsed/>
    <w:pPr>
      <w:pBdr/>
      <w:spacing w:after="100"/>
      <w:ind w:left="440"/>
    </w:pPr>
  </w:style>
  <w:style w:type="paragraph" w:styleId="192">
    <w:name w:val="toc 4"/>
    <w:basedOn w:val="668"/>
    <w:next w:val="668"/>
    <w:uiPriority w:val="39"/>
    <w:unhideWhenUsed/>
    <w:pPr>
      <w:pBdr/>
      <w:spacing w:after="100"/>
      <w:ind w:left="660"/>
    </w:pPr>
  </w:style>
  <w:style w:type="paragraph" w:styleId="193">
    <w:name w:val="toc 5"/>
    <w:basedOn w:val="668"/>
    <w:next w:val="668"/>
    <w:uiPriority w:val="39"/>
    <w:unhideWhenUsed/>
    <w:pPr>
      <w:pBdr/>
      <w:spacing w:after="100"/>
      <w:ind w:left="880"/>
    </w:pPr>
  </w:style>
  <w:style w:type="paragraph" w:styleId="194">
    <w:name w:val="toc 6"/>
    <w:basedOn w:val="668"/>
    <w:next w:val="668"/>
    <w:uiPriority w:val="39"/>
    <w:unhideWhenUsed/>
    <w:pPr>
      <w:pBdr/>
      <w:spacing w:after="100"/>
      <w:ind w:left="1100"/>
    </w:pPr>
  </w:style>
  <w:style w:type="paragraph" w:styleId="195">
    <w:name w:val="toc 7"/>
    <w:basedOn w:val="668"/>
    <w:next w:val="668"/>
    <w:uiPriority w:val="39"/>
    <w:unhideWhenUsed/>
    <w:pPr>
      <w:pBdr/>
      <w:spacing w:after="100"/>
      <w:ind w:left="1320"/>
    </w:pPr>
  </w:style>
  <w:style w:type="paragraph" w:styleId="196">
    <w:name w:val="toc 8"/>
    <w:basedOn w:val="668"/>
    <w:next w:val="668"/>
    <w:uiPriority w:val="39"/>
    <w:unhideWhenUsed/>
    <w:pPr>
      <w:pBdr/>
      <w:spacing w:after="100"/>
      <w:ind w:left="1540"/>
    </w:pPr>
  </w:style>
  <w:style w:type="paragraph" w:styleId="197">
    <w:name w:val="toc 9"/>
    <w:basedOn w:val="668"/>
    <w:next w:val="66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9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8"/>
    <w:next w:val="668"/>
    <w:uiPriority w:val="99"/>
    <w:unhideWhenUsed/>
    <w:pPr>
      <w:pBdr/>
      <w:spacing w:after="0" w:afterAutospacing="0"/>
      <w:ind/>
    </w:pPr>
  </w:style>
  <w:style w:type="paragraph" w:styleId="668" w:default="1">
    <w:name w:val="Normal"/>
    <w:qFormat/>
    <w:pPr>
      <w:pBdr/>
      <w:spacing/>
      <w:ind/>
    </w:pPr>
  </w:style>
  <w:style w:type="character" w:styleId="669" w:default="1">
    <w:name w:val="Default Paragraph Font"/>
    <w:uiPriority w:val="1"/>
    <w:semiHidden/>
    <w:unhideWhenUsed/>
    <w:pPr>
      <w:pBdr/>
      <w:spacing/>
      <w:ind/>
    </w:pPr>
  </w:style>
  <w:style w:type="table" w:styleId="67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1" w:default="1">
    <w:name w:val="No List"/>
    <w:uiPriority w:val="99"/>
    <w:semiHidden/>
    <w:unhideWhenUsed/>
    <w:pPr>
      <w:pBdr/>
      <w:spacing/>
      <w:ind/>
    </w:pPr>
  </w:style>
  <w:style w:type="paragraph" w:styleId="672">
    <w:name w:val="List Paragraph"/>
    <w:basedOn w:val="668"/>
    <w:uiPriority w:val="34"/>
    <w:qFormat/>
    <w:pPr>
      <w:pBdr/>
      <w:spacing/>
      <w:ind w:left="720"/>
      <w:contextualSpacing w:val="true"/>
    </w:pPr>
  </w:style>
  <w:style w:type="character" w:styleId="673">
    <w:name w:val="Hyperlink"/>
    <w:basedOn w:val="669"/>
    <w:uiPriority w:val="99"/>
    <w:unhideWhenUsed/>
    <w:pPr>
      <w:pBdr/>
      <w:spacing/>
      <w:ind/>
    </w:pPr>
    <w:rPr>
      <w:color w:val="0563c1" w:themeColor="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onlyoffice/9.3.1.10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FSuszko</dc:creator>
  <cp:keywords/>
  <dc:description/>
  <cp:lastModifiedBy>fsuszko</cp:lastModifiedBy>
  <cp:revision>23</cp:revision>
  <dcterms:created xsi:type="dcterms:W3CDTF">2026-06-03T12:55:00Z</dcterms:created>
  <dcterms:modified xsi:type="dcterms:W3CDTF">2026-07-30T20:05:49Z</dcterms:modified>
</cp:coreProperties>
</file>