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sz w:val="24"/>
        </w:rPr>
      </w:pPr>
      <w:r/>
      <w:bookmarkStart w:id="0" w:name="_GoBack"/>
      <w:r/>
      <w:bookmarkEnd w:id="0"/>
      <w:r>
        <w:rPr>
          <w:sz w:val="24"/>
        </w:rPr>
        <w:t xml:space="preserve">Procédure de signalement des collections à numériser : le catalogage</w:t>
      </w:r>
      <w:r>
        <w:rPr>
          <w:sz w:val="24"/>
        </w:rPr>
      </w:r>
    </w:p>
    <w:p>
      <w:pPr>
        <w:pBdr/>
        <w:spacing/>
        <w:ind/>
        <w:jc w:val="center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En amont de la numérisation : </w:t>
      </w:r>
      <w:r>
        <w:rPr>
          <w:sz w:val="24"/>
        </w:rPr>
      </w:r>
    </w:p>
    <w:p>
      <w:pPr>
        <w:pBdr/>
        <w:spacing/>
        <w:ind w:firstLine="708"/>
        <w:jc w:val="both"/>
        <w:rPr>
          <w:sz w:val="24"/>
        </w:rPr>
      </w:pPr>
      <w:r>
        <w:rPr>
          <w:sz w:val="24"/>
        </w:rPr>
        <w:t xml:space="preserve">Vérification du document imprimé :</w:t>
      </w:r>
      <w:r>
        <w:rPr>
          <w:sz w:val="24"/>
        </w:rPr>
      </w:r>
    </w:p>
    <w:p>
      <w:pPr>
        <w:pStyle w:val="676"/>
        <w:numPr>
          <w:ilvl w:val="0"/>
          <w:numId w:val="4"/>
        </w:numPr>
        <w:pBdr/>
        <w:spacing/>
        <w:ind/>
        <w:jc w:val="both"/>
        <w:rPr>
          <w:sz w:val="24"/>
        </w:rPr>
      </w:pPr>
      <w:r>
        <w:rPr>
          <w:sz w:val="24"/>
        </w:rPr>
        <w:t xml:space="preserve">Vérifier la cote, le titre, l’équipement en lien</w:t>
      </w:r>
      <w:r>
        <w:rPr>
          <w:sz w:val="24"/>
        </w:rPr>
      </w:r>
    </w:p>
    <w:p>
      <w:pPr>
        <w:pStyle w:val="676"/>
        <w:numPr>
          <w:ilvl w:val="0"/>
          <w:numId w:val="4"/>
        </w:numPr>
        <w:pBdr/>
        <w:spacing/>
        <w:ind/>
        <w:jc w:val="both"/>
        <w:rPr>
          <w:sz w:val="24"/>
        </w:rPr>
      </w:pPr>
      <w:r>
        <w:rPr>
          <w:sz w:val="24"/>
        </w:rPr>
        <w:t xml:space="preserve">Code barre, Alma</w:t>
      </w:r>
      <w:r>
        <w:rPr>
          <w:sz w:val="24"/>
        </w:rPr>
      </w:r>
    </w:p>
    <w:p>
      <w:pPr>
        <w:pBdr/>
        <w:spacing/>
        <w:ind w:firstLine="708"/>
        <w:jc w:val="both"/>
        <w:rPr>
          <w:sz w:val="24"/>
        </w:rPr>
      </w:pPr>
      <w:r>
        <w:rPr>
          <w:sz w:val="24"/>
        </w:rPr>
        <w:t xml:space="preserve">Nettoyage et vérification des notices bibliographiques :</w:t>
      </w:r>
      <w:r>
        <w:rPr>
          <w:sz w:val="24"/>
        </w:rPr>
      </w:r>
    </w:p>
    <w:p>
      <w:pPr>
        <w:pStyle w:val="676"/>
        <w:numPr>
          <w:ilvl w:val="0"/>
          <w:numId w:val="4"/>
        </w:numPr>
        <w:pBdr/>
        <w:spacing/>
        <w:ind/>
        <w:jc w:val="both"/>
        <w:rPr>
          <w:sz w:val="24"/>
        </w:rPr>
      </w:pPr>
      <w:r>
        <w:rPr>
          <w:sz w:val="24"/>
        </w:rPr>
        <w:t xml:space="preserve">Ouverture de la notice dans </w:t>
      </w:r>
      <w:r>
        <w:rPr>
          <w:sz w:val="24"/>
        </w:rPr>
        <w:t xml:space="preserve">WinIBW</w:t>
      </w:r>
      <w:r>
        <w:rPr>
          <w:sz w:val="24"/>
        </w:rPr>
      </w:r>
    </w:p>
    <w:p>
      <w:pPr>
        <w:pStyle w:val="676"/>
        <w:numPr>
          <w:ilvl w:val="0"/>
          <w:numId w:val="4"/>
        </w:numPr>
        <w:pBdr/>
        <w:spacing/>
        <w:ind/>
        <w:jc w:val="both"/>
        <w:rPr>
          <w:sz w:val="24"/>
        </w:rPr>
      </w:pPr>
      <w:r>
        <w:rPr>
          <w:sz w:val="24"/>
        </w:rPr>
        <w:t xml:space="preserve">Vérification cohérence des données : pagination, nombre de volumes, titre, auteur, Dewey, zone 686, etc.</w:t>
      </w:r>
      <w:r>
        <w:rPr>
          <w:sz w:val="24"/>
        </w:rPr>
      </w:r>
    </w:p>
    <w:p>
      <w:pPr>
        <w:pBdr/>
        <w:spacing/>
        <w:ind w:firstLine="708"/>
        <w:jc w:val="both"/>
        <w:rPr>
          <w:sz w:val="24"/>
        </w:rPr>
      </w:pPr>
      <w:r>
        <w:rPr>
          <w:sz w:val="24"/>
        </w:rPr>
        <w:t xml:space="preserve">Indexation : </w:t>
      </w:r>
      <w:r>
        <w:rPr>
          <w:sz w:val="24"/>
        </w:rPr>
      </w:r>
    </w:p>
    <w:p>
      <w:pPr>
        <w:pStyle w:val="676"/>
        <w:numPr>
          <w:ilvl w:val="0"/>
          <w:numId w:val="4"/>
        </w:numPr>
        <w:pBdr/>
        <w:spacing/>
        <w:ind/>
        <w:jc w:val="both"/>
        <w:rPr>
          <w:sz w:val="24"/>
        </w:rPr>
      </w:pPr>
      <w:r>
        <w:rPr>
          <w:sz w:val="24"/>
        </w:rPr>
        <w:t xml:space="preserve">Indexation homogène pour l’ensemble du fonds</w:t>
      </w:r>
      <w:r>
        <w:rPr>
          <w:sz w:val="24"/>
        </w:rPr>
      </w:r>
    </w:p>
    <w:p>
      <w:pPr>
        <w:pStyle w:val="676"/>
        <w:numPr>
          <w:ilvl w:val="0"/>
          <w:numId w:val="4"/>
        </w:numPr>
        <w:pBdr/>
        <w:spacing/>
        <w:ind/>
        <w:jc w:val="both"/>
        <w:rPr>
          <w:sz w:val="24"/>
        </w:rPr>
      </w:pPr>
      <w:r>
        <w:rPr>
          <w:sz w:val="24"/>
        </w:rPr>
        <w:t xml:space="preserve">Ajouter si nécessaire une indexation plus spécifique au document individuel</w:t>
      </w:r>
      <w:r>
        <w:rPr>
          <w:sz w:val="24"/>
        </w:rPr>
      </w:r>
    </w:p>
    <w:p>
      <w:pPr>
        <w:pStyle w:val="676"/>
        <w:numPr>
          <w:ilvl w:val="0"/>
          <w:numId w:val="4"/>
        </w:numPr>
        <w:pBdr/>
        <w:spacing/>
        <w:ind/>
        <w:jc w:val="both"/>
        <w:rPr>
          <w:sz w:val="24"/>
        </w:rPr>
      </w:pPr>
      <w:r>
        <w:rPr>
          <w:sz w:val="24"/>
        </w:rPr>
        <w:t xml:space="preserve">Se référer à la liste d’éléments indispensables à inclure dans chaque notice bibliographique imprimée (disponible pour chaque fonds).</w:t>
      </w:r>
      <w:r>
        <w:rPr>
          <w:sz w:val="24"/>
        </w:rPr>
      </w:r>
    </w:p>
    <w:p>
      <w:pPr>
        <w:pBdr/>
        <w:spacing/>
        <w:ind w:firstLine="708"/>
        <w:jc w:val="both"/>
        <w:rPr>
          <w:sz w:val="24"/>
        </w:rPr>
      </w:pPr>
      <w:r>
        <w:rPr>
          <w:sz w:val="24"/>
        </w:rPr>
        <w:t xml:space="preserve">Bordereau de signalement :</w:t>
      </w:r>
      <w:r>
        <w:rPr>
          <w:sz w:val="24"/>
        </w:rPr>
      </w:r>
    </w:p>
    <w:p>
      <w:pPr>
        <w:pStyle w:val="676"/>
        <w:numPr>
          <w:ilvl w:val="0"/>
          <w:numId w:val="4"/>
        </w:numPr>
        <w:pBdr/>
        <w:spacing/>
        <w:ind/>
        <w:jc w:val="both"/>
        <w:rPr>
          <w:sz w:val="24"/>
        </w:rPr>
      </w:pPr>
      <w:r>
        <w:rPr>
          <w:sz w:val="24"/>
        </w:rPr>
        <w:t xml:space="preserve">Créer et remplir un bordereau au format .</w:t>
      </w:r>
      <w:r>
        <w:rPr>
          <w:sz w:val="24"/>
        </w:rPr>
        <w:t xml:space="preserve">docx</w:t>
      </w:r>
      <w:r>
        <w:rPr>
          <w:sz w:val="24"/>
        </w:rPr>
        <w:t xml:space="preserve">.</w:t>
      </w:r>
      <w:r>
        <w:rPr>
          <w:sz w:val="24"/>
        </w:rPr>
      </w:r>
    </w:p>
    <w:p>
      <w:pPr>
        <w:pStyle w:val="676"/>
        <w:numPr>
          <w:ilvl w:val="0"/>
          <w:numId w:val="4"/>
        </w:numPr>
        <w:pBdr/>
        <w:spacing/>
        <w:ind/>
        <w:jc w:val="both"/>
        <w:rPr>
          <w:sz w:val="24"/>
        </w:rPr>
      </w:pPr>
      <w:r>
        <w:rPr>
          <w:sz w:val="24"/>
        </w:rPr>
        <w:t xml:space="preserve">Respecter les normes des bibliographies françaises pour le cartouche.</w:t>
      </w:r>
      <w:r>
        <w:rPr>
          <w:sz w:val="24"/>
        </w:rPr>
      </w:r>
    </w:p>
    <w:p>
      <w:pPr>
        <w:pBdr/>
        <w:spacing/>
        <w:ind w:left="708"/>
        <w:jc w:val="both"/>
        <w:rPr>
          <w:sz w:val="24"/>
        </w:rPr>
      </w:pPr>
      <w:r>
        <w:rPr>
          <w:sz w:val="24"/>
        </w:rPr>
        <w:t xml:space="preserve">Index textuel (Dublin </w:t>
      </w:r>
      <w:r>
        <w:rPr>
          <w:sz w:val="24"/>
        </w:rPr>
        <w:t xml:space="preserve">Core</w:t>
      </w:r>
      <w:r>
        <w:rPr>
          <w:sz w:val="24"/>
        </w:rPr>
        <w:t xml:space="preserve">) :</w:t>
      </w:r>
      <w:r>
        <w:rPr>
          <w:sz w:val="24"/>
        </w:rPr>
      </w:r>
    </w:p>
    <w:p>
      <w:pPr>
        <w:pStyle w:val="676"/>
        <w:numPr>
          <w:ilvl w:val="0"/>
          <w:numId w:val="4"/>
        </w:numPr>
        <w:pBdr/>
        <w:spacing/>
        <w:ind/>
        <w:jc w:val="both"/>
        <w:rPr>
          <w:sz w:val="24"/>
        </w:rPr>
      </w:pPr>
      <w:r>
        <w:rPr>
          <w:sz w:val="24"/>
        </w:rPr>
        <w:t xml:space="preserve">Créer et compléter un fichier d’index au format .</w:t>
      </w:r>
      <w:r>
        <w:rPr>
          <w:sz w:val="24"/>
        </w:rPr>
        <w:t xml:space="preserve">txt</w:t>
      </w:r>
      <w:r>
        <w:rPr>
          <w:sz w:val="24"/>
        </w:rPr>
      </w:r>
    </w:p>
    <w:p>
      <w:pPr>
        <w:pBdr/>
        <w:spacing/>
        <w:ind w:left="708"/>
        <w:jc w:val="both"/>
        <w:rPr>
          <w:sz w:val="24"/>
        </w:rPr>
      </w:pPr>
      <w:r>
        <w:rPr>
          <w:sz w:val="24"/>
        </w:rPr>
        <w:t xml:space="preserve">Liste de suivi</w:t>
      </w:r>
      <w:r>
        <w:rPr>
          <w:sz w:val="24"/>
        </w:rPr>
      </w:r>
    </w:p>
    <w:p>
      <w:pPr>
        <w:pBdr/>
        <w:spacing/>
        <w:ind w:left="708"/>
        <w:jc w:val="both"/>
        <w:rPr>
          <w:sz w:val="24"/>
        </w:rPr>
      </w:pPr>
      <w:r>
        <w:rPr>
          <w:sz w:val="24"/>
        </w:rPr>
        <w:t xml:space="preserve">Contrôle qualité des données :</w:t>
      </w:r>
      <w:r>
        <w:rPr>
          <w:sz w:val="24"/>
        </w:rPr>
      </w:r>
    </w:p>
    <w:p>
      <w:pPr>
        <w:pStyle w:val="676"/>
        <w:numPr>
          <w:ilvl w:val="0"/>
          <w:numId w:val="4"/>
        </w:numPr>
        <w:pBdr/>
        <w:spacing/>
        <w:ind/>
        <w:jc w:val="both"/>
        <w:rPr>
          <w:sz w:val="24"/>
        </w:rPr>
      </w:pPr>
      <w:r>
        <w:rPr>
          <w:sz w:val="24"/>
        </w:rPr>
        <w:t xml:space="preserve">Vérifier la qualité des données pour la cohérence et la normalisation du catalogage.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Après la numérisation :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ab/>
        <w:t xml:space="preserve">Attribution d’un identifiant numérique pérenne : </w:t>
      </w:r>
      <w:r>
        <w:rPr>
          <w:sz w:val="24"/>
        </w:rPr>
      </w:r>
    </w:p>
    <w:p>
      <w:pPr>
        <w:pStyle w:val="676"/>
        <w:numPr>
          <w:ilvl w:val="0"/>
          <w:numId w:val="4"/>
        </w:numPr>
        <w:pBdr/>
        <w:spacing/>
        <w:ind/>
        <w:jc w:val="both"/>
        <w:rPr>
          <w:sz w:val="24"/>
        </w:rPr>
      </w:pPr>
      <w:r>
        <w:rPr>
          <w:sz w:val="24"/>
        </w:rPr>
        <w:t xml:space="preserve">Attribuer un ARK</w:t>
      </w:r>
      <w:r>
        <w:rPr>
          <w:sz w:val="24"/>
        </w:rPr>
      </w:r>
    </w:p>
    <w:p>
      <w:pPr>
        <w:pStyle w:val="676"/>
        <w:numPr>
          <w:ilvl w:val="1"/>
          <w:numId w:val="4"/>
        </w:numPr>
        <w:pBdr/>
        <w:spacing/>
        <w:ind/>
        <w:jc w:val="both"/>
        <w:rPr>
          <w:sz w:val="24"/>
        </w:rPr>
      </w:pPr>
      <w:r>
        <w:rPr>
          <w:sz w:val="24"/>
        </w:rPr>
        <w:t xml:space="preserve">Petite précision : fait automatiquement au moment de la mise en ligne. Pas besoin d’un identifiant pérenne dans le bordereau ni dans la Dublin </w:t>
      </w:r>
      <w:r>
        <w:rPr>
          <w:sz w:val="24"/>
        </w:rPr>
        <w:t xml:space="preserve">Core</w:t>
      </w:r>
      <w:r>
        <w:rPr>
          <w:sz w:val="24"/>
        </w:rPr>
        <w:t xml:space="preserve"> pour la mise en ligne du document. Dossiers : intéressant que ce numéro ARK sans inscrit dans la liste de suivi à l’issue du processus.</w:t>
      </w:r>
      <w:r>
        <w:rPr>
          <w:sz w:val="24"/>
        </w:rPr>
      </w:r>
    </w:p>
    <w:p>
      <w:pPr>
        <w:pStyle w:val="676"/>
        <w:numPr>
          <w:ilvl w:val="0"/>
          <w:numId w:val="4"/>
        </w:numPr>
        <w:pBdr/>
        <w:spacing/>
        <w:ind/>
        <w:jc w:val="both"/>
        <w:rPr>
          <w:sz w:val="24"/>
        </w:rPr>
      </w:pPr>
      <w:r>
        <w:rPr>
          <w:sz w:val="24"/>
        </w:rPr>
        <w:t xml:space="preserve">Compléter le bordereau et la Dublin </w:t>
      </w:r>
      <w:r>
        <w:rPr>
          <w:sz w:val="24"/>
        </w:rPr>
        <w:t xml:space="preserve">Core</w:t>
      </w:r>
      <w:r>
        <w:rPr>
          <w:sz w:val="24"/>
        </w:rPr>
        <w:t xml:space="preserve"> avec le lien pérenne.</w:t>
      </w:r>
      <w:r>
        <w:rPr>
          <w:sz w:val="24"/>
        </w:rPr>
      </w:r>
    </w:p>
    <w:p>
      <w:pPr>
        <w:pStyle w:val="676"/>
        <w:numPr>
          <w:ilvl w:val="0"/>
          <w:numId w:val="4"/>
        </w:numPr>
        <w:pBdr/>
        <w:spacing/>
        <w:ind/>
        <w:jc w:val="both"/>
        <w:rPr>
          <w:sz w:val="24"/>
        </w:rPr>
      </w:pPr>
      <w:r>
        <w:rPr>
          <w:sz w:val="24"/>
        </w:rPr>
        <w:t xml:space="preserve">Possibilité d’utiliser un DOI pour l’identification et la citation académique. </w:t>
      </w:r>
      <w:r>
        <w:rPr>
          <w:sz w:val="24"/>
        </w:rPr>
      </w:r>
    </w:p>
    <w:p>
      <w:pPr>
        <w:pBdr/>
        <w:spacing/>
        <w:ind w:firstLine="708"/>
        <w:jc w:val="both"/>
        <w:rPr>
          <w:sz w:val="24"/>
        </w:rPr>
      </w:pPr>
      <w:r>
        <w:rPr>
          <w:sz w:val="24"/>
        </w:rPr>
        <w:t xml:space="preserve">Création de la notice numérique :</w:t>
      </w:r>
      <w:r>
        <w:rPr>
          <w:sz w:val="24"/>
        </w:rPr>
      </w:r>
    </w:p>
    <w:p>
      <w:pPr>
        <w:pStyle w:val="676"/>
        <w:numPr>
          <w:ilvl w:val="0"/>
          <w:numId w:val="4"/>
        </w:numPr>
        <w:pBdr/>
        <w:spacing/>
        <w:ind/>
        <w:jc w:val="both"/>
        <w:rPr>
          <w:sz w:val="28"/>
        </w:rPr>
      </w:pPr>
      <w:r>
        <w:rPr>
          <w:sz w:val="24"/>
        </w:rPr>
        <w:t xml:space="preserve">Installer le script </w:t>
      </w:r>
      <w:r>
        <w:rPr>
          <w:sz w:val="24"/>
        </w:rPr>
        <w:t xml:space="preserve">« </w:t>
      </w:r>
      <w:r>
        <w:rPr>
          <w:sz w:val="24"/>
        </w:rPr>
        <w:t xml:space="preserve">transfoMonoImpMonoElecPatrim</w:t>
      </w:r>
      <w:r>
        <w:rPr>
          <w:sz w:val="24"/>
        </w:rPr>
        <w:t xml:space="preserve"> » dans </w:t>
      </w:r>
      <w:r>
        <w:rPr>
          <w:sz w:val="24"/>
        </w:rPr>
        <w:t xml:space="preserve">WinIBW</w:t>
      </w:r>
      <w:r>
        <w:rPr>
          <w:sz w:val="28"/>
        </w:rPr>
      </w:r>
    </w:p>
    <w:p>
      <w:pPr>
        <w:pStyle w:val="676"/>
        <w:numPr>
          <w:ilvl w:val="0"/>
          <w:numId w:val="4"/>
        </w:numPr>
        <w:pBdr/>
        <w:spacing/>
        <w:ind/>
        <w:jc w:val="both"/>
        <w:rPr>
          <w:sz w:val="28"/>
        </w:rPr>
      </w:pPr>
      <w:r>
        <w:rPr>
          <w:sz w:val="24"/>
        </w:rPr>
        <w:t xml:space="preserve">Depuis la notice de la monographie imprimée, lancer le script pour créer la notice électronique.</w:t>
      </w:r>
      <w:r>
        <w:rPr>
          <w:sz w:val="28"/>
        </w:rPr>
      </w:r>
    </w:p>
    <w:p>
      <w:pPr>
        <w:pStyle w:val="676"/>
        <w:numPr>
          <w:ilvl w:val="0"/>
          <w:numId w:val="4"/>
        </w:numPr>
        <w:pBdr/>
        <w:spacing/>
        <w:ind/>
        <w:jc w:val="both"/>
        <w:rPr>
          <w:sz w:val="28"/>
        </w:rPr>
      </w:pPr>
      <w:r>
        <w:rPr>
          <w:sz w:val="24"/>
        </w:rPr>
        <w:t xml:space="preserve">Zones de liaison entre les deux notices sont automatisées.</w:t>
      </w:r>
      <w:r>
        <w:rPr>
          <w:sz w:val="28"/>
        </w:rPr>
      </w:r>
    </w:p>
    <w:p>
      <w:pPr>
        <w:pStyle w:val="676"/>
        <w:numPr>
          <w:ilvl w:val="0"/>
          <w:numId w:val="4"/>
        </w:numPr>
        <w:pBdr/>
        <w:spacing/>
        <w:ind/>
        <w:jc w:val="both"/>
        <w:rPr>
          <w:sz w:val="28"/>
        </w:rPr>
      </w:pPr>
      <w:r>
        <w:rPr>
          <w:sz w:val="24"/>
        </w:rPr>
        <w:t xml:space="preserve">Veiller à une rédaction homogène pour l’ensemble du fonds </w:t>
      </w:r>
      <w:r>
        <w:rPr>
          <w:sz w:val="28"/>
        </w:rPr>
      </w:r>
    </w:p>
    <w:p>
      <w:pPr>
        <w:pStyle w:val="676"/>
        <w:numPr>
          <w:ilvl w:val="0"/>
          <w:numId w:val="4"/>
        </w:numPr>
        <w:pBdr/>
        <w:spacing/>
        <w:ind/>
        <w:jc w:val="both"/>
        <w:rPr>
          <w:sz w:val="28"/>
        </w:rPr>
      </w:pPr>
      <w:r>
        <w:rPr>
          <w:sz w:val="24"/>
        </w:rPr>
        <w:t xml:space="preserve">Adapter les zones en fonction des spécificités du document.</w:t>
      </w:r>
      <w:r>
        <w:rPr>
          <w:sz w:val="28"/>
        </w:rPr>
      </w:r>
    </w:p>
    <w:p>
      <w:pPr>
        <w:pStyle w:val="676"/>
        <w:numPr>
          <w:ilvl w:val="1"/>
          <w:numId w:val="4"/>
        </w:numPr>
        <w:pBdr/>
        <w:spacing/>
        <w:ind/>
        <w:jc w:val="both"/>
        <w:rPr>
          <w:sz w:val="28"/>
        </w:rPr>
      </w:pPr>
      <w:r>
        <w:rPr>
          <w:sz w:val="24"/>
        </w:rPr>
        <w:t xml:space="preserve">Ajout d’une zone portant un numéro de numérisation fondé sur le premier code barre </w:t>
      </w:r>
      <w:r>
        <w:rPr>
          <w:sz w:val="24"/>
        </w:rPr>
        <w:t xml:space="preserve">Num</w:t>
      </w:r>
      <w:r>
        <w:rPr>
          <w:sz w:val="24"/>
        </w:rPr>
        <w:t xml:space="preserve">, sous réserve de vérification de l’adaptabilité au numéro d’étiquette RFID.</w:t>
      </w:r>
      <w:r>
        <w:rPr>
          <w:sz w:val="28"/>
        </w:rPr>
      </w:r>
    </w:p>
    <w:p>
      <w:pPr>
        <w:pStyle w:val="676"/>
        <w:numPr>
          <w:ilvl w:val="0"/>
          <w:numId w:val="4"/>
        </w:numPr>
        <w:pBdr/>
        <w:spacing/>
        <w:ind/>
        <w:jc w:val="both"/>
        <w:rPr>
          <w:sz w:val="28"/>
        </w:rPr>
      </w:pPr>
      <w:r>
        <w:rPr>
          <w:sz w:val="24"/>
        </w:rPr>
        <w:t xml:space="preserve">Liste d’éléments indispensable liées à la version numérique : format de consultation (PDF, JPEG, </w:t>
      </w:r>
      <w:r>
        <w:rPr>
          <w:sz w:val="24"/>
        </w:rPr>
        <w:t xml:space="preserve">etc</w:t>
      </w:r>
      <w:r>
        <w:rPr>
          <w:sz w:val="24"/>
        </w:rPr>
        <w:t xml:space="preserve">), qualité de la numérisation (résolution, niveau d’OCR, etc.), conditions d’accessibilité et de diffusion (accès libre, restreint, mention de droit, etc.)</w:t>
      </w:r>
      <w:r>
        <w:rPr>
          <w:sz w:val="28"/>
        </w:rPr>
      </w:r>
    </w:p>
    <w:p>
      <w:pPr>
        <w:pBdr/>
        <w:spacing/>
        <w:ind w:left="708"/>
        <w:jc w:val="both"/>
        <w:rPr>
          <w:sz w:val="24"/>
        </w:rPr>
      </w:pPr>
      <w:r>
        <w:rPr>
          <w:sz w:val="24"/>
        </w:rPr>
        <w:t xml:space="preserve">Création d’une </w:t>
      </w:r>
      <w:r>
        <w:rPr>
          <w:sz w:val="24"/>
        </w:rPr>
        <w:t xml:space="preserve">holding</w:t>
      </w:r>
      <w:r>
        <w:rPr>
          <w:sz w:val="24"/>
        </w:rPr>
        <w:t xml:space="preserve"> / notice </w:t>
      </w:r>
      <w:r>
        <w:rPr>
          <w:sz w:val="24"/>
        </w:rPr>
        <w:t xml:space="preserve">Ebook</w:t>
      </w:r>
      <w:r>
        <w:rPr>
          <w:sz w:val="24"/>
        </w:rPr>
        <w:t xml:space="preserve"> dans Alma</w:t>
      </w:r>
      <w:r>
        <w:rPr>
          <w:sz w:val="24"/>
        </w:rPr>
      </w:r>
    </w:p>
    <w:p>
      <w:pPr>
        <w:pBdr/>
        <w:spacing/>
        <w:ind/>
        <w:jc w:val="center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/>
        <w:ind/>
        <w:jc w:val="center"/>
        <w:rPr>
          <w:sz w:val="24"/>
        </w:rPr>
      </w:pPr>
      <w:r>
        <w:rPr>
          <w:sz w:val="24"/>
        </w:rPr>
        <w:t xml:space="preserve">Indexation </w:t>
      </w:r>
      <w:r>
        <w:rPr>
          <w:sz w:val="24"/>
        </w:rPr>
        <w:t xml:space="preserve">Hauville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Documents utilisés : </w:t>
      </w:r>
      <w:r>
        <w:rPr>
          <w:sz w:val="24"/>
        </w:rPr>
      </w:r>
    </w:p>
    <w:p>
      <w:pPr>
        <w:pStyle w:val="676"/>
        <w:numPr>
          <w:ilvl w:val="0"/>
          <w:numId w:val="1"/>
        </w:numPr>
        <w:pBdr/>
        <w:spacing/>
        <w:ind/>
        <w:rPr>
          <w:sz w:val="24"/>
        </w:rPr>
      </w:pPr>
      <w:r>
        <w:rPr>
          <w:sz w:val="24"/>
        </w:rPr>
        <w:t xml:space="preserve">2012_Num_Indexation_methode_FH</w:t>
      </w:r>
      <w:r>
        <w:rPr>
          <w:sz w:val="24"/>
        </w:rPr>
      </w:r>
    </w:p>
    <w:p>
      <w:pPr>
        <w:pStyle w:val="676"/>
        <w:numPr>
          <w:ilvl w:val="0"/>
          <w:numId w:val="1"/>
        </w:numPr>
        <w:pBdr/>
        <w:spacing/>
        <w:ind/>
        <w:rPr>
          <w:sz w:val="24"/>
        </w:rPr>
      </w:pPr>
      <w:r>
        <w:rPr>
          <w:sz w:val="24"/>
        </w:rPr>
        <w:t xml:space="preserve">2013_Num_Indexation_manuel_FH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Si j’ai bien compris la méthode d’indexation.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Commence par une analyse documentaire : à partir du titre, des </w:t>
      </w:r>
      <w:r>
        <w:rPr>
          <w:sz w:val="24"/>
        </w:rPr>
        <w:t xml:space="preserve">tdm</w:t>
      </w:r>
      <w:r>
        <w:rPr>
          <w:sz w:val="24"/>
        </w:rPr>
        <w:t xml:space="preserve"> et de la 4</w:t>
      </w:r>
      <w:r>
        <w:rPr>
          <w:sz w:val="24"/>
          <w:vertAlign w:val="superscript"/>
        </w:rPr>
        <w:t xml:space="preserve">e</w:t>
      </w:r>
      <w:r>
        <w:rPr>
          <w:sz w:val="24"/>
        </w:rPr>
        <w:t xml:space="preserve"> de couverture, identifier les principaux thèmes de l’ouvrage.</w:t>
      </w:r>
      <w:r>
        <w:rPr>
          <w:sz w:val="24"/>
        </w:rPr>
      </w:r>
    </w:p>
    <w:p>
      <w:pPr>
        <w:pStyle w:val="676"/>
        <w:numPr>
          <w:ilvl w:val="0"/>
          <w:numId w:val="2"/>
        </w:numPr>
        <w:pBdr/>
        <w:spacing/>
        <w:ind/>
        <w:rPr>
          <w:sz w:val="24"/>
        </w:rPr>
      </w:pPr>
      <w:r>
        <w:rPr>
          <w:sz w:val="24"/>
        </w:rPr>
        <w:t xml:space="preserve">Si un ouvrage contient plusieurs volumes. Chaque volume a une indexation propre.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Ensuite, transaction en langage documentaire : trouver la traduction des mots-clés en langage RAMEAU.</w:t>
      </w:r>
      <w:r>
        <w:rPr>
          <w:sz w:val="24"/>
        </w:rPr>
      </w:r>
    </w:p>
    <w:p>
      <w:pPr>
        <w:pStyle w:val="676"/>
        <w:numPr>
          <w:ilvl w:val="0"/>
          <w:numId w:val="2"/>
        </w:numPr>
        <w:pBdr/>
        <w:spacing/>
        <w:ind/>
        <w:rPr>
          <w:sz w:val="24"/>
        </w:rPr>
      </w:pPr>
      <w:r>
        <w:rPr>
          <w:sz w:val="24"/>
        </w:rPr>
        <w:t xml:space="preserve">Si le mot-clé utilisé dans le langage RAMEAU on le prend tel quel mais si ce n’est pas le cas doit être créer dans la liste Cujas. (</w:t>
      </w:r>
      <w:r>
        <w:rPr>
          <w:sz w:val="24"/>
        </w:rPr>
        <w:t xml:space="preserve">s’appuie</w:t>
      </w:r>
      <w:r>
        <w:rPr>
          <w:sz w:val="24"/>
        </w:rPr>
        <w:t xml:space="preserve"> sur une forme normalisée qui est la plus courante comme </w:t>
      </w:r>
      <w:r>
        <w:rPr>
          <w:sz w:val="24"/>
        </w:rPr>
        <w:t xml:space="preserve">Wikipedia</w:t>
      </w:r>
      <w:r>
        <w:rPr>
          <w:sz w:val="24"/>
        </w:rPr>
        <w:t xml:space="preserve">, Vocabulaire des termes juridiques de Cornu…).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Une fois, ce travail effectué vient la construction de la vedette :</w:t>
      </w:r>
      <w:r>
        <w:rPr>
          <w:sz w:val="24"/>
        </w:rPr>
      </w:r>
    </w:p>
    <w:p>
      <w:pPr>
        <w:pStyle w:val="676"/>
        <w:numPr>
          <w:ilvl w:val="0"/>
          <w:numId w:val="2"/>
        </w:numPr>
        <w:pBdr/>
        <w:spacing/>
        <w:ind/>
        <w:rPr>
          <w:sz w:val="24"/>
        </w:rPr>
      </w:pPr>
      <w:r>
        <w:rPr>
          <w:sz w:val="24"/>
        </w:rPr>
        <w:t xml:space="preserve">Vedette de forme : code, travaux préparatoires… =&gt; mise toute seule.</w:t>
      </w:r>
      <w:r>
        <w:rPr>
          <w:sz w:val="24"/>
        </w:rPr>
      </w:r>
    </w:p>
    <w:p>
      <w:pPr>
        <w:pStyle w:val="676"/>
        <w:numPr>
          <w:ilvl w:val="0"/>
          <w:numId w:val="2"/>
        </w:numPr>
        <w:pBdr/>
        <w:spacing/>
        <w:ind/>
        <w:rPr>
          <w:sz w:val="24"/>
        </w:rPr>
      </w:pPr>
      <w:r>
        <w:rPr>
          <w:sz w:val="24"/>
        </w:rPr>
        <w:t xml:space="preserve">Concept juridique : dépendant d’une branche du droit. Trouve la branche dont il dépend en remontant dans les termes génériques dans la liste d’autorité RAMEAU. Construction : Droit – XXXXX – Concept.</w:t>
      </w:r>
      <w:r>
        <w:rPr>
          <w:sz w:val="24"/>
        </w:rPr>
      </w:r>
    </w:p>
    <w:p>
      <w:pPr>
        <w:pStyle w:val="676"/>
        <w:numPr>
          <w:ilvl w:val="0"/>
          <w:numId w:val="2"/>
        </w:numPr>
        <w:pBdr/>
        <w:spacing/>
        <w:ind/>
        <w:rPr>
          <w:sz w:val="24"/>
        </w:rPr>
      </w:pPr>
      <w:r>
        <w:rPr>
          <w:sz w:val="24"/>
        </w:rPr>
        <w:t xml:space="preserve">Pour un système de droit. </w:t>
      </w:r>
      <w:r>
        <w:rPr>
          <w:sz w:val="24"/>
        </w:rPr>
      </w:r>
    </w:p>
    <w:p>
      <w:pPr>
        <w:pStyle w:val="676"/>
        <w:numPr>
          <w:ilvl w:val="0"/>
          <w:numId w:val="2"/>
        </w:numPr>
        <w:pBdr/>
        <w:spacing/>
        <w:ind/>
        <w:rPr>
          <w:sz w:val="24"/>
        </w:rPr>
      </w:pPr>
      <w:r>
        <w:rPr>
          <w:sz w:val="24"/>
        </w:rPr>
        <w:t xml:space="preserve">Pour être cohérent, parfois obligé d’utiliser des termes exclus par RAMEAU pour le concept au lieu de la vedette RAMEAU elle-même.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Remarques : </w:t>
      </w:r>
      <w:r>
        <w:rPr>
          <w:sz w:val="24"/>
        </w:rPr>
      </w:r>
    </w:p>
    <w:p>
      <w:pPr>
        <w:pStyle w:val="676"/>
        <w:numPr>
          <w:ilvl w:val="0"/>
          <w:numId w:val="1"/>
        </w:numPr>
        <w:pBdr/>
        <w:spacing/>
        <w:ind/>
        <w:rPr>
          <w:sz w:val="24"/>
        </w:rPr>
      </w:pPr>
      <w:r>
        <w:rPr>
          <w:sz w:val="24"/>
        </w:rPr>
        <w:t xml:space="preserve">Vedette : 1</w:t>
      </w:r>
      <w:r>
        <w:rPr>
          <w:sz w:val="24"/>
          <w:vertAlign w:val="superscript"/>
        </w:rPr>
        <w:t xml:space="preserve">er</w:t>
      </w:r>
      <w:r>
        <w:rPr>
          <w:sz w:val="24"/>
        </w:rPr>
        <w:t xml:space="preserve"> élément (domaine étudié), 2</w:t>
      </w:r>
      <w:r>
        <w:rPr>
          <w:sz w:val="24"/>
          <w:vertAlign w:val="superscript"/>
        </w:rPr>
        <w:t xml:space="preserve">e</w:t>
      </w:r>
      <w:r>
        <w:rPr>
          <w:sz w:val="24"/>
        </w:rPr>
        <w:t xml:space="preserve"> élément (terme spécifique (RAMEAU ou exclus de RAMEAU)).</w:t>
      </w:r>
      <w:r>
        <w:rPr>
          <w:sz w:val="24"/>
        </w:rPr>
      </w:r>
    </w:p>
    <w:p>
      <w:pPr>
        <w:pStyle w:val="676"/>
        <w:numPr>
          <w:ilvl w:val="0"/>
          <w:numId w:val="1"/>
        </w:numPr>
        <w:pBdr/>
        <w:spacing/>
        <w:ind/>
        <w:rPr>
          <w:sz w:val="24"/>
        </w:rPr>
      </w:pPr>
      <w:r>
        <w:rPr>
          <w:sz w:val="24"/>
        </w:rPr>
        <w:t xml:space="preserve">Idée : pouvoir relire la vedette à l’envers en mettant un de ou dans le(s) </w:t>
      </w:r>
      <w:r>
        <w:rPr>
          <w:sz w:val="24"/>
        </w:rPr>
      </w:r>
    </w:p>
    <w:p>
      <w:pPr>
        <w:pStyle w:val="676"/>
        <w:numPr>
          <w:ilvl w:val="1"/>
          <w:numId w:val="1"/>
        </w:numPr>
        <w:pBdr/>
        <w:spacing/>
        <w:ind/>
        <w:rPr>
          <w:sz w:val="24"/>
        </w:rPr>
      </w:pPr>
      <w:r>
        <w:rPr>
          <w:sz w:val="24"/>
        </w:rPr>
        <w:t xml:space="preserve">Exemple : Eglise – Administration =&gt; administration de l’Eglise.</w:t>
      </w:r>
      <w:r>
        <w:rPr>
          <w:sz w:val="24"/>
        </w:rPr>
      </w:r>
    </w:p>
    <w:p>
      <w:pPr>
        <w:pStyle w:val="676"/>
        <w:numPr>
          <w:ilvl w:val="0"/>
          <w:numId w:val="1"/>
        </w:numPr>
        <w:pBdr/>
        <w:spacing/>
        <w:ind/>
        <w:rPr>
          <w:sz w:val="24"/>
        </w:rPr>
      </w:pPr>
      <w:r>
        <w:rPr>
          <w:sz w:val="24"/>
        </w:rPr>
        <w:t xml:space="preserve">Autres vedettes sont des noms géographiques normalisés tel que dans la liste d’autorité RAMEAU.</w:t>
      </w:r>
      <w:r>
        <w:rPr>
          <w:sz w:val="24"/>
        </w:rPr>
      </w:r>
    </w:p>
    <w:p>
      <w:pPr>
        <w:pStyle w:val="676"/>
        <w:numPr>
          <w:ilvl w:val="0"/>
          <w:numId w:val="1"/>
        </w:numPr>
        <w:pBdr/>
        <w:spacing/>
        <w:ind/>
        <w:rPr>
          <w:sz w:val="24"/>
        </w:rPr>
      </w:pPr>
      <w:r>
        <w:rPr>
          <w:sz w:val="24"/>
        </w:rPr>
        <w:t xml:space="preserve">Subdivisions chronologiques basées sur la page 147 du Guide d’indexation RAMEAU.</w:t>
      </w:r>
      <w:r>
        <w:rPr>
          <w:sz w:val="24"/>
        </w:rPr>
      </w:r>
    </w:p>
    <w:p>
      <w:pPr>
        <w:pStyle w:val="676"/>
        <w:numPr>
          <w:ilvl w:val="0"/>
          <w:numId w:val="1"/>
        </w:numPr>
        <w:pBdr/>
        <w:spacing/>
        <w:ind/>
        <w:rPr>
          <w:sz w:val="24"/>
        </w:rPr>
      </w:pPr>
      <w:r>
        <w:rPr>
          <w:sz w:val="24"/>
        </w:rPr>
        <w:t xml:space="preserve">Méthode </w:t>
      </w:r>
      <w:r>
        <w:rPr>
          <w:sz w:val="24"/>
        </w:rPr>
        <w:t xml:space="preserve">adoptée par Cujas : indexation à la fois générique et spécifique. Possible d’avoir plusieurs vedettes construites ayant des liens de hiérarchie entre elles. Contrairement à la spécificité RAMEAU. Avoir : Droit civil – Obligations et Droit civil – Contrats.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Historique de la méthode d’indexation de Cujas : 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Au début :</w:t>
      </w:r>
      <w:r>
        <w:rPr>
          <w:sz w:val="24"/>
        </w:rPr>
      </w:r>
    </w:p>
    <w:p>
      <w:pPr>
        <w:pStyle w:val="676"/>
        <w:numPr>
          <w:ilvl w:val="0"/>
          <w:numId w:val="3"/>
        </w:numPr>
        <w:pBdr/>
        <w:spacing/>
        <w:ind/>
        <w:rPr>
          <w:sz w:val="24"/>
        </w:rPr>
      </w:pPr>
      <w:r>
        <w:rPr>
          <w:sz w:val="24"/>
        </w:rPr>
        <w:t xml:space="preserve">Programme de numérisation : mots-clés apposés dans les notices DC, par différentes personnes entraînant des incohérences.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Souci d’indexer :</w:t>
      </w:r>
      <w:r>
        <w:rPr>
          <w:sz w:val="24"/>
        </w:rPr>
      </w:r>
    </w:p>
    <w:p>
      <w:pPr>
        <w:pStyle w:val="676"/>
        <w:numPr>
          <w:ilvl w:val="0"/>
          <w:numId w:val="3"/>
        </w:numPr>
        <w:pBdr/>
        <w:spacing/>
        <w:ind/>
        <w:rPr>
          <w:sz w:val="24"/>
        </w:rPr>
      </w:pPr>
      <w:r>
        <w:rPr>
          <w:sz w:val="24"/>
        </w:rPr>
        <w:t xml:space="preserve">Même façon pour tout le monde. Proposé de recourir à la liste d’autorité RAMEAU sr </w:t>
      </w:r>
      <w:r>
        <w:rPr>
          <w:sz w:val="24"/>
        </w:rPr>
        <w:t xml:space="preserve">BnOpale</w:t>
      </w:r>
      <w:r>
        <w:rPr>
          <w:sz w:val="24"/>
        </w:rPr>
        <w:t xml:space="preserve"> Plus =&gt; vocabulaire contrôlé, reprise des mots matières des notices du SUDOC.</w:t>
      </w:r>
      <w:r>
        <w:rPr>
          <w:sz w:val="24"/>
        </w:rPr>
      </w:r>
    </w:p>
    <w:p>
      <w:pPr>
        <w:pStyle w:val="676"/>
        <w:numPr>
          <w:ilvl w:val="0"/>
          <w:numId w:val="3"/>
        </w:numPr>
        <w:pBdr/>
        <w:spacing/>
        <w:ind/>
        <w:rPr>
          <w:sz w:val="24"/>
        </w:rPr>
      </w:pPr>
      <w:r>
        <w:rPr>
          <w:sz w:val="24"/>
        </w:rPr>
        <w:t xml:space="preserve">Ne plus se préoccuper de la syntaxe &amp; de déconstruire la chaîne car facettes issues des mots-clés.</w:t>
      </w:r>
      <w:r>
        <w:rPr>
          <w:sz w:val="24"/>
        </w:rPr>
      </w:r>
    </w:p>
    <w:p>
      <w:pPr>
        <w:pStyle w:val="676"/>
        <w:numPr>
          <w:ilvl w:val="0"/>
          <w:numId w:val="3"/>
        </w:numPr>
        <w:pBdr/>
        <w:spacing/>
        <w:ind/>
        <w:rPr>
          <w:sz w:val="24"/>
        </w:rPr>
      </w:pPr>
      <w:r>
        <w:rPr>
          <w:sz w:val="24"/>
        </w:rPr>
        <w:t xml:space="preserve">Choix posant un certain nb de </w:t>
      </w:r>
      <w:r>
        <w:rPr>
          <w:sz w:val="24"/>
        </w:rPr>
        <w:t xml:space="preserve">pb</w:t>
      </w:r>
      <w:r>
        <w:rPr>
          <w:sz w:val="24"/>
        </w:rPr>
        <w:t xml:space="preserve"> par rapport à </w:t>
      </w:r>
      <w:r>
        <w:rPr>
          <w:sz w:val="24"/>
        </w:rPr>
        <w:t xml:space="preserve">une recherche sujet</w:t>
      </w:r>
      <w:r>
        <w:rPr>
          <w:sz w:val="24"/>
        </w:rPr>
        <w:t xml:space="preserve"> et une recherche par facette dans la bibliothèque numérique.</w:t>
      </w:r>
      <w:r>
        <w:rPr>
          <w:sz w:val="24"/>
        </w:rPr>
      </w:r>
    </w:p>
    <w:p>
      <w:pPr>
        <w:pStyle w:val="676"/>
        <w:numPr>
          <w:ilvl w:val="0"/>
          <w:numId w:val="3"/>
        </w:numPr>
        <w:pBdr/>
        <w:spacing/>
        <w:ind/>
        <w:rPr>
          <w:sz w:val="24"/>
        </w:rPr>
      </w:pPr>
      <w:r>
        <w:rPr>
          <w:sz w:val="24"/>
        </w:rPr>
        <w:t xml:space="preserve">Aucune idée de comment le lecteur allait chercher. Idée BNF : le </w:t>
      </w:r>
      <w:r>
        <w:rPr>
          <w:sz w:val="24"/>
        </w:rPr>
        <w:t xml:space="preserve">lecteur allait </w:t>
      </w:r>
      <w:r>
        <w:rPr>
          <w:sz w:val="24"/>
        </w:rPr>
        <w:t xml:space="preserve">fair</w:t>
      </w:r>
      <w:r>
        <w:rPr>
          <w:sz w:val="24"/>
        </w:rPr>
        <w:t xml:space="preserve"> </w:t>
      </w:r>
      <w:r>
        <w:rPr>
          <w:sz w:val="24"/>
        </w:rPr>
        <w:t xml:space="preserve">eune</w:t>
      </w:r>
      <w:r>
        <w:rPr>
          <w:sz w:val="24"/>
        </w:rPr>
        <w:t xml:space="preserve"> recherche sujet dans le catalogue local, identifier auteur et </w:t>
      </w:r>
      <w:r>
        <w:rPr>
          <w:sz w:val="24"/>
        </w:rPr>
        <w:t xml:space="preserve">itre</w:t>
      </w:r>
      <w:r>
        <w:rPr>
          <w:sz w:val="24"/>
        </w:rPr>
        <w:t xml:space="preserve"> et aller voir ensuite si l’ouvrage est numérisé en </w:t>
      </w:r>
      <w:r>
        <w:rPr>
          <w:sz w:val="24"/>
        </w:rPr>
        <w:t xml:space="preserve">cherchan</w:t>
      </w:r>
      <w:r>
        <w:rPr>
          <w:sz w:val="24"/>
        </w:rPr>
        <w:t xml:space="preserve"> par auteur et titre dans bibliothèque numérique.</w:t>
      </w:r>
      <w:r>
        <w:rPr>
          <w:sz w:val="24"/>
        </w:rPr>
      </w:r>
    </w:p>
    <w:p>
      <w:pPr>
        <w:pStyle w:val="676"/>
        <w:numPr>
          <w:ilvl w:val="0"/>
          <w:numId w:val="3"/>
        </w:numPr>
        <w:pBdr/>
        <w:spacing/>
        <w:ind/>
        <w:rPr>
          <w:sz w:val="24"/>
        </w:rPr>
      </w:pPr>
      <w:r>
        <w:rPr>
          <w:sz w:val="24"/>
        </w:rPr>
        <w:t xml:space="preserve">Cujas : utilisation mots-clés déconstruit permettait ne recherche </w:t>
      </w:r>
      <w:r>
        <w:rPr>
          <w:sz w:val="24"/>
        </w:rPr>
        <w:t xml:space="preserve">suje</w:t>
      </w:r>
      <w:r>
        <w:rPr>
          <w:sz w:val="24"/>
        </w:rPr>
        <w:t xml:space="preserve"> identique à celle que l’on avait dans l’OPAC.</w:t>
      </w:r>
      <w:r>
        <w:rPr>
          <w:sz w:val="24"/>
        </w:rPr>
      </w:r>
    </w:p>
    <w:p>
      <w:pPr>
        <w:pStyle w:val="676"/>
        <w:numPr>
          <w:ilvl w:val="0"/>
          <w:numId w:val="3"/>
        </w:numPr>
        <w:pBdr/>
        <w:spacing/>
        <w:ind/>
        <w:rPr>
          <w:sz w:val="24"/>
        </w:rPr>
      </w:pPr>
      <w:r>
        <w:rPr>
          <w:sz w:val="24"/>
        </w:rPr>
        <w:t xml:space="preserve">Suggestion </w:t>
      </w:r>
      <w:r>
        <w:rPr>
          <w:sz w:val="24"/>
        </w:rPr>
        <w:t xml:space="preserve">BnF</w:t>
      </w:r>
      <w:r>
        <w:rPr>
          <w:sz w:val="24"/>
        </w:rPr>
        <w:t xml:space="preserve"> à Cujas : faire une liste fermée du </w:t>
      </w:r>
      <w:r>
        <w:rPr>
          <w:sz w:val="24"/>
        </w:rPr>
        <w:t xml:space="preserve">vocabulare</w:t>
      </w:r>
      <w:r>
        <w:rPr>
          <w:sz w:val="24"/>
        </w:rPr>
        <w:t xml:space="preserve"> utilisé RAMEAU tant qu’il n’</w:t>
      </w:r>
      <w:r>
        <w:rPr>
          <w:sz w:val="24"/>
        </w:rPr>
        <w:t xml:space="preserve">ya</w:t>
      </w:r>
      <w:r>
        <w:rPr>
          <w:sz w:val="24"/>
        </w:rPr>
        <w:t xml:space="preserve"> pas trop d’ouvrage numérisés. A partir de milliers de documents cela n’est plus possible.</w:t>
      </w:r>
      <w:r>
        <w:rPr>
          <w:sz w:val="24"/>
        </w:rPr>
      </w:r>
    </w:p>
    <w:p>
      <w:pPr>
        <w:pStyle w:val="676"/>
        <w:numPr>
          <w:ilvl w:val="0"/>
          <w:numId w:val="3"/>
        </w:numPr>
        <w:pBdr/>
        <w:spacing/>
        <w:ind/>
        <w:rPr>
          <w:sz w:val="24"/>
        </w:rPr>
      </w:pPr>
      <w:r>
        <w:rPr>
          <w:sz w:val="24"/>
        </w:rPr>
        <w:t xml:space="preserve">Facette : utilisation d’un vocabulaire contrôlé, bénéfique. Pb : trouvait sur mêmes plans des termes hiérarchisés différemment.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Contraintes : </w:t>
      </w:r>
      <w:r>
        <w:rPr>
          <w:sz w:val="24"/>
        </w:rPr>
      </w:r>
    </w:p>
    <w:p>
      <w:pPr>
        <w:pStyle w:val="676"/>
        <w:numPr>
          <w:ilvl w:val="0"/>
          <w:numId w:val="1"/>
        </w:numPr>
        <w:pBdr/>
        <w:spacing/>
        <w:ind/>
        <w:rPr>
          <w:sz w:val="24"/>
        </w:rPr>
      </w:pPr>
      <w:r>
        <w:rPr>
          <w:sz w:val="24"/>
        </w:rPr>
        <w:t xml:space="preserve">Objectif =&gt; créer une taxonomie de navigation</w:t>
      </w:r>
      <w:r>
        <w:rPr>
          <w:sz w:val="24"/>
        </w:rPr>
        <w:t xml:space="preserve"> hiérarchisée à partir des facettes qui regroupent ensemble les sujets à l’intérieur de la branche du droit (approche systématique) et garder en même temps une indexation suffisamment analytique.</w:t>
      </w:r>
      <w:r>
        <w:rPr>
          <w:sz w:val="24"/>
        </w:rPr>
      </w:r>
    </w:p>
    <w:p>
      <w:pPr>
        <w:pStyle w:val="676"/>
        <w:numPr>
          <w:ilvl w:val="0"/>
          <w:numId w:val="1"/>
        </w:numPr>
        <w:pBdr/>
        <w:spacing/>
        <w:ind/>
        <w:rPr>
          <w:sz w:val="24"/>
        </w:rPr>
      </w:pPr>
      <w:r>
        <w:rPr>
          <w:sz w:val="24"/>
        </w:rPr>
        <w:t xml:space="preserve">Laisser des dév</w:t>
      </w:r>
      <w:r>
        <w:rPr>
          <w:sz w:val="24"/>
        </w:rPr>
        <w:t xml:space="preserve">eloppements possibles pour l’avenir (regroupement des branches informatiquement de façon à améliorer la visibilité pour le lecteur), possibilité d’indexer d’autres ouvrages que ceux désignés actuellement par les professeurs et concerne l’histoire du droit.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Règles générales :</w:t>
      </w:r>
      <w:r>
        <w:rPr>
          <w:sz w:val="24"/>
        </w:rPr>
      </w:r>
    </w:p>
    <w:p>
      <w:pPr>
        <w:pStyle w:val="676"/>
        <w:numPr>
          <w:ilvl w:val="0"/>
          <w:numId w:val="1"/>
        </w:numPr>
        <w:pBdr/>
        <w:spacing/>
        <w:ind/>
        <w:rPr>
          <w:sz w:val="24"/>
        </w:rPr>
      </w:pPr>
      <w:r>
        <w:rPr>
          <w:sz w:val="24"/>
        </w:rPr>
        <w:t xml:space="preserve">1</w:t>
      </w:r>
      <w:r>
        <w:rPr>
          <w:sz w:val="24"/>
          <w:vertAlign w:val="superscript"/>
        </w:rPr>
        <w:t xml:space="preserve">re</w:t>
      </w:r>
      <w:r>
        <w:rPr>
          <w:sz w:val="24"/>
        </w:rPr>
        <w:t xml:space="preserve"> balise </w:t>
      </w:r>
      <w:r>
        <w:rPr>
          <w:sz w:val="24"/>
        </w:rPr>
        <w:t xml:space="preserve">subject</w:t>
      </w:r>
      <w:r>
        <w:rPr>
          <w:sz w:val="24"/>
        </w:rPr>
        <w:t xml:space="preserve"> =&gt; constitué d’un TV (tête de vedette) inspirée de grands intitulés de la classification Cujas en Droit, Economie et science politique, séparée par un espace/tiret du milieu / espace introduisant un mot-clé RAMEAU.</w:t>
      </w:r>
      <w:r>
        <w:rPr>
          <w:sz w:val="24"/>
        </w:rPr>
      </w:r>
    </w:p>
    <w:p>
      <w:pPr>
        <w:pStyle w:val="676"/>
        <w:numPr>
          <w:ilvl w:val="0"/>
          <w:numId w:val="1"/>
        </w:numPr>
        <w:pBdr/>
        <w:spacing/>
        <w:ind/>
        <w:rPr>
          <w:sz w:val="24"/>
        </w:rPr>
      </w:pPr>
      <w:r>
        <w:rPr>
          <w:sz w:val="24"/>
        </w:rPr>
        <w:t xml:space="preserve">Ce dernier vocabulaire évite les redites par rapport à la 1</w:t>
      </w:r>
      <w:r>
        <w:rPr>
          <w:sz w:val="24"/>
          <w:vertAlign w:val="superscript"/>
        </w:rPr>
        <w:t xml:space="preserve">re</w:t>
      </w:r>
      <w:r>
        <w:rPr>
          <w:sz w:val="24"/>
        </w:rPr>
        <w:t xml:space="preserve"> partie de la balise (par exemple « droit ») et peut provenir de l’indexation de la notice SUDOC. En allant voir </w:t>
      </w:r>
      <w:r>
        <w:rPr>
          <w:sz w:val="24"/>
        </w:rPr>
        <w:t xml:space="preserve">Bn</w:t>
      </w:r>
      <w:r>
        <w:rPr>
          <w:sz w:val="24"/>
        </w:rPr>
        <w:t xml:space="preserve"> Opale plus les TG (termes génériques), on arrive à rattacher à une branche du droit le terme RAMEAU.</w:t>
      </w:r>
      <w:r>
        <w:rPr>
          <w:sz w:val="24"/>
        </w:rPr>
      </w:r>
    </w:p>
    <w:p>
      <w:pPr>
        <w:pStyle w:val="676"/>
        <w:numPr>
          <w:ilvl w:val="2"/>
          <w:numId w:val="1"/>
        </w:numPr>
        <w:pBdr/>
        <w:spacing/>
        <w:ind/>
        <w:rPr>
          <w:sz w:val="24"/>
        </w:rPr>
      </w:pPr>
      <w:r>
        <w:rPr>
          <w:sz w:val="24"/>
        </w:rPr>
        <w:t xml:space="preserve">Eviter de doubler les tirets : aller directement au droit concernés, à la sous-classe de Droit et religions concernées </w:t>
      </w:r>
      <w:r>
        <w:rPr>
          <w:sz w:val="24"/>
        </w:rPr>
      </w:r>
    </w:p>
    <w:p>
      <w:pPr>
        <w:pStyle w:val="676"/>
        <w:numPr>
          <w:ilvl w:val="3"/>
          <w:numId w:val="1"/>
        </w:numPr>
        <w:pBdr/>
        <w:spacing/>
        <w:ind/>
        <w:rPr>
          <w:sz w:val="24"/>
        </w:rPr>
      </w:pPr>
      <w:r>
        <w:rPr>
          <w:sz w:val="24"/>
        </w:rPr>
        <w:t xml:space="preserve">Au lieu de ça : Systèmes de Droit-Droit romain-Contrats devient ça :</w:t>
      </w:r>
      <w:r>
        <w:rPr>
          <w:sz w:val="24"/>
        </w:rPr>
        <w:t xml:space="preserve"> Droit romain- Contrats.</w:t>
      </w:r>
      <w:r>
        <w:rPr>
          <w:sz w:val="24"/>
        </w:rPr>
      </w:r>
    </w:p>
    <w:p>
      <w:pPr>
        <w:pStyle w:val="676"/>
        <w:numPr>
          <w:ilvl w:val="0"/>
          <w:numId w:val="1"/>
        </w:numPr>
        <w:pBdr/>
        <w:spacing/>
        <w:ind/>
        <w:rPr>
          <w:sz w:val="24"/>
        </w:rPr>
      </w:pPr>
      <w:r>
        <w:rPr>
          <w:sz w:val="24"/>
        </w:rPr>
        <w:t xml:space="preserve">Lorsqu’il y a plusieurs intitulés dans les divisions de la Classification Cujas, ex : Droit bancaire. Droit du crédit… ne prendra en compte que l’intitulé pertinent.</w:t>
      </w:r>
      <w:r>
        <w:rPr>
          <w:sz w:val="24"/>
        </w:rPr>
      </w:r>
    </w:p>
    <w:p>
      <w:pPr>
        <w:pStyle w:val="676"/>
        <w:numPr>
          <w:ilvl w:val="0"/>
          <w:numId w:val="1"/>
        </w:numPr>
        <w:pBdr/>
        <w:spacing/>
        <w:ind/>
        <w:rPr>
          <w:sz w:val="24"/>
        </w:rPr>
      </w:pPr>
      <w:r>
        <w:rPr>
          <w:sz w:val="24"/>
        </w:rPr>
        <w:t xml:space="preserve">Eviter de répéter les termes dans la notice DC, mais en laissant le plus possible l’ordre syntaxique de la chaîne RAMEAU du SUDOC.</w:t>
      </w:r>
      <w:r>
        <w:rPr>
          <w:sz w:val="24"/>
        </w:rPr>
      </w:r>
    </w:p>
    <w:p>
      <w:pPr>
        <w:pStyle w:val="676"/>
        <w:numPr>
          <w:ilvl w:val="0"/>
          <w:numId w:val="1"/>
        </w:numPr>
        <w:pBdr/>
        <w:spacing/>
        <w:ind/>
        <w:rPr>
          <w:sz w:val="24"/>
        </w:rPr>
      </w:pPr>
      <w:r>
        <w:rPr>
          <w:sz w:val="24"/>
        </w:rPr>
        <w:t xml:space="preserve">Pb d’ouvrages ayant pour sujet géographique des régions à l’intérieur d’un pays.</w:t>
      </w:r>
      <w:r>
        <w:rPr>
          <w:sz w:val="24"/>
        </w:rPr>
      </w:r>
    </w:p>
    <w:p>
      <w:pPr>
        <w:pStyle w:val="676"/>
        <w:numPr>
          <w:ilvl w:val="0"/>
          <w:numId w:val="1"/>
        </w:numPr>
        <w:pBdr/>
        <w:spacing/>
        <w:ind/>
        <w:rPr>
          <w:sz w:val="24"/>
        </w:rPr>
      </w:pPr>
      <w:r>
        <w:rPr>
          <w:sz w:val="24"/>
        </w:rPr>
        <w:t xml:space="preserve">Il ne faut pas doubler le </w:t>
      </w:r>
      <w:r>
        <w:rPr>
          <w:sz w:val="24"/>
        </w:rPr>
        <w:t xml:space="preserve">coverage</w:t>
      </w:r>
      <w:r>
        <w:rPr>
          <w:sz w:val="24"/>
        </w:rPr>
        <w:t xml:space="preserve"> spatial avec France.</w:t>
      </w:r>
      <w:r>
        <w:rPr>
          <w:sz w:val="24"/>
        </w:rPr>
      </w:r>
    </w:p>
    <w:p>
      <w:pPr>
        <w:pStyle w:val="676"/>
        <w:numPr>
          <w:ilvl w:val="0"/>
          <w:numId w:val="1"/>
        </w:numPr>
        <w:pBdr/>
        <w:spacing/>
        <w:ind/>
        <w:rPr>
          <w:sz w:val="24"/>
        </w:rPr>
      </w:pPr>
      <w:r>
        <w:rPr>
          <w:sz w:val="24"/>
        </w:rPr>
        <w:t xml:space="preserve">Ne pas mettre systématiquement de </w:t>
      </w:r>
      <w:r>
        <w:rPr>
          <w:sz w:val="24"/>
        </w:rPr>
        <w:t xml:space="preserve">coverage</w:t>
      </w:r>
      <w:r>
        <w:rPr>
          <w:sz w:val="24"/>
        </w:rPr>
        <w:t xml:space="preserve"> chronologique et géographique dans la notice DC. Dire de quoi traite l’ouvrage</w:t>
      </w:r>
      <w:r>
        <w:rPr>
          <w:sz w:val="24"/>
        </w:rPr>
      </w:r>
    </w:p>
    <w:p>
      <w:pPr>
        <w:pStyle w:val="676"/>
        <w:numPr>
          <w:ilvl w:val="0"/>
          <w:numId w:val="1"/>
        </w:numPr>
        <w:pBdr/>
        <w:spacing/>
        <w:ind/>
        <w:rPr>
          <w:sz w:val="24"/>
        </w:rPr>
      </w:pPr>
      <w:r>
        <w:rPr>
          <w:sz w:val="24"/>
        </w:rPr>
        <w:t xml:space="preserve">En RAMEAU, pour des périodes plus larges (en général supérieur à deux siècles), on emploie la subdivision de sujet Histoire. Pour les notices, on mettra Histoire.</w:t>
      </w:r>
      <w:r>
        <w:rPr>
          <w:sz w:val="24"/>
        </w:rPr>
      </w:r>
    </w:p>
    <w:p>
      <w:pPr>
        <w:pStyle w:val="676"/>
        <w:numPr>
          <w:ilvl w:val="1"/>
          <w:numId w:val="1"/>
        </w:numPr>
        <w:pBdr/>
        <w:spacing/>
        <w:ind/>
        <w:rPr>
          <w:sz w:val="24"/>
        </w:rPr>
      </w:pPr>
      <w:r>
        <w:rPr>
          <w:sz w:val="24"/>
        </w:rPr>
        <w:t xml:space="preserve">Traite de plusieurs pays =&gt; Etude comparative.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Balise </w:t>
      </w:r>
      <w:r>
        <w:rPr>
          <w:sz w:val="24"/>
        </w:rPr>
        <w:t xml:space="preserve">subject</w:t>
      </w:r>
      <w:r>
        <w:rPr>
          <w:sz w:val="24"/>
        </w:rPr>
        <w:t xml:space="preserve"> Dewey : </w:t>
      </w:r>
      <w:r>
        <w:rPr>
          <w:sz w:val="24"/>
        </w:rPr>
      </w:r>
    </w:p>
    <w:p>
      <w:pPr>
        <w:pStyle w:val="676"/>
        <w:numPr>
          <w:ilvl w:val="0"/>
          <w:numId w:val="1"/>
        </w:numPr>
        <w:pBdr/>
        <w:spacing/>
        <w:ind/>
        <w:rPr>
          <w:sz w:val="24"/>
        </w:rPr>
      </w:pPr>
      <w:r>
        <w:rPr>
          <w:sz w:val="24"/>
        </w:rPr>
        <w:t xml:space="preserve">Indexation Dewey des ouvrages numérisés </w:t>
      </w:r>
      <w:r>
        <w:rPr>
          <w:sz w:val="24"/>
        </w:rPr>
      </w:r>
    </w:p>
    <w:p>
      <w:pPr>
        <w:pStyle w:val="676"/>
        <w:numPr>
          <w:ilvl w:val="0"/>
          <w:numId w:val="1"/>
        </w:numPr>
        <w:pBdr/>
        <w:spacing/>
        <w:ind/>
        <w:rPr>
          <w:sz w:val="24"/>
        </w:rPr>
      </w:pPr>
      <w:r>
        <w:rPr>
          <w:sz w:val="24"/>
        </w:rPr>
        <w:t xml:space="preserve">Recommandation </w:t>
      </w:r>
      <w:r>
        <w:rPr>
          <w:sz w:val="24"/>
        </w:rPr>
        <w:t xml:space="preserve">BnF</w:t>
      </w:r>
      <w:r>
        <w:rPr>
          <w:sz w:val="24"/>
        </w:rPr>
        <w:t xml:space="preserve"> d’apposer un indice Dewey (au moins 2 chiffres 34 pour le droit)</w:t>
      </w:r>
      <w:r>
        <w:rPr>
          <w:sz w:val="24"/>
        </w:rPr>
      </w:r>
    </w:p>
    <w:p>
      <w:pPr>
        <w:pStyle w:val="676"/>
        <w:numPr>
          <w:ilvl w:val="0"/>
          <w:numId w:val="1"/>
        </w:numPr>
        <w:pBdr/>
        <w:spacing/>
        <w:ind/>
        <w:rPr>
          <w:sz w:val="24"/>
        </w:rPr>
      </w:pPr>
      <w:r>
        <w:rPr>
          <w:sz w:val="24"/>
        </w:rPr>
        <w:t xml:space="preserve">Recourir à l’ensemble des indices Dewey s’il y a besoin et pas seulement 340 (exemple 262.9 droit canonique).</w:t>
      </w:r>
      <w:r>
        <w:rPr>
          <w:sz w:val="24"/>
        </w:rPr>
      </w:r>
    </w:p>
    <w:p>
      <w:pPr>
        <w:pStyle w:val="678"/>
        <w:pBdr/>
        <w:spacing w:after="0" w:afterAutospacing="0" w:before="0" w:beforeAutospacing="0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82003c"/>
        </w:rPr>
        <w:t xml:space="preserve">Mode d’emploi de l’outil </w:t>
      </w:r>
      <w:r>
        <w:rPr>
          <w:rFonts w:asciiTheme="minorHAnsi" w:hAnsiTheme="minorHAnsi" w:cstheme="minorHAnsi"/>
          <w:color w:val="82003c"/>
        </w:rPr>
        <w:t xml:space="preserve">ocreval</w:t>
      </w:r>
      <w:r>
        <w:rPr>
          <w:rFonts w:asciiTheme="minorHAnsi" w:hAnsiTheme="minorHAnsi" w:cstheme="minorHAnsi"/>
        </w:rPr>
      </w:r>
    </w:p>
    <w:p>
      <w:pPr>
        <w:pStyle w:val="679"/>
        <w:numPr>
          <w:ilvl w:val="0"/>
          <w:numId w:val="1"/>
        </w:numPr>
        <w:pBdr/>
        <w:spacing w:after="0" w:afterAutospacing="0" w:before="0" w:beforeAutospacing="0" w:line="273" w:lineRule="auto"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</w:rPr>
        <w:t xml:space="preserve">Ocreval</w:t>
      </w:r>
      <w:r>
        <w:rPr>
          <w:rFonts w:asciiTheme="minorHAnsi" w:hAnsiTheme="minorHAnsi" w:cstheme="minorHAnsi"/>
          <w:color w:val="000000"/>
        </w:rPr>
        <w:t xml:space="preserve"> est un logiciel qui permet de vérifier la précision d’une transcription générée par un logiciel d’OCR. Il nécessite pour cela un fichier .</w:t>
      </w:r>
      <w:r>
        <w:rPr>
          <w:rFonts w:asciiTheme="minorHAnsi" w:hAnsiTheme="minorHAnsi" w:cstheme="minorHAnsi"/>
          <w:color w:val="000000"/>
        </w:rPr>
        <w:t xml:space="preserve">txt</w:t>
      </w:r>
      <w:r>
        <w:rPr>
          <w:rFonts w:asciiTheme="minorHAnsi" w:hAnsiTheme="minorHAnsi" w:cstheme="minorHAnsi"/>
          <w:color w:val="000000"/>
        </w:rPr>
        <w:t xml:space="preserve"> généré par l’OCR et un fichier .</w:t>
      </w:r>
      <w:r>
        <w:rPr>
          <w:rFonts w:asciiTheme="minorHAnsi" w:hAnsiTheme="minorHAnsi" w:cstheme="minorHAnsi"/>
          <w:color w:val="000000"/>
        </w:rPr>
        <w:t xml:space="preserve">txt</w:t>
      </w:r>
      <w:r>
        <w:rPr>
          <w:rFonts w:asciiTheme="minorHAnsi" w:hAnsiTheme="minorHAnsi" w:cstheme="minorHAnsi"/>
          <w:color w:val="000000"/>
        </w:rPr>
        <w:t xml:space="preserve"> de la transcription corrigée manuellement et qui constitue notre vérité de terrain.</w:t>
      </w:r>
      <w:r>
        <w:rPr>
          <w:rFonts w:asciiTheme="minorHAnsi" w:hAnsiTheme="minorHAnsi" w:cstheme="minorHAnsi"/>
        </w:rPr>
      </w:r>
    </w:p>
    <w:p>
      <w:pPr>
        <w:pStyle w:val="679"/>
        <w:pBdr/>
        <w:spacing w:after="0" w:afterAutospacing="0" w:before="0" w:beforeAutospacing="0"/>
        <w:ind/>
        <w:jc w:val="both"/>
        <w:rPr/>
      </w:pPr>
      <w:r/>
      <w:r/>
    </w:p>
    <w:p>
      <w:pPr>
        <w:pStyle w:val="678"/>
        <w:pBdr/>
        <w:spacing w:after="0" w:afterAutospacing="0" w:before="0" w:beforeAutospacing="0"/>
        <w:ind/>
        <w:jc w:val="center"/>
        <w:rPr>
          <w:rFonts w:asciiTheme="minorHAnsi" w:hAnsiTheme="minorHAnsi" w:cstheme="minorHAnsi"/>
          <w:szCs w:val="40"/>
        </w:rPr>
      </w:pPr>
      <w:r>
        <w:rPr>
          <w:rFonts w:asciiTheme="minorHAnsi" w:hAnsiTheme="minorHAnsi" w:cstheme="minorHAnsi"/>
          <w:color w:val="82003c"/>
          <w:szCs w:val="40"/>
        </w:rPr>
        <w:t xml:space="preserve">Mode d’emploi du logiciel </w:t>
      </w:r>
      <w:r>
        <w:rPr>
          <w:rFonts w:asciiTheme="minorHAnsi" w:hAnsiTheme="minorHAnsi" w:cstheme="minorHAnsi"/>
          <w:color w:val="82003c"/>
          <w:szCs w:val="40"/>
        </w:rPr>
        <w:t xml:space="preserve">WinMerge</w:t>
      </w:r>
      <w:r>
        <w:rPr>
          <w:rFonts w:asciiTheme="minorHAnsi" w:hAnsiTheme="minorHAnsi" w:cstheme="minorHAnsi"/>
          <w:szCs w:val="40"/>
        </w:rPr>
      </w:r>
    </w:p>
    <w:p>
      <w:pPr>
        <w:pStyle w:val="679"/>
        <w:pBdr/>
        <w:spacing w:after="0" w:afterAutospacing="0" w:before="0" w:beforeAutospacing="0"/>
        <w:ind/>
        <w:rPr>
          <w:rFonts w:asciiTheme="minorHAnsi" w:hAnsiTheme="minorHAnsi" w:cstheme="minorHAnsi"/>
          <w:color w:val="82003c"/>
          <w:sz w:val="20"/>
          <w:szCs w:val="32"/>
        </w:rPr>
      </w:pPr>
      <w:r>
        <w:rPr>
          <w:rFonts w:asciiTheme="minorHAnsi" w:hAnsiTheme="minorHAnsi" w:cstheme="minorHAnsi"/>
          <w:sz w:val="16"/>
        </w:rPr>
        <w:t xml:space="preserve"> </w:t>
      </w:r>
      <w:r>
        <w:rPr>
          <w:rFonts w:asciiTheme="minorHAnsi" w:hAnsiTheme="minorHAnsi" w:cstheme="minorHAnsi"/>
          <w:color w:val="82003c"/>
          <w:sz w:val="20"/>
          <w:szCs w:val="32"/>
        </w:rPr>
      </w:r>
    </w:p>
    <w:p>
      <w:pPr>
        <w:pStyle w:val="679"/>
        <w:pBdr/>
        <w:spacing w:after="0" w:afterAutospacing="0" w:before="0" w:beforeAutospacing="0"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82003c"/>
        </w:rPr>
        <w:t xml:space="preserve">Contexte</w:t>
      </w:r>
      <w:r>
        <w:rPr>
          <w:rFonts w:asciiTheme="minorHAnsi" w:hAnsiTheme="minorHAnsi" w:cstheme="minorHAnsi"/>
        </w:rPr>
      </w:r>
    </w:p>
    <w:p>
      <w:pPr>
        <w:pStyle w:val="679"/>
        <w:pBdr/>
        <w:spacing w:after="0" w:afterAutospacing="0" w:before="0" w:beforeAutospacing="0" w:line="273" w:lineRule="auto"/>
        <w:ind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WinMerge</w:t>
      </w:r>
      <w:r>
        <w:rPr>
          <w:rFonts w:asciiTheme="minorHAnsi" w:hAnsiTheme="minorHAnsi" w:cstheme="minorHAnsi"/>
          <w:color w:val="000000"/>
        </w:rPr>
        <w:t xml:space="preserve"> est un logiciel qui permet de comparer deux fichiers ou dossiers en détectant les éventuelles différences en terme de nommage, poids, contenu des fichiers, etc. </w:t>
      </w:r>
      <w:r>
        <w:rPr>
          <w:rFonts w:asciiTheme="minorHAnsi" w:hAnsiTheme="minorHAnsi" w:cstheme="minorHAnsi"/>
          <w:color w:val="000000"/>
        </w:rPr>
      </w:r>
    </w:p>
    <w:p>
      <w:pPr>
        <w:pStyle w:val="679"/>
        <w:pBdr/>
        <w:spacing w:after="0" w:afterAutospacing="0" w:before="0" w:beforeAutospacing="0" w:line="273" w:lineRule="auto"/>
        <w:ind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Cela est utile par exemple lors du contrôle qualité d’un lot qui a déjà été contrôlé précédemment.</w:t>
      </w:r>
      <w:r>
        <w:rPr>
          <w:rFonts w:asciiTheme="minorHAnsi" w:hAnsiTheme="minorHAnsi" w:cstheme="minorHAnsi"/>
          <w:color w:val="000000"/>
        </w:rPr>
      </w:r>
    </w:p>
    <w:p>
      <w:pPr>
        <w:pStyle w:val="679"/>
        <w:pBdr/>
        <w:spacing w:after="0" w:afterAutospacing="0" w:before="0" w:beforeAutospacing="0" w:line="273" w:lineRule="auto"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</w:rPr>
        <w:t xml:space="preserve">La procédure ci-dessous explique comment utiliser le logiciel.</w:t>
      </w:r>
      <w:r>
        <w:rPr>
          <w:rFonts w:asciiTheme="minorHAnsi" w:hAnsiTheme="minorHAnsi" w:cstheme="minorHAnsi"/>
        </w:rPr>
      </w:r>
    </w:p>
    <w:p>
      <w:pPr>
        <w:pBdr/>
        <w:spacing/>
        <w:ind w:left="360"/>
        <w:rPr>
          <w:sz w:val="24"/>
        </w:rPr>
      </w:pPr>
      <w:r>
        <w:rPr>
          <w:sz w:val="24"/>
        </w:rPr>
      </w:r>
      <w:r>
        <w:rPr>
          <w:sz w:val="24"/>
        </w:rPr>
      </w:r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F3C34"/>
    <w:lvl w:ilvl="0">
      <w:isLgl w:val="false"/>
      <w:lvlJc w:val="left"/>
      <w:lvlText w:val="-"/>
      <w:numFmt w:val="bullet"/>
      <w:pPr>
        <w:pBdr/>
        <w:spacing/>
        <w:ind w:hanging="360" w:left="1428"/>
      </w:pPr>
      <w:rPr>
        <w:rFonts w:hint="default" w:ascii="Calibri" w:hAnsi="Calibri" w:cs="Calibri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1">
    <w:nsid w:val="0A657FE5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cs="Calibri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3BBD6FF3"/>
    <w:lvl w:ilvl="0">
      <w:isLgl w:val="false"/>
      <w:lvlJc w:val="left"/>
      <w:lvlText w:val=""/>
      <w:numFmt w:val="bullet"/>
      <w:pPr>
        <w:pBdr/>
        <w:spacing/>
        <w:ind w:hanging="360" w:left="720"/>
      </w:pPr>
      <w:rPr>
        <w:rFonts w:hint="default" w:ascii="Wingdings" w:hAnsi="Wingdings" w:eastAsiaTheme="minorHAnsi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521D656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eastAsiaTheme="minorHAnsi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72"/>
    <w:next w:val="672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72"/>
    <w:next w:val="672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72"/>
    <w:next w:val="672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2"/>
    <w:next w:val="67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2"/>
    <w:next w:val="67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2"/>
    <w:next w:val="67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2"/>
    <w:next w:val="67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2"/>
    <w:next w:val="67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2"/>
    <w:next w:val="67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3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3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3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3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3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3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2"/>
    <w:next w:val="67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3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2"/>
    <w:next w:val="67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3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2"/>
    <w:next w:val="67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2"/>
    <w:next w:val="67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3"/>
    <w:link w:val="176"/>
    <w:uiPriority w:val="99"/>
    <w:pPr>
      <w:pBdr/>
      <w:spacing/>
      <w:ind/>
    </w:pPr>
  </w:style>
  <w:style w:type="paragraph" w:styleId="178">
    <w:name w:val="Footer"/>
    <w:basedOn w:val="67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3"/>
    <w:link w:val="178"/>
    <w:uiPriority w:val="99"/>
    <w:pPr>
      <w:pBdr/>
      <w:spacing/>
      <w:ind/>
    </w:pPr>
  </w:style>
  <w:style w:type="paragraph" w:styleId="180">
    <w:name w:val="Caption"/>
    <w:basedOn w:val="672"/>
    <w:next w:val="67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2"/>
    <w:next w:val="672"/>
    <w:uiPriority w:val="39"/>
    <w:unhideWhenUsed/>
    <w:pPr>
      <w:pBdr/>
      <w:spacing w:after="100"/>
      <w:ind/>
    </w:pPr>
  </w:style>
  <w:style w:type="paragraph" w:styleId="190">
    <w:name w:val="toc 2"/>
    <w:basedOn w:val="672"/>
    <w:next w:val="672"/>
    <w:uiPriority w:val="39"/>
    <w:unhideWhenUsed/>
    <w:pPr>
      <w:pBdr/>
      <w:spacing w:after="100"/>
      <w:ind w:left="220"/>
    </w:pPr>
  </w:style>
  <w:style w:type="paragraph" w:styleId="191">
    <w:name w:val="toc 3"/>
    <w:basedOn w:val="672"/>
    <w:next w:val="672"/>
    <w:uiPriority w:val="39"/>
    <w:unhideWhenUsed/>
    <w:pPr>
      <w:pBdr/>
      <w:spacing w:after="100"/>
      <w:ind w:left="440"/>
    </w:pPr>
  </w:style>
  <w:style w:type="paragraph" w:styleId="192">
    <w:name w:val="toc 4"/>
    <w:basedOn w:val="672"/>
    <w:next w:val="672"/>
    <w:uiPriority w:val="39"/>
    <w:unhideWhenUsed/>
    <w:pPr>
      <w:pBdr/>
      <w:spacing w:after="100"/>
      <w:ind w:left="660"/>
    </w:pPr>
  </w:style>
  <w:style w:type="paragraph" w:styleId="193">
    <w:name w:val="toc 5"/>
    <w:basedOn w:val="672"/>
    <w:next w:val="672"/>
    <w:uiPriority w:val="39"/>
    <w:unhideWhenUsed/>
    <w:pPr>
      <w:pBdr/>
      <w:spacing w:after="100"/>
      <w:ind w:left="880"/>
    </w:pPr>
  </w:style>
  <w:style w:type="paragraph" w:styleId="194">
    <w:name w:val="toc 6"/>
    <w:basedOn w:val="672"/>
    <w:next w:val="672"/>
    <w:uiPriority w:val="39"/>
    <w:unhideWhenUsed/>
    <w:pPr>
      <w:pBdr/>
      <w:spacing w:after="100"/>
      <w:ind w:left="1100"/>
    </w:pPr>
  </w:style>
  <w:style w:type="paragraph" w:styleId="195">
    <w:name w:val="toc 7"/>
    <w:basedOn w:val="672"/>
    <w:next w:val="672"/>
    <w:uiPriority w:val="39"/>
    <w:unhideWhenUsed/>
    <w:pPr>
      <w:pBdr/>
      <w:spacing w:after="100"/>
      <w:ind w:left="1320"/>
    </w:pPr>
  </w:style>
  <w:style w:type="paragraph" w:styleId="196">
    <w:name w:val="toc 8"/>
    <w:basedOn w:val="672"/>
    <w:next w:val="672"/>
    <w:uiPriority w:val="39"/>
    <w:unhideWhenUsed/>
    <w:pPr>
      <w:pBdr/>
      <w:spacing w:after="100"/>
      <w:ind w:left="1540"/>
    </w:pPr>
  </w:style>
  <w:style w:type="paragraph" w:styleId="197">
    <w:name w:val="toc 9"/>
    <w:basedOn w:val="672"/>
    <w:next w:val="67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2"/>
    <w:next w:val="672"/>
    <w:uiPriority w:val="99"/>
    <w:unhideWhenUsed/>
    <w:pPr>
      <w:pBdr/>
      <w:spacing w:after="0" w:afterAutospacing="0"/>
      <w:ind/>
    </w:pPr>
  </w:style>
  <w:style w:type="paragraph" w:styleId="672" w:default="1">
    <w:name w:val="Normal"/>
    <w:qFormat/>
    <w:pPr>
      <w:pBdr/>
      <w:spacing/>
      <w:ind/>
    </w:pPr>
  </w:style>
  <w:style w:type="character" w:styleId="673" w:default="1">
    <w:name w:val="Default Paragraph Font"/>
    <w:uiPriority w:val="1"/>
    <w:semiHidden/>
    <w:unhideWhenUsed/>
    <w:pPr>
      <w:pBdr/>
      <w:spacing/>
      <w:ind/>
    </w:pPr>
  </w:style>
  <w:style w:type="table" w:styleId="67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5" w:default="1">
    <w:name w:val="No List"/>
    <w:uiPriority w:val="99"/>
    <w:semiHidden/>
    <w:unhideWhenUsed/>
    <w:pPr>
      <w:pBdr/>
      <w:spacing/>
      <w:ind/>
    </w:pPr>
  </w:style>
  <w:style w:type="paragraph" w:styleId="676">
    <w:name w:val="List Paragraph"/>
    <w:basedOn w:val="672"/>
    <w:uiPriority w:val="34"/>
    <w:qFormat/>
    <w:pPr>
      <w:pBdr/>
      <w:spacing/>
      <w:ind w:left="720"/>
      <w:contextualSpacing w:val="true"/>
    </w:pPr>
  </w:style>
  <w:style w:type="character" w:styleId="677" w:customStyle="1">
    <w:name w:val="ng-star-inserted"/>
    <w:basedOn w:val="673"/>
    <w:pPr>
      <w:pBdr/>
      <w:spacing/>
      <w:ind/>
    </w:pPr>
  </w:style>
  <w:style w:type="paragraph" w:styleId="678" w:customStyle="1">
    <w:name w:val="docdata"/>
    <w:basedOn w:val="672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679">
    <w:name w:val="Normal (Web)"/>
    <w:basedOn w:val="672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fr-F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FSuszko</dc:creator>
  <cp:keywords/>
  <dc:description/>
  <cp:lastModifiedBy>fsuszko</cp:lastModifiedBy>
  <cp:revision>8</cp:revision>
  <dcterms:created xsi:type="dcterms:W3CDTF">2026-05-26T10:47:00Z</dcterms:created>
  <dcterms:modified xsi:type="dcterms:W3CDTF">2026-07-30T20:36:12Z</dcterms:modified>
</cp:coreProperties>
</file>