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8"/>
        </w:rPr>
      </w:pPr>
      <w:r>
        <w:rPr>
          <w:sz w:val="28"/>
        </w:rPr>
        <w:t xml:space="preserve">ABES</w:t>
      </w:r>
      <w:r>
        <w:rPr>
          <w:sz w:val="28"/>
        </w:rPr>
      </w:r>
    </w:p>
    <w:p>
      <w:pPr>
        <w:pBdr/>
        <w:spacing/>
        <w:ind/>
        <w:jc w:val="both"/>
        <w:rPr/>
      </w:pPr>
      <w:r>
        <w:t xml:space="preserve">BACON =&gt; base de connaissance nationale. Métadonnées libres pour le signalement de la documentation électronique.</w:t>
      </w:r>
      <w:r/>
    </w:p>
    <w:p>
      <w:pPr>
        <w:pBdr/>
        <w:spacing/>
        <w:ind/>
        <w:jc w:val="both"/>
        <w:rPr>
          <w:sz w:val="24"/>
        </w:rPr>
      </w:pPr>
      <w:r>
        <w:rPr>
          <w:sz w:val="24"/>
        </w:rPr>
        <w:t xml:space="preserve">ISTEX :de la plateforme de référence à l’infrastructure de recherche (article de 2022 sur Ar(</w:t>
      </w:r>
      <w:r>
        <w:rPr>
          <w:sz w:val="24"/>
        </w:rPr>
        <w:t xml:space="preserve">abes</w:t>
      </w:r>
      <w:r>
        <w:rPr>
          <w:sz w:val="24"/>
        </w:rPr>
        <w:t xml:space="preserve">)</w:t>
      </w:r>
      <w:r>
        <w:rPr>
          <w:sz w:val="24"/>
        </w:rPr>
        <w:t xml:space="preserve">ques</w:t>
      </w:r>
      <w:r>
        <w:rPr>
          <w:sz w:val="24"/>
        </w:rPr>
        <w:t xml:space="preserve"> : </w:t>
      </w:r>
      <w:hyperlink r:id="rId9" w:tooltip="https://publications-prairial.fr/arabesques/index.php?id=3090&amp;lang=fr" w:history="1">
        <w:r>
          <w:rPr>
            <w:rStyle w:val="675"/>
            <w:sz w:val="24"/>
          </w:rPr>
          <w:t xml:space="preserve">https://publications-prairial.fr/arabesques/index.php?id=3090&amp;lang=fr</w:t>
        </w:r>
      </w:hyperlink>
      <w:r>
        <w:rPr>
          <w:sz w:val="24"/>
        </w:rPr>
        <w:t xml:space="preserve">).</w:t>
      </w:r>
      <w:r>
        <w:rPr>
          <w:sz w:val="24"/>
        </w:rPr>
      </w:r>
    </w:p>
    <w:p>
      <w:pPr>
        <w:pBdr/>
        <w:spacing/>
        <w:ind/>
        <w:jc w:val="both"/>
        <w:rPr>
          <w:sz w:val="24"/>
        </w:rPr>
      </w:pPr>
      <w:r/>
      <w:hyperlink r:id="rId10" w:tooltip="https://abes.fr/wp-content/uploads/2020/05/istex.pdf" w:history="1">
        <w:r>
          <w:rPr>
            <w:rStyle w:val="675"/>
            <w:sz w:val="24"/>
          </w:rPr>
          <w:t xml:space="preserve">https://abes.fr/wp-content/uploads/2020/05/istex.pdf</w:t>
        </w:r>
      </w:hyperlink>
      <w:r>
        <w:rPr>
          <w:sz w:val="24"/>
        </w:rPr>
        <w:t xml:space="preserve"> : synthèse rédigée par Raymond Bérard, directeur de l’ABES. Sujet : ISTEX, vers des services innovants d’accès à la connaissance.</w:t>
      </w:r>
      <w:r>
        <w:rPr>
          <w:sz w:val="24"/>
        </w:rPr>
      </w:r>
    </w:p>
    <w:p>
      <w:pPr>
        <w:pStyle w:val="673"/>
        <w:numPr>
          <w:ilvl w:val="0"/>
          <w:numId w:val="2"/>
        </w:numPr>
        <w:pBdr/>
        <w:spacing/>
        <w:ind/>
        <w:jc w:val="both"/>
        <w:rPr>
          <w:sz w:val="24"/>
        </w:rPr>
      </w:pPr>
      <w:r>
        <w:rPr>
          <w:sz w:val="24"/>
        </w:rPr>
        <w:t xml:space="preserve">ISTEX vise à la réalisation d’un socle documentaire numérique pérenne, commun à l’ensemble des Initiatives d’excellence dans les établissements et organismes concernés.</w:t>
      </w:r>
      <w:r>
        <w:rPr>
          <w:sz w:val="24"/>
        </w:rPr>
      </w:r>
    </w:p>
    <w:p>
      <w:pPr>
        <w:pBdr/>
        <w:spacing/>
        <w:ind/>
        <w:jc w:val="both"/>
        <w:rPr>
          <w:sz w:val="24"/>
        </w:rPr>
      </w:pPr>
      <w:r>
        <w:rPr>
          <w:sz w:val="24"/>
        </w:rPr>
        <w:t xml:space="preserve">Services attendus : </w:t>
      </w:r>
      <w:r>
        <w:rPr>
          <w:sz w:val="24"/>
        </w:rPr>
      </w:r>
    </w:p>
    <w:p>
      <w:pPr>
        <w:pStyle w:val="673"/>
        <w:numPr>
          <w:ilvl w:val="0"/>
          <w:numId w:val="2"/>
        </w:numPr>
        <w:pBdr/>
        <w:spacing/>
        <w:ind/>
        <w:jc w:val="both"/>
        <w:rPr>
          <w:sz w:val="24"/>
        </w:rPr>
      </w:pPr>
      <w:r>
        <w:rPr>
          <w:sz w:val="24"/>
        </w:rPr>
        <w:t xml:space="preserve">Mise en ligne </w:t>
      </w:r>
      <w:r>
        <w:rPr>
          <w:sz w:val="24"/>
        </w:rPr>
        <w:t xml:space="preserve">de ces informations en texte intégral structuré permet de développer des fonctionnalités modernes d’extraction de connaissances basées sur les technologies de la fouille de texte (</w:t>
      </w:r>
      <w:r>
        <w:rPr>
          <w:i/>
          <w:sz w:val="24"/>
        </w:rPr>
        <w:t xml:space="preserve">Text</w:t>
      </w:r>
      <w:r>
        <w:rPr>
          <w:i/>
          <w:sz w:val="24"/>
        </w:rPr>
        <w:t xml:space="preserve"> Mining, Data Mining</w:t>
      </w:r>
      <w:r>
        <w:rPr>
          <w:sz w:val="24"/>
        </w:rPr>
        <w:t xml:space="preserve">). </w:t>
      </w:r>
      <w:r>
        <w:rPr>
          <w:sz w:val="24"/>
        </w:rPr>
      </w:r>
    </w:p>
    <w:p>
      <w:pPr>
        <w:pStyle w:val="673"/>
        <w:numPr>
          <w:ilvl w:val="1"/>
          <w:numId w:val="2"/>
        </w:numPr>
        <w:pBdr/>
        <w:spacing/>
        <w:ind/>
        <w:jc w:val="both"/>
        <w:rPr>
          <w:sz w:val="24"/>
        </w:rPr>
      </w:pPr>
      <w:r>
        <w:rPr>
          <w:sz w:val="24"/>
        </w:rPr>
        <w:t xml:space="preserve">Opérations : extrair</w:t>
      </w:r>
      <w:r>
        <w:rPr>
          <w:sz w:val="24"/>
        </w:rPr>
        <w:t xml:space="preserve">e des éléments d’information d’un texte ou d’un ensemble de textes sur la base de critères d’expression, de similitude ou de proximité de termes figurant dans le texte intégral mais pas nécessairement présents dans les métadonnées produites antérieurement.</w:t>
      </w:r>
      <w:r>
        <w:rPr>
          <w:sz w:val="24"/>
        </w:rPr>
      </w:r>
    </w:p>
    <w:p>
      <w:pPr>
        <w:pStyle w:val="673"/>
        <w:numPr>
          <w:ilvl w:val="0"/>
          <w:numId w:val="2"/>
        </w:numPr>
        <w:pBdr/>
        <w:spacing/>
        <w:ind/>
        <w:jc w:val="both"/>
        <w:rPr>
          <w:sz w:val="24"/>
        </w:rPr>
      </w:pPr>
      <w:r>
        <w:rPr>
          <w:sz w:val="24"/>
        </w:rPr>
        <w:t xml:space="preserve">Traitements d’extraction de connaissances représentent des voies extrêmement prometteuses d’accès aux textes mais permettent également de produire les référentiels terminologiques, indispensables aux mécanismes d’indexation automatique.</w:t>
      </w:r>
      <w:r>
        <w:rPr>
          <w:sz w:val="24"/>
        </w:rPr>
      </w:r>
    </w:p>
    <w:p>
      <w:pPr>
        <w:pStyle w:val="673"/>
        <w:numPr>
          <w:ilvl w:val="0"/>
          <w:numId w:val="2"/>
        </w:numPr>
        <w:pBdr/>
        <w:spacing/>
        <w:ind/>
        <w:jc w:val="both"/>
        <w:rPr>
          <w:sz w:val="24"/>
        </w:rPr>
      </w:pPr>
      <w:r>
        <w:rPr>
          <w:sz w:val="24"/>
        </w:rPr>
        <w:t xml:space="preserve">Services proposés de deux natures : </w:t>
      </w:r>
      <w:r>
        <w:rPr>
          <w:sz w:val="24"/>
        </w:rPr>
      </w:r>
    </w:p>
    <w:p>
      <w:pPr>
        <w:pStyle w:val="673"/>
        <w:numPr>
          <w:ilvl w:val="1"/>
          <w:numId w:val="2"/>
        </w:numPr>
        <w:pBdr/>
        <w:spacing/>
        <w:ind/>
        <w:jc w:val="both"/>
        <w:rPr>
          <w:sz w:val="24"/>
        </w:rPr>
      </w:pPr>
      <w:r>
        <w:rPr>
          <w:sz w:val="24"/>
        </w:rPr>
        <w:t xml:space="preserve">Accès vers le texte intégral d’un article ou de tout objet documentaire numérique individualisé (thèse, livre, chapitre…) via une interrogation de métadonnées. Intégrer dans le futur dans des outils de signalement comme le SUDOC.</w:t>
      </w:r>
      <w:r>
        <w:rPr>
          <w:sz w:val="24"/>
        </w:rPr>
      </w:r>
    </w:p>
    <w:p>
      <w:pPr>
        <w:pStyle w:val="673"/>
        <w:numPr>
          <w:ilvl w:val="1"/>
          <w:numId w:val="2"/>
        </w:numPr>
        <w:pBdr/>
        <w:spacing/>
        <w:ind/>
        <w:jc w:val="both"/>
        <w:rPr>
          <w:sz w:val="24"/>
        </w:rPr>
      </w:pPr>
      <w:r>
        <w:rPr>
          <w:sz w:val="24"/>
        </w:rPr>
        <w:t xml:space="preserve">Services à valeur ajoutée basés sur le traitement des données en texte intégral comme :</w:t>
      </w:r>
      <w:r>
        <w:rPr>
          <w:sz w:val="24"/>
        </w:rPr>
      </w:r>
    </w:p>
    <w:p>
      <w:pPr>
        <w:pStyle w:val="673"/>
        <w:numPr>
          <w:ilvl w:val="2"/>
          <w:numId w:val="2"/>
        </w:numPr>
        <w:pBdr/>
        <w:spacing/>
        <w:ind/>
        <w:jc w:val="both"/>
        <w:rPr>
          <w:sz w:val="24"/>
        </w:rPr>
      </w:pPr>
      <w:r>
        <w:rPr>
          <w:sz w:val="24"/>
        </w:rPr>
        <w:t xml:space="preserve">Interrogation en texte intégral sur les objets numériques indexés dans leur totalité </w:t>
      </w:r>
      <w:r>
        <w:rPr>
          <w:sz w:val="24"/>
        </w:rPr>
      </w:r>
    </w:p>
    <w:p>
      <w:pPr>
        <w:pStyle w:val="673"/>
        <w:numPr>
          <w:ilvl w:val="2"/>
          <w:numId w:val="2"/>
        </w:numPr>
        <w:pBdr/>
        <w:spacing/>
        <w:ind/>
        <w:jc w:val="both"/>
        <w:rPr>
          <w:sz w:val="24"/>
        </w:rPr>
      </w:pPr>
      <w:r>
        <w:rPr>
          <w:sz w:val="24"/>
        </w:rPr>
        <w:t xml:space="preserve">Production de corpus terminologiques</w:t>
      </w:r>
      <w:r>
        <w:rPr>
          <w:sz w:val="24"/>
        </w:rPr>
      </w:r>
    </w:p>
    <w:p>
      <w:pPr>
        <w:pStyle w:val="673"/>
        <w:numPr>
          <w:ilvl w:val="2"/>
          <w:numId w:val="2"/>
        </w:numPr>
        <w:pBdr/>
        <w:spacing/>
        <w:ind/>
        <w:jc w:val="both"/>
        <w:rPr>
          <w:sz w:val="24"/>
        </w:rPr>
      </w:pPr>
      <w:r>
        <w:rPr>
          <w:sz w:val="24"/>
        </w:rPr>
        <w:t xml:space="preserve">Utilisation à des fins de recherche en ingénierie de la langue : lexicographie, morphosyntaxe, traduction, etc.</w:t>
      </w:r>
      <w:r>
        <w:rPr>
          <w:sz w:val="24"/>
        </w:rPr>
      </w:r>
    </w:p>
    <w:p>
      <w:pPr>
        <w:pStyle w:val="673"/>
        <w:numPr>
          <w:ilvl w:val="0"/>
          <w:numId w:val="2"/>
        </w:numPr>
        <w:pBdr/>
        <w:spacing/>
        <w:ind/>
        <w:jc w:val="both"/>
        <w:rPr>
          <w:sz w:val="24"/>
        </w:rPr>
      </w:pPr>
      <w:r>
        <w:rPr>
          <w:sz w:val="24"/>
        </w:rPr>
        <w:t xml:space="preserve">Services à valeur ajouté ne peuvent fonctionner qu’aux </w:t>
      </w:r>
      <w:r>
        <w:rPr>
          <w:sz w:val="24"/>
        </w:rPr>
        <w:t xml:space="preserve">cdts</w:t>
      </w:r>
      <w:r>
        <w:rPr>
          <w:sz w:val="24"/>
        </w:rPr>
        <w:t xml:space="preserve"> suivantes : données en locales, dans des formats manipulables et structurés (XML ou XML/PDF), et disposer des droits d’extraction et de traitement.</w:t>
      </w:r>
      <w:r>
        <w:rPr>
          <w:sz w:val="24"/>
        </w:rPr>
      </w:r>
    </w:p>
    <w:p>
      <w:pPr>
        <w:pStyle w:val="673"/>
        <w:numPr>
          <w:ilvl w:val="0"/>
          <w:numId w:val="2"/>
        </w:numPr>
        <w:pBdr/>
        <w:spacing/>
        <w:ind/>
        <w:jc w:val="both"/>
        <w:rPr>
          <w:sz w:val="24"/>
        </w:rPr>
      </w:pPr>
      <w:r>
        <w:rPr>
          <w:sz w:val="24"/>
        </w:rPr>
        <w:t xml:space="preserve">La plateforme ISTEX </w:t>
      </w:r>
      <w:r>
        <w:rPr>
          <w:sz w:val="24"/>
        </w:rPr>
        <w:t xml:space="preserve">permettra à toutes les structures qui le souhaitent, et notamment à </w:t>
      </w:r>
      <w:r>
        <w:rPr>
          <w:sz w:val="24"/>
        </w:rPr>
        <w:t xml:space="preserve">chq</w:t>
      </w:r>
      <w:r>
        <w:rPr>
          <w:sz w:val="24"/>
        </w:rPr>
        <w:t xml:space="preserve"> IDEX, de développer des services propres en configurant à partir de ce socle sa </w:t>
      </w:r>
      <w:r>
        <w:rPr>
          <w:sz w:val="24"/>
        </w:rPr>
        <w:t xml:space="preserve">propre bibliothèque numérique en fonction de ses objectifs en matière de documentation et d’IST.</w:t>
      </w:r>
      <w:r>
        <w:rPr>
          <w:sz w:val="24"/>
        </w:rPr>
      </w:r>
    </w:p>
    <w:p>
      <w:pPr>
        <w:pBdr/>
        <w:spacing/>
        <w:ind w:left="360"/>
        <w:jc w:val="both"/>
        <w:rPr>
          <w:sz w:val="24"/>
        </w:rPr>
      </w:pPr>
      <w:r/>
      <w:hyperlink r:id="rId11" w:tooltip="https://www.couperin.org/negociations/collex/test-4-istex/" w:history="1">
        <w:r>
          <w:rPr>
            <w:rStyle w:val="675"/>
            <w:sz w:val="24"/>
          </w:rPr>
          <w:t xml:space="preserve">https://www.couperin.org/negociations/collex/test-4-istex/</w:t>
        </w:r>
      </w:hyperlink>
      <w:r>
        <w:rPr>
          <w:sz w:val="24"/>
        </w:rPr>
        <w:t xml:space="preserve"> : ISTEX : plateforme nationale pour l’accès pérenne à la documentation scientifique</w:t>
      </w:r>
      <w:r>
        <w:rPr>
          <w:sz w:val="24"/>
        </w:rPr>
      </w:r>
    </w:p>
    <w:p>
      <w:pPr>
        <w:pBdr/>
        <w:spacing/>
        <w:ind w:left="360"/>
        <w:jc w:val="both"/>
        <w:rPr>
          <w:sz w:val="24"/>
        </w:rPr>
      </w:pPr>
      <w:r>
        <w:rPr>
          <w:sz w:val="24"/>
        </w:rPr>
        <w:t xml:space="preserve">ISTEX : Infrastructure de services pour la fouille de textes.</w:t>
      </w:r>
      <w:r>
        <w:rPr>
          <w:sz w:val="24"/>
        </w:rPr>
      </w:r>
    </w:p>
    <w:p>
      <w:pPr>
        <w:pStyle w:val="673"/>
        <w:numPr>
          <w:ilvl w:val="0"/>
          <w:numId w:val="2"/>
        </w:numPr>
        <w:pBdr/>
        <w:spacing/>
        <w:ind/>
        <w:jc w:val="both"/>
        <w:rPr>
          <w:sz w:val="24"/>
        </w:rPr>
      </w:pPr>
      <w:r>
        <w:rPr>
          <w:sz w:val="24"/>
        </w:rPr>
        <w:t xml:space="preserve">Ressource incontournable pour la recherche documentaire, l’enseignement et l’exploration par </w:t>
      </w:r>
      <w:r>
        <w:rPr>
          <w:i/>
          <w:sz w:val="24"/>
        </w:rPr>
        <w:t xml:space="preserve">Text</w:t>
      </w:r>
      <w:r>
        <w:rPr>
          <w:i/>
          <w:sz w:val="24"/>
        </w:rPr>
        <w:t xml:space="preserve"> and Data Mining (TDM)</w:t>
      </w:r>
      <w:r>
        <w:rPr>
          <w:sz w:val="24"/>
        </w:rPr>
        <w:t xml:space="preserve">.</w:t>
      </w:r>
      <w:r>
        <w:rPr>
          <w:sz w:val="24"/>
        </w:rPr>
      </w:r>
    </w:p>
    <w:p>
      <w:pPr>
        <w:pBdr/>
        <w:spacing/>
        <w:ind/>
        <w:jc w:val="both"/>
        <w:rPr>
          <w:sz w:val="24"/>
        </w:rPr>
      </w:pPr>
      <w:r/>
      <w:hyperlink r:id="rId12" w:tooltip="https://www.klippa.com/fr/blog/informations/quest-ce-que-tesseract-ocr/" w:history="1">
        <w:r>
          <w:rPr>
            <w:rStyle w:val="675"/>
            <w:sz w:val="24"/>
          </w:rPr>
          <w:t xml:space="preserve">https://www.klippa.com/fr/blog/informations/quest-ce-que-tesseract-ocr/</w:t>
        </w:r>
      </w:hyperlink>
      <w:r>
        <w:rPr>
          <w:sz w:val="24"/>
        </w:rPr>
        <w:t xml:space="preserve"> : </w:t>
      </w:r>
      <w:r>
        <w:rPr>
          <w:sz w:val="24"/>
        </w:rPr>
        <w:t xml:space="preserve">Tesseract</w:t>
      </w:r>
      <w:r>
        <w:rPr>
          <w:sz w:val="24"/>
        </w:rPr>
        <w:t xml:space="preserve"> OCR : qu’est-ce que c’est ?</w:t>
      </w:r>
      <w:r>
        <w:rPr>
          <w:sz w:val="24"/>
        </w:rPr>
      </w:r>
    </w:p>
    <w:p>
      <w:pPr>
        <w:pBdr/>
        <w:spacing/>
        <w:ind/>
        <w:jc w:val="both"/>
        <w:rPr>
          <w:sz w:val="24"/>
        </w:rPr>
      </w:pPr>
      <w:r>
        <w:rPr>
          <w:sz w:val="24"/>
        </w:rPr>
        <w:t xml:space="preserve">Considéré</w:t>
      </w:r>
      <w:r>
        <w:rPr>
          <w:sz w:val="24"/>
        </w:rPr>
        <w:t xml:space="preserve"> comme un outil open-source pour faire de l’OCR mais contrairement à d’autres outils sur le marché c’est un outil « ancien ». </w:t>
      </w:r>
      <w:r>
        <w:rPr>
          <w:sz w:val="24"/>
        </w:rPr>
        <w:t xml:space="preserve">Avantage</w:t>
      </w:r>
      <w:r>
        <w:rPr>
          <w:sz w:val="24"/>
        </w:rPr>
        <w:t xml:space="preserve"> :</w:t>
      </w:r>
      <w:r>
        <w:rPr>
          <w:sz w:val="24"/>
        </w:rPr>
        <w:t xml:space="preserve"> fonctionne avec Python avec bibliothèque Pytesseract.</w:t>
      </w:r>
      <w:r>
        <w:rPr>
          <w:sz w:val="24"/>
        </w:rPr>
      </w:r>
    </w:p>
    <w:p>
      <w:pPr>
        <w:pBdr/>
        <w:spacing/>
        <w:ind/>
        <w:jc w:val="both"/>
        <w:rPr>
          <w:sz w:val="24"/>
        </w:rPr>
      </w:pPr>
      <w:r>
        <w:rPr>
          <w:sz w:val="24"/>
        </w:rPr>
        <w:t xml:space="preserve">Annonce faite sur le site de l’ABES : projet </w:t>
      </w:r>
      <w:r>
        <w:rPr>
          <w:sz w:val="24"/>
        </w:rPr>
        <w:t xml:space="preserve">orion</w:t>
      </w:r>
      <w:r>
        <w:rPr>
          <w:sz w:val="24"/>
        </w:rPr>
        <w:t xml:space="preserve"> =&gt; l’ABES choisit la suite </w:t>
      </w:r>
      <w:r>
        <w:rPr>
          <w:sz w:val="24"/>
        </w:rPr>
        <w:t xml:space="preserve">Clarivate</w:t>
      </w:r>
      <w:r>
        <w:rPr>
          <w:sz w:val="24"/>
        </w:rPr>
        <w:t xml:space="preserve"> pour sa future galaxie de services</w:t>
      </w:r>
      <w:r>
        <w:rPr>
          <w:sz w:val="24"/>
        </w:rPr>
      </w:r>
    </w:p>
    <w:p>
      <w:pPr>
        <w:pBdr/>
        <w:spacing/>
        <w:ind/>
        <w:jc w:val="both"/>
        <w:rPr>
          <w:sz w:val="24"/>
        </w:rPr>
      </w:pPr>
      <w:r>
        <w:rPr>
          <w:sz w:val="24"/>
        </w:rPr>
        <w:t xml:space="preserve">Un choix stratégique, budgétaire et institutionnel</w:t>
      </w:r>
      <w:r>
        <w:rPr>
          <w:sz w:val="24"/>
        </w:rPr>
      </w:r>
    </w:p>
    <w:p>
      <w:pPr>
        <w:pBdr/>
        <w:spacing/>
        <w:ind/>
        <w:jc w:val="both"/>
        <w:rPr>
          <w:sz w:val="24"/>
        </w:rPr>
      </w:pPr>
      <w:r>
        <w:rPr>
          <w:sz w:val="24"/>
        </w:rPr>
        <w:t xml:space="preserve">Inscription dans une dynamique globale de modernisation et de sécurisation technique. </w:t>
      </w:r>
      <w:r>
        <w:rPr>
          <w:sz w:val="24"/>
        </w:rPr>
      </w:r>
    </w:p>
    <w:p>
      <w:pPr>
        <w:pBdr/>
        <w:spacing/>
        <w:ind/>
        <w:jc w:val="both"/>
        <w:rPr>
          <w:sz w:val="24"/>
        </w:rPr>
      </w:pPr>
      <w:r>
        <w:rPr>
          <w:sz w:val="24"/>
        </w:rPr>
        <w:t xml:space="preserve">Choix de cette suite logicielle s’impose d’abord comme une décision pragmatique, dictée par la réalité incontournable du marché mondial de l’informatique documentaire. </w:t>
      </w:r>
      <w:r>
        <w:rPr>
          <w:sz w:val="24"/>
        </w:rPr>
      </w:r>
    </w:p>
    <w:p>
      <w:pPr>
        <w:pBdr/>
        <w:spacing/>
        <w:ind/>
        <w:jc w:val="both"/>
        <w:rPr>
          <w:sz w:val="24"/>
        </w:rPr>
      </w:pPr>
      <w:r>
        <w:rPr>
          <w:sz w:val="24"/>
        </w:rPr>
        <w:t xml:space="preserve">Contexte économique contraint : attribution garantit un rapport</w:t>
      </w:r>
      <w:r>
        <w:rPr>
          <w:sz w:val="24"/>
        </w:rPr>
        <w:t xml:space="preserve"> qualité-prix exceptionnel pour l’agence et ses réseaux. Amélioration sensible de la qualité du service offert tout en maintenant un coût mesuré, répondant ainsi à l’exigence d’exemplarité et d’efficacité de l’Etat dans la consommation des deniers publics.</w:t>
      </w:r>
      <w:r>
        <w:rPr>
          <w:sz w:val="24"/>
        </w:rPr>
      </w:r>
    </w:p>
    <w:p>
      <w:pPr>
        <w:pBdr/>
        <w:spacing/>
        <w:ind/>
        <w:jc w:val="both"/>
        <w:rPr>
          <w:sz w:val="24"/>
        </w:rPr>
      </w:pPr>
      <w:r>
        <w:rPr>
          <w:sz w:val="24"/>
        </w:rPr>
        <w:t xml:space="preserve">Opportunité unique de renouvellement de nos pratiques de signalement et de gestion des collections, et de réinsérer nos métiers fondamentaux (le signalement et l’informatique documentaire) au cœur des grandes évolutions internationales.</w:t>
      </w:r>
      <w:r>
        <w:rPr>
          <w:sz w:val="24"/>
        </w:rPr>
      </w:r>
    </w:p>
    <w:p>
      <w:pPr>
        <w:pBdr/>
        <w:spacing/>
        <w:ind/>
        <w:jc w:val="both"/>
        <w:rPr>
          <w:sz w:val="24"/>
        </w:rPr>
      </w:pPr>
      <w:r>
        <w:rPr>
          <w:sz w:val="24"/>
        </w:rPr>
        <w:t xml:space="preserve">Les défis de la transition : </w:t>
      </w:r>
      <w:r>
        <w:rPr>
          <w:sz w:val="24"/>
        </w:rPr>
      </w:r>
    </w:p>
    <w:p>
      <w:pPr>
        <w:pBdr/>
        <w:spacing/>
        <w:ind/>
        <w:jc w:val="both"/>
        <w:rPr>
          <w:sz w:val="24"/>
        </w:rPr>
      </w:pPr>
      <w:r>
        <w:rPr>
          <w:sz w:val="24"/>
        </w:rPr>
        <w:t xml:space="preserve">Passage à ces nouveaux outils doit permettre de relever 4 défis majeurs : </w:t>
      </w:r>
      <w:r>
        <w:rPr>
          <w:sz w:val="24"/>
        </w:rPr>
      </w:r>
    </w:p>
    <w:p>
      <w:pPr>
        <w:pStyle w:val="673"/>
        <w:numPr>
          <w:ilvl w:val="0"/>
          <w:numId w:val="2"/>
        </w:numPr>
        <w:pBdr/>
        <w:spacing/>
        <w:ind/>
        <w:jc w:val="both"/>
        <w:rPr>
          <w:sz w:val="24"/>
        </w:rPr>
      </w:pPr>
      <w:r>
        <w:rPr>
          <w:sz w:val="24"/>
        </w:rPr>
        <w:t xml:space="preserve">Evoluer vers les modèles entités-relations pour restructurer les formats de données et rendre les parcours des utilisateurs dans nos collections plus lisibles. </w:t>
      </w:r>
      <w:r>
        <w:rPr>
          <w:sz w:val="24"/>
        </w:rPr>
      </w:r>
    </w:p>
    <w:p>
      <w:pPr>
        <w:pStyle w:val="673"/>
        <w:numPr>
          <w:ilvl w:val="0"/>
          <w:numId w:val="2"/>
        </w:numPr>
        <w:pBdr/>
        <w:spacing/>
        <w:ind/>
        <w:jc w:val="both"/>
        <w:rPr>
          <w:sz w:val="24"/>
        </w:rPr>
      </w:pPr>
      <w:r>
        <w:rPr>
          <w:sz w:val="24"/>
        </w:rPr>
        <w:t xml:space="preserve">Adapter nos outils à la documentation électronique en fluidifiant les circuits de valorisation des ressources, quel qu’en soit le support, dans un contexte où la notion de collection est mouvante.</w:t>
      </w:r>
      <w:r>
        <w:rPr>
          <w:sz w:val="24"/>
        </w:rPr>
      </w:r>
    </w:p>
    <w:p>
      <w:pPr>
        <w:pStyle w:val="673"/>
        <w:numPr>
          <w:ilvl w:val="0"/>
          <w:numId w:val="2"/>
        </w:numPr>
        <w:pBdr/>
        <w:spacing/>
        <w:ind/>
        <w:jc w:val="both"/>
        <w:rPr>
          <w:sz w:val="24"/>
        </w:rPr>
      </w:pPr>
      <w:r>
        <w:rPr>
          <w:sz w:val="24"/>
        </w:rPr>
        <w:t xml:space="preserve">Favoriser la circulation des données au sein de l’écosystème de l’ESR, pour des usages variés allant des bibliothèques au pilotage, en passant par la recherche et l’ingénierie pédagogique. </w:t>
      </w:r>
      <w:r>
        <w:rPr>
          <w:sz w:val="24"/>
        </w:rPr>
      </w:r>
    </w:p>
    <w:p>
      <w:pPr>
        <w:pStyle w:val="673"/>
        <w:numPr>
          <w:ilvl w:val="0"/>
          <w:numId w:val="2"/>
        </w:numPr>
        <w:pBdr/>
        <w:spacing/>
        <w:ind/>
        <w:jc w:val="both"/>
        <w:rPr>
          <w:sz w:val="24"/>
        </w:rPr>
      </w:pPr>
      <w:r>
        <w:rPr>
          <w:sz w:val="24"/>
        </w:rPr>
        <w:t xml:space="preserve">Moderniser la fourniture de documents à distance grâce à des outils performants et solidement </w:t>
      </w:r>
      <w:r>
        <w:rPr>
          <w:sz w:val="24"/>
        </w:rPr>
        <w:t xml:space="preserve">implantés dans le paysage documentaire.</w:t>
      </w:r>
      <w:r>
        <w:rPr>
          <w:sz w:val="24"/>
        </w:rPr>
      </w:r>
    </w:p>
    <w:p>
      <w:pPr>
        <w:pBdr/>
        <w:spacing/>
        <w:ind/>
        <w:jc w:val="both"/>
        <w:rPr>
          <w:b/>
          <w:sz w:val="28"/>
        </w:rPr>
      </w:pPr>
      <w:r>
        <w:rPr>
          <w:b/>
          <w:sz w:val="28"/>
        </w:rPr>
        <w:t xml:space="preserve">Perspectives techniques et fonctionnelles </w:t>
      </w:r>
      <w:r>
        <w:rPr>
          <w:b/>
          <w:sz w:val="28"/>
        </w:rPr>
      </w:r>
    </w:p>
    <w:p>
      <w:pPr>
        <w:pBdr/>
        <w:spacing/>
        <w:ind/>
        <w:jc w:val="both"/>
        <w:rPr>
          <w:b/>
          <w:i/>
          <w:sz w:val="24"/>
        </w:rPr>
      </w:pPr>
      <w:r>
        <w:rPr>
          <w:b/>
          <w:i/>
          <w:sz w:val="24"/>
        </w:rPr>
        <w:t xml:space="preserve">Gestion des métadonnées et transition bibliographique (Alma)</w:t>
      </w:r>
      <w:r>
        <w:rPr>
          <w:b/>
          <w:i/>
          <w:sz w:val="24"/>
        </w:rPr>
      </w:r>
    </w:p>
    <w:p>
      <w:pPr>
        <w:pBdr/>
        <w:spacing/>
        <w:ind/>
        <w:jc w:val="both"/>
        <w:rPr>
          <w:sz w:val="24"/>
        </w:rPr>
      </w:pPr>
      <w:r>
        <w:rPr>
          <w:sz w:val="24"/>
        </w:rPr>
        <w:t xml:space="preserve">Un des points forts d’Alma : capacité à supporter une grande variété de formats. Pour le réseau de l’ABES, système assurera la gestion </w:t>
      </w:r>
      <w:r>
        <w:rPr>
          <w:sz w:val="24"/>
        </w:rPr>
        <w:t xml:space="preserve">Unimarc</w:t>
      </w:r>
      <w:r>
        <w:rPr>
          <w:sz w:val="24"/>
        </w:rPr>
        <w:t xml:space="preserve"> pour le catalogage et du KBART pour la base de connaissance.</w:t>
      </w:r>
      <w:r>
        <w:rPr>
          <w:sz w:val="24"/>
        </w:rPr>
      </w:r>
    </w:p>
    <w:p>
      <w:pPr>
        <w:pBdr/>
        <w:spacing/>
        <w:ind/>
        <w:jc w:val="both"/>
        <w:rPr>
          <w:sz w:val="24"/>
        </w:rPr>
      </w:pPr>
      <w:r>
        <w:rPr>
          <w:sz w:val="24"/>
        </w:rPr>
        <w:t xml:space="preserve">Logiciel : accompagnement à la transition bibliographique en intégrant déjà le modèle </w:t>
      </w:r>
      <w:r>
        <w:rPr>
          <w:sz w:val="24"/>
        </w:rPr>
        <w:t xml:space="preserve">Bibframe</w:t>
      </w:r>
      <w:r>
        <w:rPr>
          <w:sz w:val="24"/>
        </w:rPr>
        <w:t xml:space="preserve"> et en prévoyant l’intégration du code de catalogage RDA dès 2027.</w:t>
      </w:r>
      <w:r>
        <w:rPr>
          <w:sz w:val="24"/>
        </w:rPr>
      </w:r>
    </w:p>
    <w:p>
      <w:pPr>
        <w:pBdr/>
        <w:spacing/>
        <w:ind/>
        <w:jc w:val="both"/>
        <w:rPr>
          <w:sz w:val="24"/>
        </w:rPr>
      </w:pPr>
      <w:r>
        <w:rPr>
          <w:sz w:val="24"/>
        </w:rPr>
        <w:t xml:space="preserve">Outil : maintenir la densité des liens propre au </w:t>
      </w:r>
      <w:r>
        <w:rPr>
          <w:sz w:val="24"/>
        </w:rPr>
        <w:t xml:space="preserve">Sudoc</w:t>
      </w:r>
      <w:r>
        <w:rPr>
          <w:sz w:val="24"/>
        </w:rPr>
        <w:t xml:space="preserve"> tout en ouvrant le catalogue sur le web de données (</w:t>
      </w:r>
      <w:r>
        <w:rPr>
          <w:i/>
          <w:sz w:val="24"/>
        </w:rPr>
        <w:t xml:space="preserve">linked</w:t>
      </w:r>
      <w:r>
        <w:rPr>
          <w:i/>
          <w:sz w:val="24"/>
        </w:rPr>
        <w:t xml:space="preserve"> open data</w:t>
      </w:r>
      <w:r>
        <w:rPr>
          <w:sz w:val="24"/>
        </w:rPr>
        <w:t xml:space="preserve">) grâce à des connexions avec des référentiels externes.</w:t>
      </w:r>
      <w:r>
        <w:rPr>
          <w:sz w:val="24"/>
        </w:rPr>
      </w:r>
    </w:p>
    <w:p>
      <w:pPr>
        <w:pBdr/>
        <w:spacing/>
        <w:ind/>
        <w:jc w:val="both"/>
        <w:rPr>
          <w:sz w:val="24"/>
        </w:rPr>
      </w:pPr>
      <w:r>
        <w:rPr>
          <w:sz w:val="24"/>
        </w:rPr>
        <w:t xml:space="preserve">Interface de catalogage : entièrement </w:t>
      </w:r>
      <w:r>
        <w:rPr>
          <w:i/>
          <w:sz w:val="24"/>
        </w:rPr>
        <w:t xml:space="preserve">full web</w:t>
      </w:r>
      <w:r>
        <w:rPr>
          <w:sz w:val="24"/>
        </w:rPr>
        <w:t xml:space="preserve">, fera coexister les modes expert et semi-expert. </w:t>
      </w:r>
      <w:r>
        <w:rPr>
          <w:sz w:val="24"/>
        </w:rPr>
      </w:r>
    </w:p>
    <w:p>
      <w:pPr>
        <w:pBdr/>
        <w:spacing/>
        <w:ind/>
        <w:jc w:val="both"/>
        <w:rPr>
          <w:sz w:val="24"/>
        </w:rPr>
      </w:pPr>
      <w:r>
        <w:rPr>
          <w:sz w:val="24"/>
        </w:rPr>
        <w:t xml:space="preserve">Envisage de mettre à disposition des professionnels des outils de </w:t>
      </w:r>
      <w:r>
        <w:rPr>
          <w:sz w:val="24"/>
        </w:rPr>
        <w:t xml:space="preserve">requêtage</w:t>
      </w:r>
      <w:r>
        <w:rPr>
          <w:sz w:val="24"/>
        </w:rPr>
        <w:t xml:space="preserve"> robustes et de fonctionnalités de contrôle qualité indispensables à un catalogue partagé. </w:t>
      </w:r>
      <w:r>
        <w:rPr>
          <w:sz w:val="24"/>
        </w:rPr>
      </w:r>
    </w:p>
    <w:p>
      <w:pPr>
        <w:pBdr/>
        <w:spacing/>
        <w:ind/>
        <w:jc w:val="both"/>
        <w:rPr>
          <w:sz w:val="24"/>
        </w:rPr>
      </w:pPr>
      <w:r>
        <w:rPr>
          <w:sz w:val="24"/>
        </w:rPr>
        <w:t xml:space="preserve">Base de connaissance nationale B</w:t>
      </w:r>
      <w:r>
        <w:rPr>
          <w:sz w:val="24"/>
        </w:rPr>
        <w:t xml:space="preserve">ACON verra ses fonctionnalités clés préservées et intégrées au système, ouvrant la voie à une cartographie nationale des abonnements électroniques, à l’usage d’un résolveur de liens collectif et au déploiement d’un ERM partagé pour la gestion des licences.</w:t>
      </w:r>
      <w:r>
        <w:rPr>
          <w:sz w:val="24"/>
        </w:rPr>
      </w:r>
    </w:p>
    <w:p>
      <w:pPr>
        <w:pBdr/>
        <w:spacing/>
        <w:ind/>
        <w:jc w:val="both"/>
        <w:rPr>
          <w:b/>
          <w:i/>
          <w:sz w:val="24"/>
        </w:rPr>
      </w:pPr>
      <w:r>
        <w:rPr>
          <w:b/>
          <w:i/>
          <w:sz w:val="24"/>
        </w:rPr>
        <w:t xml:space="preserve">Flux de données et administration consortiale</w:t>
      </w:r>
      <w:r>
        <w:rPr>
          <w:b/>
          <w:i/>
          <w:sz w:val="24"/>
        </w:rPr>
      </w:r>
    </w:p>
    <w:p>
      <w:pPr>
        <w:pBdr/>
        <w:spacing/>
        <w:ind/>
        <w:jc w:val="both"/>
        <w:rPr>
          <w:sz w:val="24"/>
        </w:rPr>
      </w:pPr>
      <w:r>
        <w:rPr>
          <w:sz w:val="24"/>
        </w:rPr>
        <w:t xml:space="preserve">Enjeux de l’interopérabilité : proposition d’Alma une configuration fine s’appuyant sur des protocoles standards (OAI-PMH</w:t>
      </w:r>
      <w:r>
        <w:rPr>
          <w:sz w:val="24"/>
        </w:rPr>
        <w:t xml:space="preserve">, SRU, Z39.50), des API robustes en lecture/écriture et un gestionnaire de </w:t>
      </w:r>
      <w:r>
        <w:rPr>
          <w:i/>
          <w:sz w:val="24"/>
        </w:rPr>
        <w:t xml:space="preserve">workflows </w:t>
      </w:r>
      <w:r>
        <w:rPr>
          <w:sz w:val="24"/>
        </w:rPr>
        <w:t xml:space="preserve">performant.</w:t>
      </w:r>
      <w:r>
        <w:rPr>
          <w:sz w:val="24"/>
        </w:rPr>
      </w:r>
    </w:p>
    <w:p>
      <w:pPr>
        <w:pBdr/>
        <w:spacing/>
        <w:ind/>
        <w:jc w:val="both"/>
        <w:rPr>
          <w:sz w:val="24"/>
        </w:rPr>
      </w:pPr>
      <w:r>
        <w:rPr>
          <w:sz w:val="24"/>
        </w:rPr>
        <w:t xml:space="preserve">Outils = simplification du catalogage et à fluidifier les échanges dans l’écosystème ESR.</w:t>
      </w:r>
      <w:r>
        <w:rPr>
          <w:sz w:val="24"/>
        </w:rPr>
      </w:r>
    </w:p>
    <w:p>
      <w:pPr>
        <w:pBdr/>
        <w:spacing/>
        <w:ind/>
        <w:jc w:val="both"/>
        <w:rPr>
          <w:sz w:val="24"/>
        </w:rPr>
      </w:pPr>
      <w:r>
        <w:rPr>
          <w:sz w:val="24"/>
        </w:rPr>
        <w:t xml:space="preserve">Plan architectural : futur système ne reproduira pas l’existant à l’identique. Garantit une gestion fine des droits et habilitations à l’échelle des bibliothèques tout en permettant un pilotage des ressources électroniques au niveau institutionnel. </w:t>
      </w:r>
      <w:r>
        <w:rPr>
          <w:sz w:val="24"/>
        </w:rPr>
      </w:r>
    </w:p>
    <w:p>
      <w:pPr>
        <w:pBdr/>
        <w:spacing/>
        <w:ind/>
        <w:jc w:val="both"/>
        <w:rPr>
          <w:sz w:val="24"/>
        </w:rPr>
      </w:pPr>
      <w:r>
        <w:rPr>
          <w:sz w:val="24"/>
        </w:rPr>
        <w:t xml:space="preserve">Contributeurs d’</w:t>
      </w:r>
      <w:r>
        <w:rPr>
          <w:sz w:val="24"/>
        </w:rPr>
        <w:t xml:space="preserve">IdRef</w:t>
      </w:r>
      <w:r>
        <w:rPr>
          <w:sz w:val="24"/>
        </w:rPr>
        <w:t xml:space="preserve"> non-membres du </w:t>
      </w:r>
      <w:r>
        <w:rPr>
          <w:sz w:val="24"/>
        </w:rPr>
        <w:t xml:space="preserve">Sudoc</w:t>
      </w:r>
      <w:r>
        <w:rPr>
          <w:sz w:val="24"/>
        </w:rPr>
        <w:t xml:space="preserve">, un rôle spécifique dédié aux autorités sera créé.</w:t>
      </w:r>
      <w:r>
        <w:rPr>
          <w:sz w:val="24"/>
        </w:rPr>
      </w:r>
    </w:p>
    <w:p>
      <w:pPr>
        <w:pBdr/>
        <w:spacing/>
        <w:ind/>
        <w:jc w:val="both"/>
        <w:rPr>
          <w:sz w:val="24"/>
        </w:rPr>
      </w:pPr>
      <w:r>
        <w:rPr>
          <w:sz w:val="24"/>
        </w:rPr>
        <w:t xml:space="preserve">Administration des comptes professionnels simplifiée grâce à l’interconnexion avec la fédération d’identité </w:t>
      </w:r>
      <w:r>
        <w:rPr>
          <w:sz w:val="24"/>
        </w:rPr>
        <w:t xml:space="preserve">Renater</w:t>
      </w:r>
      <w:r>
        <w:rPr>
          <w:sz w:val="24"/>
        </w:rPr>
        <w:t xml:space="preserve">, complétée par des outils puissants d’historisation et de pilotage statistique.</w:t>
      </w:r>
      <w:r>
        <w:rPr>
          <w:sz w:val="24"/>
        </w:rPr>
      </w:r>
    </w:p>
    <w:p>
      <w:pPr>
        <w:pBdr/>
        <w:spacing/>
        <w:ind/>
        <w:jc w:val="both"/>
        <w:rPr>
          <w:sz w:val="24"/>
        </w:rPr>
      </w:pPr>
      <w:r>
        <w:rPr>
          <w:sz w:val="24"/>
        </w:rPr>
        <w:t xml:space="preserve">Découverte (Primo) et Fourniture de documents (</w:t>
      </w:r>
      <w:r>
        <w:rPr>
          <w:sz w:val="24"/>
        </w:rPr>
        <w:t xml:space="preserve">Rapido</w:t>
      </w:r>
      <w:r>
        <w:rPr>
          <w:sz w:val="24"/>
        </w:rPr>
        <w:t xml:space="preserve">)</w:t>
      </w:r>
      <w:r>
        <w:rPr>
          <w:sz w:val="24"/>
        </w:rPr>
      </w:r>
    </w:p>
    <w:p>
      <w:pPr>
        <w:pBdr/>
        <w:spacing/>
        <w:ind/>
        <w:jc w:val="both"/>
        <w:rPr>
          <w:sz w:val="24"/>
        </w:rPr>
      </w:pPr>
      <w:r>
        <w:rPr>
          <w:sz w:val="24"/>
        </w:rPr>
        <w:t xml:space="preserve">Outil de découverte Primo, l’</w:t>
      </w:r>
      <w:r>
        <w:rPr>
          <w:sz w:val="24"/>
        </w:rPr>
        <w:t xml:space="preserve">Abes</w:t>
      </w:r>
      <w:r>
        <w:rPr>
          <w:sz w:val="24"/>
        </w:rPr>
        <w:t xml:space="preserve"> modernise l’accès public au catalogue en misant sur une structuration enrichie des métadonnées, l’apport de sources externes et une mise en valeur forte des ressources en livres accès.</w:t>
      </w:r>
      <w:r>
        <w:rPr>
          <w:sz w:val="24"/>
        </w:rPr>
      </w:r>
    </w:p>
    <w:p>
      <w:pPr>
        <w:pBdr/>
        <w:spacing/>
        <w:ind/>
        <w:jc w:val="both"/>
        <w:rPr>
          <w:sz w:val="24"/>
        </w:rPr>
      </w:pPr>
      <w:r>
        <w:rPr>
          <w:sz w:val="24"/>
        </w:rPr>
        <w:t xml:space="preserve">PEB : choix de </w:t>
      </w:r>
      <w:r>
        <w:rPr>
          <w:sz w:val="24"/>
        </w:rPr>
        <w:t xml:space="preserve">Rapido</w:t>
      </w:r>
      <w:r>
        <w:rPr>
          <w:sz w:val="24"/>
        </w:rPr>
        <w:t xml:space="preserve"> =&gt; réponse à un besoin de simplification des circuits. Ce système gérera nativement les transactions nationales et internationales, s’intégrera de manière </w:t>
      </w:r>
      <w:r>
        <w:rPr>
          <w:sz w:val="24"/>
        </w:rPr>
        <w:t xml:space="preserve">transparente dans le parcours de l’usager et offrira une forte compatibilité avec les différents SGB locaux. </w:t>
      </w:r>
      <w:r>
        <w:rPr>
          <w:sz w:val="24"/>
        </w:rPr>
      </w:r>
    </w:p>
    <w:p>
      <w:pPr>
        <w:pBdr/>
        <w:spacing/>
        <w:ind/>
        <w:jc w:val="both"/>
        <w:rPr>
          <w:sz w:val="24"/>
        </w:rPr>
      </w:pPr>
      <w:r>
        <w:rPr>
          <w:sz w:val="24"/>
        </w:rPr>
        <w:t xml:space="preserve">Objectif : assurer une communication fluide entre le catalogue collectif et les outils des établissements, tout en garantissant une large autonomie aux professionnels.</w:t>
      </w:r>
      <w:r>
        <w:rPr>
          <w:sz w:val="24"/>
        </w:rPr>
      </w:r>
    </w:p>
    <w:p>
      <w:pPr>
        <w:pBdr/>
        <w:spacing/>
        <w:ind/>
        <w:jc w:val="both"/>
        <w:rPr>
          <w:sz w:val="24"/>
        </w:rPr>
      </w:pPr>
      <w:r>
        <w:rPr>
          <w:sz w:val="24"/>
        </w:rPr>
      </w:r>
      <w:r>
        <w:rPr>
          <w:sz w:val="24"/>
        </w:rPr>
      </w:r>
    </w:p>
    <w:p>
      <w:pPr>
        <w:pBdr/>
        <w:spacing/>
        <w:ind/>
        <w:jc w:val="both"/>
        <w:rPr>
          <w:sz w:val="24"/>
        </w:rPr>
      </w:pPr>
      <w:r>
        <w:rPr>
          <w:sz w:val="24"/>
        </w:rPr>
        <w:t xml:space="preserve">Projet d’établissement 2024-2028 de l’</w:t>
      </w:r>
      <w:r>
        <w:rPr>
          <w:sz w:val="24"/>
        </w:rPr>
        <w:t xml:space="preserve">Abes</w:t>
      </w:r>
      <w:r>
        <w:rPr>
          <w:sz w:val="24"/>
        </w:rPr>
      </w:r>
    </w:p>
    <w:p>
      <w:pPr>
        <w:pBdr/>
        <w:spacing/>
        <w:ind/>
        <w:jc w:val="both"/>
        <w:rPr>
          <w:sz w:val="24"/>
        </w:rPr>
      </w:pPr>
      <w:r>
        <w:rPr>
          <w:sz w:val="24"/>
        </w:rPr>
        <w:t xml:space="preserve">Version finale (2.4) du projet d’établissement 2024-2028 de l’</w:t>
      </w:r>
      <w:r>
        <w:rPr>
          <w:sz w:val="24"/>
        </w:rPr>
        <w:t xml:space="preserve">Abes</w:t>
      </w:r>
      <w:r>
        <w:rPr>
          <w:sz w:val="24"/>
        </w:rPr>
        <w:t xml:space="preserve"> publiée le 24/11/2023.</w:t>
      </w:r>
      <w:r>
        <w:rPr>
          <w:sz w:val="24"/>
        </w:rPr>
      </w:r>
    </w:p>
    <w:p>
      <w:pPr>
        <w:pBdr/>
        <w:spacing/>
        <w:ind/>
        <w:jc w:val="both"/>
        <w:rPr>
          <w:sz w:val="24"/>
        </w:rPr>
      </w:pPr>
      <w:r>
        <w:rPr>
          <w:sz w:val="24"/>
        </w:rPr>
        <w:t xml:space="preserve">Résumé exécutif : </w:t>
      </w:r>
      <w:r>
        <w:rPr>
          <w:sz w:val="24"/>
        </w:rPr>
      </w:r>
    </w:p>
    <w:p>
      <w:pPr>
        <w:pBdr/>
        <w:spacing/>
        <w:ind/>
        <w:jc w:val="both"/>
        <w:rPr>
          <w:sz w:val="24"/>
        </w:rPr>
      </w:pPr>
      <w:r>
        <w:rPr>
          <w:sz w:val="24"/>
        </w:rPr>
        <w:t xml:space="preserve">Volonté d’affirmer son rôle dans la fourniture de métadonnées de qualité aux organisations de l’ESR.</w:t>
      </w:r>
      <w:r>
        <w:rPr>
          <w:sz w:val="24"/>
        </w:rPr>
      </w:r>
    </w:p>
    <w:p>
      <w:pPr>
        <w:pBdr/>
        <w:spacing/>
        <w:ind/>
        <w:jc w:val="both"/>
        <w:rPr>
          <w:sz w:val="24"/>
        </w:rPr>
      </w:pPr>
      <w:r>
        <w:rPr>
          <w:sz w:val="24"/>
        </w:rPr>
        <w:t xml:space="preserve">Objectifs : </w:t>
      </w:r>
      <w:r>
        <w:rPr>
          <w:sz w:val="24"/>
        </w:rPr>
      </w:r>
    </w:p>
    <w:p>
      <w:pPr>
        <w:pStyle w:val="673"/>
        <w:numPr>
          <w:ilvl w:val="0"/>
          <w:numId w:val="2"/>
        </w:numPr>
        <w:pBdr/>
        <w:spacing/>
        <w:ind/>
        <w:jc w:val="both"/>
        <w:rPr>
          <w:sz w:val="24"/>
        </w:rPr>
      </w:pPr>
      <w:r>
        <w:rPr>
          <w:sz w:val="24"/>
        </w:rPr>
        <w:t xml:space="preserve">Renouveler le système d’information métier de l’</w:t>
      </w:r>
      <w:r>
        <w:rPr>
          <w:sz w:val="24"/>
        </w:rPr>
        <w:t xml:space="preserve">Abes</w:t>
      </w:r>
      <w:r>
        <w:rPr>
          <w:sz w:val="24"/>
        </w:rPr>
      </w:r>
    </w:p>
    <w:p>
      <w:pPr>
        <w:pStyle w:val="673"/>
        <w:numPr>
          <w:ilvl w:val="0"/>
          <w:numId w:val="2"/>
        </w:numPr>
        <w:pBdr/>
        <w:spacing/>
        <w:ind/>
        <w:jc w:val="both"/>
        <w:rPr>
          <w:sz w:val="24"/>
        </w:rPr>
      </w:pPr>
      <w:r>
        <w:rPr>
          <w:sz w:val="24"/>
        </w:rPr>
        <w:t xml:space="preserve">Permettre une politique de données plus massives, aux traitements plus automatisés et au périmètre fonctionnel plus large, répondant aux nouveaux besoins en référentiels de l’ESR.</w:t>
      </w:r>
      <w:r>
        <w:rPr>
          <w:sz w:val="24"/>
        </w:rPr>
      </w:r>
    </w:p>
    <w:p>
      <w:pPr>
        <w:pStyle w:val="673"/>
        <w:numPr>
          <w:ilvl w:val="0"/>
          <w:numId w:val="2"/>
        </w:numPr>
        <w:pBdr/>
        <w:spacing/>
        <w:ind/>
        <w:jc w:val="both"/>
        <w:rPr>
          <w:sz w:val="24"/>
        </w:rPr>
      </w:pPr>
      <w:r>
        <w:rPr>
          <w:sz w:val="24"/>
        </w:rPr>
        <w:t xml:space="preserve">Renouveler et sécuriser le rôle de l’</w:t>
      </w:r>
      <w:r>
        <w:rPr>
          <w:sz w:val="24"/>
        </w:rPr>
        <w:t xml:space="preserve">Abes</w:t>
      </w:r>
      <w:r>
        <w:rPr>
          <w:sz w:val="24"/>
        </w:rPr>
        <w:t xml:space="preserve"> dans les achats de documentation électronique</w:t>
      </w:r>
      <w:r>
        <w:rPr>
          <w:sz w:val="24"/>
        </w:rPr>
      </w:r>
    </w:p>
    <w:p>
      <w:pPr>
        <w:pStyle w:val="673"/>
        <w:numPr>
          <w:ilvl w:val="0"/>
          <w:numId w:val="2"/>
        </w:numPr>
        <w:pBdr/>
        <w:spacing/>
        <w:ind/>
        <w:jc w:val="both"/>
        <w:rPr>
          <w:sz w:val="24"/>
        </w:rPr>
      </w:pPr>
      <w:r>
        <w:rPr>
          <w:sz w:val="24"/>
        </w:rPr>
        <w:t xml:space="preserve">Renouveler les modalités de relations de l’</w:t>
      </w:r>
      <w:r>
        <w:rPr>
          <w:sz w:val="24"/>
        </w:rPr>
        <w:t xml:space="preserve">Abes</w:t>
      </w:r>
      <w:r>
        <w:rPr>
          <w:sz w:val="24"/>
        </w:rPr>
        <w:t xml:space="preserve"> aux réseaux de l’ESR.</w:t>
      </w:r>
      <w:r>
        <w:rPr>
          <w:sz w:val="24"/>
        </w:rPr>
      </w:r>
    </w:p>
    <w:p>
      <w:pPr>
        <w:pStyle w:val="673"/>
        <w:numPr>
          <w:ilvl w:val="0"/>
          <w:numId w:val="2"/>
        </w:numPr>
        <w:pBdr/>
        <w:spacing/>
        <w:ind/>
        <w:jc w:val="both"/>
        <w:rPr>
          <w:sz w:val="24"/>
        </w:rPr>
      </w:pPr>
      <w:r>
        <w:rPr>
          <w:sz w:val="24"/>
        </w:rPr>
        <w:t xml:space="preserve">Renforcer la recherche et développement de l’agence, en se concentrant sur les applications de l’état de l’art en IA</w:t>
      </w:r>
      <w:r>
        <w:rPr>
          <w:sz w:val="24"/>
        </w:rPr>
      </w:r>
    </w:p>
    <w:p>
      <w:pPr>
        <w:pStyle w:val="673"/>
        <w:numPr>
          <w:ilvl w:val="0"/>
          <w:numId w:val="2"/>
        </w:numPr>
        <w:pBdr/>
        <w:spacing/>
        <w:ind/>
        <w:jc w:val="both"/>
        <w:rPr>
          <w:sz w:val="24"/>
        </w:rPr>
      </w:pPr>
      <w:r>
        <w:rPr>
          <w:sz w:val="24"/>
        </w:rPr>
        <w:t xml:space="preserve">Adapter l’agence à ces nouvelles orientations</w:t>
      </w:r>
      <w:r>
        <w:rPr>
          <w:sz w:val="24"/>
        </w:rPr>
      </w:r>
    </w:p>
    <w:p>
      <w:pPr>
        <w:pBdr/>
        <w:spacing/>
        <w:ind/>
        <w:jc w:val="both"/>
        <w:rPr>
          <w:sz w:val="24"/>
        </w:rPr>
      </w:pPr>
      <w:r>
        <w:rPr>
          <w:sz w:val="24"/>
        </w:rPr>
        <w:t xml:space="preserve">Le système de gestion de métadonnées de l’</w:t>
      </w:r>
      <w:r>
        <w:rPr>
          <w:sz w:val="24"/>
        </w:rPr>
        <w:t xml:space="preserve">Abes</w:t>
      </w:r>
      <w:r>
        <w:rPr>
          <w:sz w:val="24"/>
        </w:rPr>
        <w:t xml:space="preserve"> </w:t>
      </w:r>
      <w:r>
        <w:rPr>
          <w:sz w:val="24"/>
        </w:rPr>
      </w:r>
    </w:p>
    <w:p>
      <w:pPr>
        <w:pBdr/>
        <w:spacing/>
        <w:ind/>
        <w:jc w:val="both"/>
        <w:rPr>
          <w:sz w:val="24"/>
        </w:rPr>
      </w:pPr>
      <w:r>
        <w:rPr>
          <w:sz w:val="24"/>
        </w:rPr>
        <w:t xml:space="preserve">Historique : </w:t>
      </w:r>
      <w:r>
        <w:rPr>
          <w:sz w:val="24"/>
        </w:rPr>
      </w:r>
    </w:p>
    <w:p>
      <w:pPr>
        <w:pStyle w:val="673"/>
        <w:numPr>
          <w:ilvl w:val="0"/>
          <w:numId w:val="2"/>
        </w:numPr>
        <w:pBdr/>
        <w:spacing/>
        <w:ind/>
        <w:jc w:val="both"/>
        <w:rPr>
          <w:sz w:val="24"/>
        </w:rPr>
      </w:pPr>
      <w:r>
        <w:rPr>
          <w:sz w:val="24"/>
        </w:rPr>
        <w:t xml:space="preserve">Deux périodes distinctes d’organisation du système de gestion à l’</w:t>
      </w:r>
      <w:r>
        <w:rPr>
          <w:sz w:val="24"/>
        </w:rPr>
        <w:t xml:space="preserve">Abes</w:t>
      </w:r>
      <w:r>
        <w:rPr>
          <w:sz w:val="24"/>
        </w:rPr>
        <w:t xml:space="preserve"> : </w:t>
      </w:r>
      <w:r>
        <w:rPr>
          <w:sz w:val="24"/>
        </w:rPr>
      </w:r>
    </w:p>
    <w:p>
      <w:pPr>
        <w:pStyle w:val="673"/>
        <w:numPr>
          <w:ilvl w:val="1"/>
          <w:numId w:val="2"/>
        </w:numPr>
        <w:pBdr/>
        <w:spacing/>
        <w:ind/>
        <w:jc w:val="both"/>
        <w:rPr>
          <w:sz w:val="24"/>
        </w:rPr>
      </w:pPr>
      <w:r>
        <w:rPr>
          <w:sz w:val="24"/>
        </w:rPr>
        <w:t xml:space="preserve">1</w:t>
      </w:r>
      <w:r>
        <w:rPr>
          <w:sz w:val="24"/>
          <w:vertAlign w:val="superscript"/>
        </w:rPr>
        <w:t xml:space="preserve">re</w:t>
      </w:r>
      <w:r>
        <w:rPr>
          <w:sz w:val="24"/>
        </w:rPr>
        <w:t xml:space="preserve"> moitié de la vie de l’ABES : architecture organisée de façon relativement centralisée autour d’un produit acquis sur le marché (la suite logicielle CBS, </w:t>
      </w:r>
      <w:r>
        <w:rPr>
          <w:sz w:val="24"/>
        </w:rPr>
        <w:t xml:space="preserve">WinIBW</w:t>
      </w:r>
      <w:r>
        <w:rPr>
          <w:sz w:val="24"/>
        </w:rPr>
        <w:t xml:space="preserve">, PSI, APCC proposée par le prestataire OCLC).</w:t>
      </w:r>
      <w:r>
        <w:rPr>
          <w:sz w:val="24"/>
        </w:rPr>
      </w:r>
    </w:p>
    <w:p>
      <w:pPr>
        <w:pStyle w:val="673"/>
        <w:numPr>
          <w:ilvl w:val="1"/>
          <w:numId w:val="2"/>
        </w:numPr>
        <w:pBdr/>
        <w:spacing/>
        <w:ind/>
        <w:jc w:val="both"/>
        <w:rPr>
          <w:sz w:val="24"/>
        </w:rPr>
      </w:pPr>
      <w:r>
        <w:rPr>
          <w:sz w:val="24"/>
        </w:rPr>
        <w:t xml:space="preserve">+ de 10 ans et pour permettre extension des services proposés, une partie du système de gestion de métadonnées a été déportée dans des applications « satellites » connectées au système historique et développées en interne.</w:t>
      </w:r>
      <w:r>
        <w:rPr>
          <w:sz w:val="24"/>
        </w:rPr>
      </w:r>
    </w:p>
    <w:p>
      <w:pPr>
        <w:pBdr/>
        <w:spacing/>
        <w:ind/>
        <w:jc w:val="both"/>
        <w:rPr>
          <w:lang w:eastAsia="fr-FR"/>
        </w:rPr>
      </w:pPr>
      <w:r>
        <w:rPr>
          <w:lang w:eastAsia="fr-FR"/>
        </w:rPr>
      </w:r>
      <w:r>
        <w:rPr>
          <w:lang w:eastAsia="fr-FR"/>
        </w:rPr>
      </w:r>
    </w:p>
    <w:p>
      <w:pPr>
        <w:pBdr/>
        <w:spacing/>
        <w:ind/>
        <w:jc w:val="both"/>
        <w:rPr>
          <w:lang w:eastAsia="fr-FR"/>
        </w:rPr>
      </w:pPr>
      <w:r>
        <w:rPr>
          <w:lang w:eastAsia="fr-FR"/>
        </w:rPr>
      </w:r>
      <w:r>
        <w:rPr>
          <w:lang w:eastAsia="fr-FR"/>
        </w:rPr>
      </w:r>
    </w:p>
    <w:p>
      <w:pPr>
        <w:pBdr/>
        <w:spacing/>
        <w:ind/>
        <w:jc w:val="both"/>
        <w:rPr>
          <w:lang w:eastAsia="fr-FR"/>
        </w:rPr>
      </w:pPr>
      <w:r>
        <w:rPr>
          <w:lang w:eastAsia="fr-FR"/>
        </w:rPr>
      </w:r>
      <w:r>
        <w:rPr>
          <w:lang w:eastAsia="fr-FR"/>
        </w:rPr>
      </w:r>
    </w:p>
    <w:p>
      <w:pPr>
        <w:pBdr/>
        <w:spacing/>
        <w:ind/>
        <w:jc w:val="both"/>
        <w:rPr>
          <w:sz w:val="24"/>
        </w:rPr>
      </w:pPr>
      <w:r>
        <w:rPr>
          <w:lang w:eastAsia="fr-FR"/>
        </w:rPr>
        <mc:AlternateContent>
          <mc:Choice Requires="wpg">
            <w:drawing>
              <wp:inline xmlns:wp="http://schemas.openxmlformats.org/drawingml/2006/wordprocessingDrawing" distT="0" distB="0" distL="0" distR="0">
                <wp:extent cx="5760720" cy="3313873"/>
                <wp:effectExtent l="0" t="0" r="0" b="1270"/>
                <wp:docPr id="1" name="Image 1" descr="vue simplifiée du SI métier de l&amp;#39;A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simplifiée du SI métier de l&amp;#39;Abes"/>
                        <pic:cNvPicPr>
                          <a:picLocks noChangeAspect="1"/>
                        </pic:cNvPicPr>
                        <pic:nvPr/>
                      </pic:nvPicPr>
                      <pic:blipFill rotWithShape="1">
                        <a:blip r:embed="rId13"/>
                        <a:stretch/>
                      </pic:blipFill>
                      <pic:spPr bwMode="auto">
                        <a:xfrm>
                          <a:off x="0" y="0"/>
                          <a:ext cx="5760720" cy="331387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60pt;height:260.93pt;mso-wrap-distance-left:0.00pt;mso-wrap-distance-top:0.00pt;mso-wrap-distance-right:0.00pt;mso-wrap-distance-bottom:0.00pt;z-index:1;" stroked="f">
                <v:imagedata r:id="rId13" o:title=""/>
                <o:lock v:ext="edit" rotation="t"/>
              </v:shape>
            </w:pict>
          </mc:Fallback>
        </mc:AlternateContent>
      </w:r>
      <w:r>
        <w:rPr>
          <w:sz w:val="24"/>
        </w:rPr>
      </w:r>
    </w:p>
    <w:p>
      <w:pPr>
        <w:pBdr/>
        <w:spacing/>
        <w:ind/>
        <w:jc w:val="both"/>
        <w:rPr>
          <w:sz w:val="24"/>
        </w:rPr>
      </w:pPr>
      <w:r>
        <w:rPr>
          <w:sz w:val="24"/>
        </w:rPr>
        <w:t xml:space="preserve">Ensemble : devenu progressivement avec le temps plus complexe et lourd à gérer, accumulation d’une dette technique qui représente aujourd’hui un risque pour l’</w:t>
      </w:r>
      <w:r>
        <w:rPr>
          <w:sz w:val="24"/>
        </w:rPr>
        <w:t xml:space="preserve">Abes</w:t>
      </w:r>
      <w:r>
        <w:rPr>
          <w:sz w:val="24"/>
        </w:rPr>
        <w:t xml:space="preserve"> comme pour les établissements. Entrave </w:t>
      </w:r>
      <w:r>
        <w:rPr>
          <w:sz w:val="24"/>
        </w:rPr>
        <w:t xml:space="preserve">églmt</w:t>
      </w:r>
      <w:r>
        <w:rPr>
          <w:sz w:val="24"/>
        </w:rPr>
        <w:t xml:space="preserve"> la mise en place de nouveaux services et limite la capacité de l’agence à renouveler son offre pour répondre plus efficacement aux besoins des établissements et à leurs évolutions.</w:t>
      </w:r>
      <w:r>
        <w:rPr>
          <w:sz w:val="24"/>
        </w:rPr>
      </w:r>
    </w:p>
    <w:p>
      <w:pPr>
        <w:pBdr/>
        <w:spacing/>
        <w:ind/>
        <w:jc w:val="both"/>
        <w:rPr>
          <w:b/>
          <w:i/>
          <w:sz w:val="24"/>
        </w:rPr>
      </w:pPr>
      <w:r>
        <w:rPr>
          <w:b/>
          <w:i/>
          <w:sz w:val="24"/>
        </w:rPr>
        <w:t xml:space="preserve">Le cadre et les objectifs d’une </w:t>
      </w:r>
      <w:r>
        <w:rPr>
          <w:b/>
          <w:i/>
          <w:sz w:val="24"/>
        </w:rPr>
        <w:t xml:space="preserve">réinformatisation</w:t>
      </w:r>
      <w:r>
        <w:rPr>
          <w:b/>
          <w:i/>
          <w:sz w:val="24"/>
        </w:rPr>
      </w:r>
    </w:p>
    <w:p>
      <w:pPr>
        <w:pBdr/>
        <w:spacing/>
        <w:ind/>
        <w:jc w:val="both"/>
        <w:rPr>
          <w:sz w:val="24"/>
        </w:rPr>
      </w:pPr>
      <w:r>
        <w:rPr>
          <w:sz w:val="24"/>
        </w:rPr>
        <w:t xml:space="preserve">Objectif principal : renouveler l’offre proposée aux établissements par un système qui leur permettra de disposer de plus de métadonnées, plus faciles à exploiter et à des coûts moindres.</w:t>
      </w:r>
      <w:r>
        <w:rPr>
          <w:sz w:val="24"/>
        </w:rPr>
      </w:r>
    </w:p>
    <w:p>
      <w:pPr>
        <w:pBdr/>
        <w:spacing/>
        <w:ind/>
        <w:jc w:val="both"/>
        <w:rPr>
          <w:sz w:val="24"/>
        </w:rPr>
      </w:pPr>
      <w:r>
        <w:rPr>
          <w:sz w:val="24"/>
        </w:rPr>
        <w:t xml:space="preserve">Le / les outils mis en place devront aussi permettre à l’</w:t>
      </w:r>
      <w:r>
        <w:rPr>
          <w:sz w:val="24"/>
        </w:rPr>
        <w:t xml:space="preserve">Abes</w:t>
      </w:r>
      <w:r>
        <w:rPr>
          <w:sz w:val="24"/>
        </w:rPr>
        <w:t xml:space="preserve"> de simplifier son architecture et ainsi de faire baisser les coûts de propriété et d’exploitation de son système d’information.</w:t>
      </w:r>
      <w:r>
        <w:rPr>
          <w:sz w:val="24"/>
        </w:rPr>
      </w:r>
    </w:p>
    <w:p>
      <w:pPr>
        <w:pBdr/>
        <w:spacing/>
        <w:ind/>
        <w:jc w:val="both"/>
        <w:rPr>
          <w:sz w:val="24"/>
        </w:rPr>
      </w:pPr>
      <w:r>
        <w:rPr>
          <w:sz w:val="24"/>
        </w:rPr>
        <w:t xml:space="preserve">Souveraineté sur les données, impératif que doit prendre en compte le nouveau système. </w:t>
      </w:r>
      <w:r>
        <w:rPr>
          <w:sz w:val="24"/>
        </w:rPr>
      </w:r>
    </w:p>
    <w:p>
      <w:pPr>
        <w:pBdr/>
        <w:spacing/>
        <w:ind/>
        <w:jc w:val="both"/>
        <w:rPr>
          <w:sz w:val="24"/>
        </w:rPr>
      </w:pPr>
      <w:r>
        <w:rPr>
          <w:sz w:val="24"/>
        </w:rPr>
        <w:t xml:space="preserve">Projet : objectif de couvrir au sein d’un même système, les métadonnées qui concernent la documentation papier et la documentation électronique, au-delà des livres et des revues, en intégrant </w:t>
      </w:r>
      <w:r>
        <w:rPr>
          <w:sz w:val="24"/>
        </w:rPr>
        <w:t xml:space="preserve">églmt</w:t>
      </w:r>
      <w:r>
        <w:rPr>
          <w:sz w:val="24"/>
        </w:rPr>
        <w:t xml:space="preserve"> les bouquets commerciaux, voire les métadonnées de chapitres et d’articles.</w:t>
      </w:r>
      <w:r>
        <w:rPr>
          <w:sz w:val="24"/>
        </w:rPr>
      </w:r>
    </w:p>
    <w:p>
      <w:pPr>
        <w:pBdr/>
        <w:spacing/>
        <w:ind/>
        <w:jc w:val="both"/>
        <w:rPr>
          <w:sz w:val="24"/>
        </w:rPr>
      </w:pPr>
      <w:r>
        <w:rPr>
          <w:sz w:val="24"/>
        </w:rPr>
        <w:t xml:space="preserve">Diminution du nb des </w:t>
      </w:r>
      <w:r>
        <w:rPr>
          <w:sz w:val="24"/>
        </w:rPr>
        <w:t xml:space="preserve">bdd</w:t>
      </w:r>
      <w:r>
        <w:rPr>
          <w:sz w:val="24"/>
        </w:rPr>
        <w:t xml:space="preserve"> et d’outils de gestion de métadonnées qui composent le système de gestion de métadonnées actuel de l’</w:t>
      </w:r>
      <w:r>
        <w:rPr>
          <w:sz w:val="24"/>
        </w:rPr>
        <w:t xml:space="preserve">Abes</w:t>
      </w:r>
      <w:r>
        <w:rPr>
          <w:sz w:val="24"/>
        </w:rPr>
        <w:t xml:space="preserve"> est fortement souhaitée. Homogénéisation des données et des outils permettra d’améliorer la lisibilité de l’offre de services de l’</w:t>
      </w:r>
      <w:r>
        <w:rPr>
          <w:sz w:val="24"/>
        </w:rPr>
        <w:t xml:space="preserve">Abes</w:t>
      </w:r>
      <w:r>
        <w:rPr>
          <w:sz w:val="24"/>
        </w:rPr>
        <w:t xml:space="preserve"> et son appropriation par les utilisateurs professionnels et les autres publics.</w:t>
      </w:r>
      <w:r>
        <w:rPr>
          <w:sz w:val="24"/>
        </w:rPr>
      </w:r>
    </w:p>
    <w:p>
      <w:pPr>
        <w:pBdr/>
        <w:spacing/>
        <w:ind/>
        <w:jc w:val="both"/>
        <w:rPr>
          <w:sz w:val="24"/>
        </w:rPr>
      </w:pPr>
      <w:r>
        <w:rPr>
          <w:sz w:val="24"/>
        </w:rPr>
        <w:t xml:space="preserve">Souhaiter que le nouveau système offre la perspective de sortir, au moins à terme, d’une logique de notice, inscrite notamment dans le format MARC, pour aller vers un système entités – relations. Adoption d’une logique entités-relations </w:t>
      </w:r>
      <w:r>
        <w:rPr>
          <w:sz w:val="24"/>
        </w:rPr>
        <w:t xml:space="preserve">a</w:t>
      </w:r>
      <w:r>
        <w:rPr>
          <w:sz w:val="24"/>
        </w:rPr>
        <w:t xml:space="preserve"> plusieurs avantages : </w:t>
      </w:r>
      <w:r>
        <w:rPr>
          <w:sz w:val="24"/>
        </w:rPr>
      </w:r>
    </w:p>
    <w:p>
      <w:pPr>
        <w:pStyle w:val="673"/>
        <w:numPr>
          <w:ilvl w:val="0"/>
          <w:numId w:val="2"/>
        </w:numPr>
        <w:pBdr/>
        <w:spacing/>
        <w:ind/>
        <w:jc w:val="both"/>
        <w:rPr>
          <w:sz w:val="24"/>
        </w:rPr>
      </w:pPr>
      <w:r>
        <w:rPr>
          <w:sz w:val="24"/>
        </w:rPr>
        <w:t xml:space="preserve">Faciliter la compatibilité de nos données avec les modèles conceptuels de données bibliographiques existant actuellement, dont en priorité IFLA LRM, référence de l’information bibliographique.</w:t>
      </w:r>
      <w:r>
        <w:rPr>
          <w:sz w:val="24"/>
        </w:rPr>
      </w:r>
    </w:p>
    <w:p>
      <w:pPr>
        <w:pStyle w:val="673"/>
        <w:numPr>
          <w:ilvl w:val="0"/>
          <w:numId w:val="2"/>
        </w:numPr>
        <w:pBdr/>
        <w:spacing/>
        <w:ind/>
        <w:jc w:val="both"/>
        <w:rPr>
          <w:sz w:val="24"/>
        </w:rPr>
      </w:pPr>
      <w:r>
        <w:rPr>
          <w:sz w:val="24"/>
        </w:rPr>
        <w:t xml:space="preserve">Proposer une représentation en principe plus souple et évolutive des données gérées au sein du système</w:t>
      </w:r>
      <w:r>
        <w:rPr>
          <w:sz w:val="24"/>
        </w:rPr>
      </w:r>
    </w:p>
    <w:p>
      <w:pPr>
        <w:pStyle w:val="673"/>
        <w:numPr>
          <w:ilvl w:val="0"/>
          <w:numId w:val="2"/>
        </w:numPr>
        <w:pBdr/>
        <w:spacing/>
        <w:ind/>
        <w:jc w:val="both"/>
        <w:rPr>
          <w:sz w:val="24"/>
        </w:rPr>
      </w:pPr>
      <w:r>
        <w:rPr>
          <w:sz w:val="24"/>
        </w:rPr>
        <w:t xml:space="preserve">Faciliter l’export et l’exposition des données dans la perspective de leur réutilisation par des tiers, y compris en dehors du monde des bibliothèques.</w:t>
      </w:r>
      <w:r>
        <w:rPr>
          <w:sz w:val="24"/>
        </w:rPr>
      </w:r>
    </w:p>
    <w:p>
      <w:pPr>
        <w:pBdr/>
        <w:spacing/>
        <w:ind/>
        <w:jc w:val="both"/>
        <w:rPr>
          <w:sz w:val="24"/>
        </w:rPr>
      </w:pPr>
      <w:r>
        <w:rPr>
          <w:sz w:val="24"/>
        </w:rPr>
        <w:t xml:space="preserve">Problématique : concerne la gestion des données par le système lui-même ainsi que l’export et la diffusion des données.</w:t>
      </w:r>
      <w:r>
        <w:rPr>
          <w:sz w:val="24"/>
        </w:rPr>
      </w:r>
    </w:p>
    <w:p>
      <w:pPr>
        <w:pBdr/>
        <w:spacing/>
        <w:ind/>
        <w:jc w:val="both"/>
        <w:rPr>
          <w:sz w:val="24"/>
        </w:rPr>
      </w:pPr>
      <w:r>
        <w:rPr>
          <w:sz w:val="24"/>
        </w:rPr>
        <w:t xml:space="preserve">Une politique d’interfaces web </w:t>
      </w:r>
      <w:r>
        <w:rPr>
          <w:sz w:val="24"/>
        </w:rPr>
      </w:r>
    </w:p>
    <w:p>
      <w:pPr>
        <w:pBdr/>
        <w:spacing/>
        <w:ind/>
        <w:jc w:val="both"/>
        <w:rPr>
          <w:sz w:val="24"/>
        </w:rPr>
      </w:pPr>
      <w:r>
        <w:rPr>
          <w:sz w:val="24"/>
        </w:rPr>
        <w:t xml:space="preserve">Une partie des interfaces proposées par l’</w:t>
      </w:r>
      <w:r>
        <w:rPr>
          <w:sz w:val="24"/>
        </w:rPr>
        <w:t xml:space="preserve">Abes</w:t>
      </w:r>
      <w:r>
        <w:rPr>
          <w:sz w:val="24"/>
        </w:rPr>
        <w:t xml:space="preserve"> sera renouvelée dans le cadre du </w:t>
      </w:r>
      <w:r>
        <w:rPr>
          <w:sz w:val="24"/>
        </w:rPr>
        <w:t xml:space="preserve">chgmt</w:t>
      </w:r>
      <w:r>
        <w:rPr>
          <w:sz w:val="24"/>
        </w:rPr>
        <w:t xml:space="preserve"> de système de gestion de métadonnées. </w:t>
      </w:r>
      <w:r>
        <w:rPr>
          <w:sz w:val="24"/>
        </w:rPr>
      </w:r>
    </w:p>
    <w:p>
      <w:pPr>
        <w:pBdr/>
        <w:spacing/>
        <w:ind/>
        <w:jc w:val="both"/>
        <w:rPr>
          <w:sz w:val="24"/>
        </w:rPr>
      </w:pPr>
      <w:r>
        <w:rPr>
          <w:sz w:val="24"/>
        </w:rPr>
        <w:t xml:space="preserve">Possibilité de retrouver toutes les API développées par l’</w:t>
      </w:r>
      <w:r>
        <w:rPr>
          <w:sz w:val="24"/>
        </w:rPr>
        <w:t xml:space="preserve">Abes</w:t>
      </w:r>
      <w:r>
        <w:rPr>
          <w:sz w:val="24"/>
        </w:rPr>
        <w:t xml:space="preserve"> sur </w:t>
      </w:r>
      <w:hyperlink r:id="rId14" w:tooltip="https://api.gouv.fr/" w:history="1">
        <w:r>
          <w:rPr>
            <w:rStyle w:val="675"/>
            <w:sz w:val="24"/>
          </w:rPr>
          <w:t xml:space="preserve">https://api.gouv.fr/</w:t>
        </w:r>
      </w:hyperlink>
      <w:r>
        <w:rPr>
          <w:sz w:val="24"/>
        </w:rPr>
        <w:t xml:space="preserve">.</w:t>
      </w:r>
      <w:r>
        <w:rPr>
          <w:sz w:val="24"/>
        </w:rPr>
      </w:r>
    </w:p>
    <w:p>
      <w:pPr>
        <w:pBdr/>
        <w:spacing/>
        <w:ind/>
        <w:jc w:val="both"/>
        <w:rPr>
          <w:sz w:val="24"/>
        </w:rPr>
      </w:pPr>
      <w:r>
        <w:rPr>
          <w:sz w:val="24"/>
        </w:rPr>
        <w:t xml:space="preserve">Pour l’instant uniquement des API de lecture et dans </w:t>
      </w:r>
      <w:r>
        <w:rPr>
          <w:sz w:val="24"/>
        </w:rPr>
        <w:t xml:space="preserve">le futur volonté</w:t>
      </w:r>
      <w:r>
        <w:rPr>
          <w:sz w:val="24"/>
        </w:rPr>
        <w:t xml:space="preserve"> de mettre en place des API proposeront dès leur conception, des opérations de création, modification et suppression de données (appelées « *API CRUD * »).</w:t>
      </w:r>
      <w:r>
        <w:rPr>
          <w:sz w:val="24"/>
        </w:rPr>
      </w:r>
    </w:p>
    <w:p>
      <w:pPr>
        <w:pBdr/>
        <w:spacing/>
        <w:ind/>
        <w:jc w:val="both"/>
        <w:rPr>
          <w:sz w:val="24"/>
        </w:rPr>
      </w:pPr>
      <w:r>
        <w:rPr>
          <w:sz w:val="24"/>
        </w:rPr>
        <w:t xml:space="preserve">Le renouvellement du système de gestion de métadonnées au cœur du projet </w:t>
      </w:r>
      <w:r>
        <w:rPr>
          <w:sz w:val="24"/>
        </w:rPr>
      </w:r>
    </w:p>
    <w:p>
      <w:pPr>
        <w:pBdr/>
        <w:spacing/>
        <w:ind/>
        <w:jc w:val="both"/>
        <w:rPr>
          <w:sz w:val="24"/>
        </w:rPr>
      </w:pPr>
      <w:r>
        <w:rPr>
          <w:sz w:val="24"/>
        </w:rPr>
        <w:t xml:space="preserve">Ajdh</w:t>
      </w:r>
      <w:r>
        <w:rPr>
          <w:sz w:val="24"/>
        </w:rPr>
        <w:t xml:space="preserve"> de </w:t>
      </w:r>
      <w:r>
        <w:rPr>
          <w:sz w:val="24"/>
        </w:rPr>
        <w:t xml:space="preserve">nbrx</w:t>
      </w:r>
      <w:r>
        <w:rPr>
          <w:sz w:val="24"/>
        </w:rPr>
        <w:t xml:space="preserve"> services basés sur les données du </w:t>
      </w:r>
      <w:r>
        <w:rPr>
          <w:sz w:val="24"/>
        </w:rPr>
        <w:t xml:space="preserve">Sudoc</w:t>
      </w:r>
      <w:r>
        <w:rPr>
          <w:sz w:val="24"/>
        </w:rPr>
        <w:t xml:space="preserve"> sont proposés aux réseaux de l’</w:t>
      </w:r>
      <w:r>
        <w:rPr>
          <w:sz w:val="24"/>
        </w:rPr>
        <w:t xml:space="preserve">Abes</w:t>
      </w:r>
      <w:r>
        <w:rPr>
          <w:sz w:val="24"/>
        </w:rPr>
        <w:t xml:space="preserve">. Services : appli nativement proposées par OCLC soit par appli informatiques appelées des « applications satellites », développées et exploitées par l’</w:t>
      </w:r>
      <w:r>
        <w:rPr>
          <w:sz w:val="24"/>
        </w:rPr>
        <w:t xml:space="preserve">Abes</w:t>
      </w:r>
      <w:r>
        <w:rPr>
          <w:sz w:val="24"/>
        </w:rPr>
        <w:t xml:space="preserve"> comme </w:t>
      </w:r>
      <w:r>
        <w:rPr>
          <w:sz w:val="24"/>
        </w:rPr>
        <w:t xml:space="preserve">IdRef</w:t>
      </w:r>
      <w:r>
        <w:rPr>
          <w:sz w:val="24"/>
        </w:rPr>
        <w:t xml:space="preserve">, </w:t>
      </w:r>
      <w:r>
        <w:rPr>
          <w:sz w:val="24"/>
        </w:rPr>
        <w:t xml:space="preserve">Colodus</w:t>
      </w:r>
      <w:r>
        <w:rPr>
          <w:sz w:val="24"/>
        </w:rPr>
        <w:t xml:space="preserve">, Item, </w:t>
      </w:r>
      <w:r>
        <w:rPr>
          <w:sz w:val="24"/>
        </w:rPr>
        <w:t xml:space="preserve">Cidemis</w:t>
      </w:r>
      <w:r>
        <w:rPr>
          <w:sz w:val="24"/>
        </w:rPr>
        <w:t xml:space="preserve">, Périscope, </w:t>
      </w:r>
      <w:r>
        <w:rPr>
          <w:sz w:val="24"/>
        </w:rPr>
        <w:t xml:space="preserve">Qualimarc</w:t>
      </w:r>
      <w:r>
        <w:rPr>
          <w:sz w:val="24"/>
        </w:rPr>
        <w:t xml:space="preserve">, Paprika ou les micro-web services.</w:t>
      </w:r>
      <w:r>
        <w:rPr>
          <w:sz w:val="24"/>
        </w:rPr>
      </w:r>
    </w:p>
    <w:p>
      <w:pPr>
        <w:pBdr/>
        <w:spacing/>
        <w:ind/>
        <w:jc w:val="both"/>
        <w:rPr>
          <w:sz w:val="24"/>
        </w:rPr>
      </w:pPr>
      <w:r>
        <w:rPr>
          <w:sz w:val="24"/>
        </w:rPr>
        <w:t xml:space="preserve">Une « base de métadonnées » pour l’ESR </w:t>
      </w:r>
      <w:r>
        <w:rPr>
          <w:sz w:val="24"/>
        </w:rPr>
      </w:r>
    </w:p>
    <w:p>
      <w:pPr>
        <w:pBdr/>
        <w:spacing/>
        <w:ind/>
        <w:jc w:val="both"/>
        <w:rPr>
          <w:sz w:val="24"/>
        </w:rPr>
      </w:pPr>
      <w:r>
        <w:rPr>
          <w:sz w:val="24"/>
        </w:rPr>
        <w:t xml:space="preserve">Un catalogue n’est pas seulement un réservoir de données. Il indique </w:t>
      </w:r>
      <w:r>
        <w:rPr>
          <w:sz w:val="24"/>
        </w:rPr>
        <w:t xml:space="preserve">églmt</w:t>
      </w:r>
      <w:r>
        <w:rPr>
          <w:sz w:val="24"/>
        </w:rPr>
        <w:t xml:space="preserve"> au lecteur que telle ressource est accessible depuis telle bibliothèque, qu’elle soit physique ou électronique. </w:t>
      </w:r>
      <w:r>
        <w:rPr>
          <w:sz w:val="24"/>
        </w:rPr>
        <w:t xml:space="preserve">Cette fonction de localisation de la ressource doit être améliorée à la fois pour les ressources physiques et les ressources numériques, en automatisant les flux d’information entre les systèmes des établissements et de nos partenaires, et le système de l’</w:t>
      </w:r>
      <w:r>
        <w:rPr>
          <w:sz w:val="24"/>
        </w:rPr>
        <w:t xml:space="preserve">Abes</w:t>
      </w:r>
      <w:r>
        <w:rPr>
          <w:sz w:val="24"/>
        </w:rPr>
        <w:t xml:space="preserve">.</w:t>
      </w:r>
      <w:r>
        <w:rPr>
          <w:sz w:val="24"/>
        </w:rPr>
      </w:r>
    </w:p>
    <w:p>
      <w:pPr>
        <w:pBdr/>
        <w:spacing/>
        <w:ind/>
        <w:jc w:val="both"/>
        <w:rPr>
          <w:b/>
          <w:i/>
          <w:sz w:val="24"/>
        </w:rPr>
      </w:pPr>
      <w:r>
        <w:rPr>
          <w:b/>
          <w:i/>
          <w:sz w:val="24"/>
        </w:rPr>
        <w:t xml:space="preserve">Un signalement facilité : volumes, flux et centralisation des données</w:t>
      </w:r>
      <w:r>
        <w:rPr>
          <w:b/>
          <w:i/>
          <w:sz w:val="24"/>
        </w:rPr>
      </w:r>
    </w:p>
    <w:p>
      <w:pPr>
        <w:pBdr/>
        <w:spacing/>
        <w:ind/>
        <w:jc w:val="both"/>
        <w:rPr>
          <w:sz w:val="24"/>
        </w:rPr>
      </w:pPr>
      <w:r>
        <w:rPr>
          <w:sz w:val="24"/>
        </w:rPr>
        <w:t xml:space="preserve">Politique de diffusion doit pouvoir s’appuyer sur un travail d’amélioration de la qualité qui cible des corpus et thématiques pertinentes pour les bibliothèques et organisations de l’ESR.</w:t>
      </w:r>
      <w:r>
        <w:rPr>
          <w:sz w:val="24"/>
        </w:rPr>
      </w:r>
    </w:p>
    <w:p>
      <w:pPr>
        <w:pBdr/>
        <w:spacing/>
        <w:ind/>
        <w:jc w:val="both"/>
        <w:rPr>
          <w:sz w:val="24"/>
        </w:rPr>
      </w:pPr>
      <w:r>
        <w:rPr>
          <w:sz w:val="24"/>
        </w:rPr>
        <w:t xml:space="preserve">Signalement des ressources électroniques : de plus en plus coûteux dans les bases de l’</w:t>
      </w:r>
      <w:r>
        <w:rPr>
          <w:sz w:val="24"/>
        </w:rPr>
        <w:t xml:space="preserve">Abes</w:t>
      </w:r>
      <w:r>
        <w:rPr>
          <w:sz w:val="24"/>
        </w:rPr>
        <w:t xml:space="preserve"> au regard de la diversité et de la quantité des ressources à traiter. </w:t>
      </w:r>
      <w:r>
        <w:rPr>
          <w:sz w:val="24"/>
        </w:rPr>
      </w:r>
    </w:p>
    <w:p>
      <w:pPr>
        <w:pBdr/>
        <w:spacing/>
        <w:ind/>
        <w:jc w:val="both"/>
        <w:rPr>
          <w:sz w:val="24"/>
        </w:rPr>
      </w:pPr>
      <w:r>
        <w:rPr>
          <w:sz w:val="24"/>
        </w:rPr>
        <w:t xml:space="preserve">Multiplication des bases de signalement actuellement proposées par l’</w:t>
      </w:r>
      <w:r>
        <w:rPr>
          <w:sz w:val="24"/>
        </w:rPr>
        <w:t xml:space="preserve">Abes</w:t>
      </w:r>
      <w:r>
        <w:rPr>
          <w:sz w:val="24"/>
        </w:rPr>
        <w:t xml:space="preserve"> (</w:t>
      </w:r>
      <w:r>
        <w:rPr>
          <w:sz w:val="24"/>
        </w:rPr>
        <w:t xml:space="preserve">Sudoc</w:t>
      </w:r>
      <w:r>
        <w:rPr>
          <w:sz w:val="24"/>
        </w:rPr>
        <w:t xml:space="preserve">, BACON, Science+), et les interactions complexes entre elles desservent par ailleurs considérablement la gestion des accès et la qualité du signalement, les métadonnées étant dispersées et mal reliées entre elles.</w:t>
      </w:r>
      <w:r>
        <w:rPr>
          <w:sz w:val="24"/>
        </w:rPr>
        <w:t xml:space="preserve"> </w:t>
      </w:r>
      <w:r>
        <w:rPr>
          <w:sz w:val="24"/>
        </w:rPr>
      </w:r>
    </w:p>
    <w:p>
      <w:pPr>
        <w:pBdr/>
        <w:spacing/>
        <w:ind/>
        <w:jc w:val="both"/>
        <w:rPr>
          <w:sz w:val="24"/>
        </w:rPr>
      </w:pPr>
      <w:r>
        <w:rPr>
          <w:sz w:val="24"/>
        </w:rPr>
        <w:t xml:space="preserve">Renouvellement du système de gestion de métadonnées de l’</w:t>
      </w:r>
      <w:r>
        <w:rPr>
          <w:sz w:val="24"/>
        </w:rPr>
        <w:t xml:space="preserve">Abes</w:t>
      </w:r>
      <w:r>
        <w:rPr>
          <w:sz w:val="24"/>
        </w:rPr>
        <w:t xml:space="preserve"> a pour visée de faire converger ces données de signalement, ce qui favorisera le dialogue et l’interopérabilité sécurisée entre l’ensemble de ses métadonnées.</w:t>
      </w:r>
      <w:r>
        <w:rPr>
          <w:sz w:val="24"/>
        </w:rPr>
      </w:r>
    </w:p>
    <w:p>
      <w:pPr>
        <w:pBdr/>
        <w:spacing/>
        <w:ind/>
        <w:jc w:val="both"/>
        <w:rPr>
          <w:sz w:val="24"/>
        </w:rPr>
      </w:pPr>
      <w:r>
        <w:rPr>
          <w:sz w:val="24"/>
        </w:rPr>
        <w:t xml:space="preserve">Des référentiels agent qui contribuent à la simplification et à la lisibilité du paysage de l’ESR</w:t>
      </w:r>
      <w:r>
        <w:rPr>
          <w:sz w:val="24"/>
        </w:rPr>
      </w:r>
    </w:p>
    <w:p>
      <w:pPr>
        <w:pBdr/>
        <w:spacing/>
        <w:ind/>
        <w:jc w:val="both"/>
        <w:rPr>
          <w:sz w:val="24"/>
        </w:rPr>
      </w:pPr>
      <w:r>
        <w:rPr>
          <w:sz w:val="24"/>
        </w:rPr>
        <w:t xml:space="preserve">Depuis </w:t>
      </w:r>
      <w:r>
        <w:rPr>
          <w:sz w:val="24"/>
        </w:rPr>
        <w:t xml:space="preserve">qqs</w:t>
      </w:r>
      <w:r>
        <w:rPr>
          <w:sz w:val="24"/>
        </w:rPr>
        <w:t xml:space="preserve"> années, ces données on</w:t>
      </w:r>
      <w:r>
        <w:rPr>
          <w:sz w:val="24"/>
        </w:rPr>
        <w:t xml:space="preserve">t pris une importance stratégique qui nous amène à les considérer collectivement dans un sens nouveau : il s’agit de référentiels plus solidement structurés et articulés les uns aux autres, appuyés sur des identifiants uniques et pérennes, qui servent non </w:t>
      </w:r>
      <w:r>
        <w:rPr>
          <w:sz w:val="24"/>
        </w:rPr>
        <w:t xml:space="preserve">slmt</w:t>
      </w:r>
      <w:r>
        <w:rPr>
          <w:sz w:val="24"/>
        </w:rPr>
        <w:t xml:space="preserve"> les besoins documentaires, mais aussi de </w:t>
      </w:r>
      <w:r>
        <w:rPr>
          <w:sz w:val="24"/>
        </w:rPr>
        <w:t xml:space="preserve">nbrx</w:t>
      </w:r>
      <w:r>
        <w:rPr>
          <w:sz w:val="24"/>
        </w:rPr>
        <w:t xml:space="preserve"> besoins d’autres acteurs de l’ESR.</w:t>
      </w:r>
      <w:r>
        <w:rPr>
          <w:sz w:val="24"/>
        </w:rPr>
      </w:r>
    </w:p>
    <w:p>
      <w:pPr>
        <w:pBdr/>
        <w:spacing/>
        <w:ind/>
        <w:jc w:val="both"/>
        <w:rPr>
          <w:sz w:val="24"/>
        </w:rPr>
      </w:pPr>
      <w:r>
        <w:rPr>
          <w:sz w:val="24"/>
        </w:rPr>
        <w:t xml:space="preserve">IdRef</w:t>
      </w:r>
      <w:r>
        <w:rPr>
          <w:sz w:val="24"/>
        </w:rPr>
        <w:t xml:space="preserve"> : travail de longue date pour référentiel sur les personnes. Repose sur les bases solides que sont la mutualisation, la qualité ainsi que le nombre et la variété des producteurs sources (</w:t>
      </w:r>
      <w:r>
        <w:rPr>
          <w:sz w:val="24"/>
        </w:rPr>
        <w:t xml:space="preserve">Sudoc</w:t>
      </w:r>
      <w:r>
        <w:rPr>
          <w:sz w:val="24"/>
        </w:rPr>
        <w:t xml:space="preserve">, Thèses, Calames, Cairn, Persée, </w:t>
      </w:r>
      <w:r>
        <w:rPr>
          <w:sz w:val="24"/>
        </w:rPr>
        <w:t xml:space="preserve">CanalU</w:t>
      </w:r>
      <w:r>
        <w:rPr>
          <w:sz w:val="24"/>
        </w:rPr>
        <w:t xml:space="preserve">, </w:t>
      </w:r>
      <w:r>
        <w:rPr>
          <w:sz w:val="24"/>
        </w:rPr>
        <w:t xml:space="preserve">ScanR</w:t>
      </w:r>
      <w:r>
        <w:rPr>
          <w:sz w:val="24"/>
        </w:rPr>
        <w:t xml:space="preserve">, catalogues suisses et belges, etc.). </w:t>
      </w:r>
      <w:r>
        <w:rPr>
          <w:sz w:val="24"/>
        </w:rPr>
        <w:t xml:space="preserve">devenu</w:t>
      </w:r>
      <w:r>
        <w:rPr>
          <w:sz w:val="24"/>
        </w:rPr>
        <w:t xml:space="preserve"> un id pivot pour les « autorités personnes » de l’ESR.</w:t>
      </w:r>
      <w:r>
        <w:rPr>
          <w:sz w:val="24"/>
        </w:rPr>
      </w:r>
    </w:p>
    <w:p>
      <w:pPr>
        <w:pBdr/>
        <w:spacing/>
        <w:ind/>
        <w:jc w:val="both"/>
        <w:rPr>
          <w:sz w:val="24"/>
        </w:rPr>
      </w:pPr>
      <w:r>
        <w:rPr>
          <w:sz w:val="24"/>
        </w:rPr>
        <w:t xml:space="preserve">L’articulation entre </w:t>
      </w:r>
      <w:r>
        <w:rPr>
          <w:sz w:val="24"/>
        </w:rPr>
        <w:t xml:space="preserve">IdRef</w:t>
      </w:r>
      <w:r>
        <w:rPr>
          <w:sz w:val="24"/>
        </w:rPr>
        <w:t xml:space="preserve"> et ORCID généralisée </w:t>
      </w:r>
      <w:r>
        <w:rPr>
          <w:sz w:val="24"/>
        </w:rPr>
        <w:t xml:space="preserve">dps</w:t>
      </w:r>
      <w:r>
        <w:rPr>
          <w:sz w:val="24"/>
        </w:rPr>
        <w:t xml:space="preserve"> 2019, avec la constitution du consortium ORCID France et l’alignement automatisé des données à grande échelle, doit être poursuivie pour servir la simplification et l’urbanisation attendues dans et entre les établissements de l’ESR.</w:t>
      </w:r>
      <w:r>
        <w:rPr>
          <w:sz w:val="24"/>
        </w:rPr>
      </w:r>
    </w:p>
    <w:p>
      <w:pPr>
        <w:pBdr/>
        <w:spacing/>
        <w:ind/>
        <w:jc w:val="both"/>
        <w:rPr>
          <w:sz w:val="24"/>
        </w:rPr>
      </w:pPr>
      <w:r>
        <w:rPr>
          <w:sz w:val="24"/>
        </w:rPr>
        <w:t xml:space="preserve">Les entités Agent</w:t>
      </w:r>
      <w:r>
        <w:rPr>
          <w:sz w:val="24"/>
        </w:rPr>
      </w:r>
    </w:p>
    <w:p>
      <w:pPr>
        <w:pBdr/>
        <w:spacing/>
        <w:ind/>
        <w:jc w:val="both"/>
        <w:rPr>
          <w:sz w:val="24"/>
        </w:rPr>
      </w:pPr>
      <w:r>
        <w:rPr>
          <w:sz w:val="24"/>
        </w:rPr>
        <w:t xml:space="preserve">Modèle conceptuel IFLA LRM s’appuie su</w:t>
      </w:r>
      <w:r>
        <w:rPr>
          <w:sz w:val="24"/>
        </w:rPr>
        <w:t xml:space="preserve">r un ensemble de référentiels (Agent, Œuvre, Expression, Lieu, Concept, Temps…) reliés entre eux. L’évolution des modèles de métadonnées gérées par le secteur documentaire vers cette conception générale d’entités et relations est un objectif partagé par l’</w:t>
      </w:r>
      <w:r>
        <w:rPr>
          <w:sz w:val="24"/>
        </w:rPr>
        <w:t xml:space="preserve">Abes</w:t>
      </w:r>
      <w:r>
        <w:rPr>
          <w:sz w:val="24"/>
        </w:rPr>
        <w:t xml:space="preserve"> et nombre d’établissements du secteur documentaire, en France et à l’étranger.</w:t>
      </w:r>
      <w:r>
        <w:rPr>
          <w:sz w:val="24"/>
        </w:rPr>
      </w:r>
    </w:p>
    <w:p>
      <w:pPr>
        <w:pBdr/>
        <w:spacing/>
        <w:ind/>
        <w:jc w:val="both"/>
        <w:rPr>
          <w:sz w:val="24"/>
        </w:rPr>
      </w:pPr>
      <w:r>
        <w:rPr>
          <w:sz w:val="24"/>
        </w:rPr>
      </w:r>
      <w:r>
        <w:rPr>
          <w:sz w:val="24"/>
        </w:rPr>
      </w:r>
    </w:p>
    <w:p>
      <w:pPr>
        <w:pBdr/>
        <w:spacing/>
        <w:ind/>
        <w:jc w:val="both"/>
        <w:rPr>
          <w:sz w:val="24"/>
        </w:rPr>
      </w:pPr>
      <w:r>
        <w:rPr>
          <w:sz w:val="24"/>
        </w:rPr>
        <w:t xml:space="preserve">Les thèses de doctorat françaises sont désormais dotées d’un DOI</w:t>
      </w:r>
      <w:r>
        <w:rPr>
          <w:sz w:val="24"/>
        </w:rPr>
      </w:r>
    </w:p>
    <w:p>
      <w:pPr>
        <w:pBdr/>
        <w:spacing/>
        <w:ind/>
        <w:jc w:val="both"/>
        <w:rPr>
          <w:sz w:val="24"/>
        </w:rPr>
      </w:pPr>
      <w:r>
        <w:rPr>
          <w:sz w:val="24"/>
        </w:rPr>
      </w:r>
      <w:r>
        <w:rPr>
          <w:sz w:val="24"/>
        </w:rPr>
      </w:r>
    </w:p>
    <w:p>
      <w:pPr>
        <w:pBdr/>
        <w:spacing/>
        <w:ind/>
        <w:jc w:val="both"/>
        <w:rPr>
          <w:sz w:val="24"/>
        </w:rPr>
      </w:pPr>
      <w:r>
        <w:rPr>
          <w:sz w:val="24"/>
        </w:rPr>
        <w:t xml:space="preserve">Projet confié à l’ABES par le ministère de l’ESR s’inscrivant dans la stratégie nationale de science ouverte et de valorisation de la production scientifique, en garantissant une mise en œuvre pérenne, automatisée et conforme aux standards internationaux.</w:t>
      </w:r>
      <w:r>
        <w:rPr>
          <w:sz w:val="24"/>
        </w:rPr>
      </w:r>
    </w:p>
    <w:p>
      <w:pPr>
        <w:pBdr/>
        <w:spacing/>
        <w:ind/>
        <w:jc w:val="both"/>
        <w:rPr>
          <w:sz w:val="24"/>
        </w:rPr>
      </w:pPr>
      <w:r>
        <w:rPr>
          <w:sz w:val="24"/>
        </w:rPr>
        <w:t xml:space="preserve">Des enjeux d’ouverture et de visibilité à l’échelle internationale</w:t>
      </w:r>
      <w:r>
        <w:rPr>
          <w:sz w:val="24"/>
        </w:rPr>
      </w:r>
    </w:p>
    <w:p>
      <w:pPr>
        <w:pBdr/>
        <w:spacing/>
        <w:ind/>
        <w:jc w:val="both"/>
        <w:rPr>
          <w:sz w:val="24"/>
        </w:rPr>
      </w:pPr>
      <w:r>
        <w:rPr>
          <w:sz w:val="24"/>
        </w:rPr>
        <w:t xml:space="preserve">1985 : chaque thèse française = attribution d’un numéro national de thèse (NNT). Cet identifiant pérenne, gratuit et univoque constitue le socle de l’identification des thèses dans les dispositifs nationaux opérés par l’</w:t>
      </w:r>
      <w:r>
        <w:rPr>
          <w:sz w:val="24"/>
        </w:rPr>
        <w:t xml:space="preserve">Abes</w:t>
      </w:r>
      <w:r>
        <w:rPr>
          <w:sz w:val="24"/>
        </w:rPr>
        <w:t xml:space="preserve">, notamment au sein du </w:t>
      </w:r>
      <w:r>
        <w:rPr>
          <w:sz w:val="24"/>
        </w:rPr>
        <w:t xml:space="preserve">Sudoc</w:t>
      </w:r>
      <w:r>
        <w:rPr>
          <w:sz w:val="24"/>
        </w:rPr>
        <w:t xml:space="preserve"> et du portail theses.fr</w:t>
      </w:r>
      <w:r>
        <w:rPr>
          <w:sz w:val="24"/>
        </w:rPr>
      </w:r>
    </w:p>
    <w:p>
      <w:pPr>
        <w:pBdr/>
        <w:spacing/>
        <w:ind/>
        <w:jc w:val="both"/>
        <w:rPr>
          <w:sz w:val="24"/>
        </w:rPr>
      </w:pPr>
      <w:r>
        <w:rPr>
          <w:sz w:val="24"/>
        </w:rPr>
        <w:t xml:space="preserve">Identifiant NNT couvrant uniquement les besoins à l’échelle nationale, ne couvre néanmoins pas l’ensemble des besoins actuels en matière d’interopérabilité, de visibilité et de </w:t>
      </w:r>
      <w:r>
        <w:rPr>
          <w:sz w:val="24"/>
        </w:rPr>
        <w:t xml:space="preserve">citabilité</w:t>
      </w:r>
      <w:r>
        <w:rPr>
          <w:sz w:val="24"/>
        </w:rPr>
        <w:t xml:space="preserve"> à l’échelle internationale.</w:t>
      </w:r>
      <w:r>
        <w:rPr>
          <w:sz w:val="24"/>
        </w:rPr>
      </w:r>
    </w:p>
    <w:p>
      <w:pPr>
        <w:pBdr/>
        <w:spacing/>
        <w:ind/>
        <w:jc w:val="both"/>
        <w:rPr>
          <w:sz w:val="24"/>
        </w:rPr>
      </w:pPr>
      <w:r>
        <w:rPr>
          <w:sz w:val="24"/>
        </w:rPr>
        <w:t xml:space="preserve">Un dispositif national confié à l’</w:t>
      </w:r>
      <w:r>
        <w:rPr>
          <w:sz w:val="24"/>
        </w:rPr>
        <w:t xml:space="preserve">Abes</w:t>
      </w:r>
      <w:r>
        <w:rPr>
          <w:sz w:val="24"/>
        </w:rPr>
      </w:r>
    </w:p>
    <w:p>
      <w:pPr>
        <w:pBdr/>
        <w:spacing/>
        <w:ind/>
        <w:jc w:val="both"/>
        <w:rPr>
          <w:sz w:val="24"/>
        </w:rPr>
      </w:pPr>
      <w:r>
        <w:rPr>
          <w:sz w:val="24"/>
        </w:rPr>
        <w:t xml:space="preserve">Le ministère de l’ESR a confié à l’</w:t>
      </w:r>
      <w:r>
        <w:rPr>
          <w:sz w:val="24"/>
        </w:rPr>
        <w:t xml:space="preserve">Abes</w:t>
      </w:r>
      <w:r>
        <w:rPr>
          <w:sz w:val="24"/>
        </w:rPr>
        <w:t xml:space="preserve"> le soin de développer le DOI (Digital Object Identifier) aux thèses de doctorat françaises, en s’</w:t>
      </w:r>
      <w:r>
        <w:rPr>
          <w:sz w:val="24"/>
        </w:rPr>
        <w:t xml:space="preserve">apuyant</w:t>
      </w:r>
      <w:r>
        <w:rPr>
          <w:sz w:val="24"/>
        </w:rPr>
        <w:t xml:space="preserve"> sur l’infrastructure de l’agence </w:t>
      </w:r>
      <w:r>
        <w:rPr>
          <w:sz w:val="24"/>
        </w:rPr>
        <w:t xml:space="preserve">Crossref</w:t>
      </w:r>
      <w:r>
        <w:rPr>
          <w:sz w:val="24"/>
        </w:rPr>
        <w:t xml:space="preserve">.</w:t>
      </w:r>
      <w:r>
        <w:rPr>
          <w:sz w:val="24"/>
        </w:rPr>
      </w:r>
    </w:p>
    <w:p>
      <w:pPr>
        <w:pBdr/>
        <w:spacing/>
        <w:ind/>
        <w:jc w:val="both"/>
        <w:rPr>
          <w:sz w:val="24"/>
        </w:rPr>
      </w:pPr>
      <w:r>
        <w:rPr>
          <w:sz w:val="24"/>
        </w:rPr>
        <w:t xml:space="preserve">L’attribution des DOI</w:t>
      </w:r>
      <w:r>
        <w:rPr>
          <w:sz w:val="24"/>
        </w:rPr>
        <w:t xml:space="preserve"> : intégration de manière automatisée dans les applications nationales de gestion des thèses, en particulier STAR, et repose sur des standards techniques internationaux éprouvés. </w:t>
      </w:r>
      <w:r>
        <w:rPr>
          <w:sz w:val="24"/>
        </w:rPr>
        <w:t xml:space="preserve">Inscription dans la stratégie de l’</w:t>
      </w:r>
      <w:r>
        <w:rPr>
          <w:sz w:val="24"/>
        </w:rPr>
        <w:t xml:space="preserve">Abes</w:t>
      </w:r>
      <w:r>
        <w:rPr>
          <w:sz w:val="24"/>
        </w:rPr>
        <w:t xml:space="preserve"> en matière de qualité et de valorisation des métadonnées, telle que définie dans son projet d’établissement 2024-2028.</w:t>
      </w:r>
      <w:r>
        <w:rPr>
          <w:sz w:val="24"/>
        </w:rPr>
      </w:r>
    </w:p>
    <w:p>
      <w:pPr>
        <w:pBdr/>
        <w:spacing/>
        <w:ind/>
        <w:jc w:val="both"/>
        <w:rPr>
          <w:sz w:val="24"/>
        </w:rPr>
      </w:pPr>
      <w:r>
        <w:rPr>
          <w:sz w:val="24"/>
        </w:rPr>
        <w:t xml:space="preserve">Une mise en œuvre agile et collaborative :</w:t>
      </w:r>
      <w:r>
        <w:rPr>
          <w:sz w:val="24"/>
        </w:rPr>
      </w:r>
    </w:p>
    <w:p>
      <w:pPr>
        <w:pBdr/>
        <w:spacing/>
        <w:ind/>
        <w:jc w:val="both"/>
        <w:rPr>
          <w:sz w:val="24"/>
        </w:rPr>
      </w:pPr>
      <w:r>
        <w:rPr>
          <w:sz w:val="24"/>
        </w:rPr>
        <w:t xml:space="preserve">A l’issue de 4 sprints, le mécanisme d’attribution </w:t>
      </w:r>
      <w:r>
        <w:rPr>
          <w:sz w:val="24"/>
        </w:rPr>
        <w:t xml:space="preserve">des DOI à environ 150 000 thèses a été déployé dans l’application STAR : seules les thèses soutenues au format électronique sont concernées par ces attributions rétrospectives. Pour le flux courant, le DOI est attribué au moment de la validation dans STAR.</w:t>
      </w:r>
      <w:r>
        <w:rPr>
          <w:sz w:val="24"/>
        </w:rPr>
      </w:r>
    </w:p>
    <w:p>
      <w:pPr>
        <w:pBdr/>
        <w:spacing/>
        <w:ind/>
        <w:jc w:val="both"/>
        <w:rPr>
          <w:sz w:val="24"/>
        </w:rPr>
      </w:pPr>
      <w:r>
        <w:rPr>
          <w:sz w:val="24"/>
        </w:rPr>
        <w:t xml:space="preserve">Focus sur les DOI</w:t>
      </w:r>
      <w:r>
        <w:rPr>
          <w:sz w:val="24"/>
        </w:rPr>
      </w:r>
    </w:p>
    <w:p>
      <w:pPr>
        <w:pBdr/>
        <w:spacing/>
        <w:ind/>
        <w:jc w:val="both"/>
        <w:rPr>
          <w:sz w:val="24"/>
        </w:rPr>
      </w:pPr>
      <w:r>
        <w:rPr>
          <w:sz w:val="24"/>
        </w:rPr>
        <w:t xml:space="preserve">DOI : une chaîne de caractères, visuellement proche d’une URL, permettant d’identifier de manière univoque un objet numérique et de lui associer un ensemble structuré de métadonnées (auteur, date de soutenance, établissement, etc.).</w:t>
      </w:r>
      <w:r>
        <w:rPr>
          <w:sz w:val="24"/>
        </w:rPr>
      </w:r>
    </w:p>
    <w:p>
      <w:pPr>
        <w:pBdr/>
        <w:spacing/>
        <w:ind/>
        <w:jc w:val="both"/>
        <w:rPr>
          <w:sz w:val="24"/>
        </w:rPr>
      </w:pPr>
      <w:r>
        <w:rPr>
          <w:sz w:val="24"/>
        </w:rPr>
        <w:t xml:space="preserve">Chmgt</w:t>
      </w:r>
      <w:r>
        <w:rPr>
          <w:sz w:val="24"/>
        </w:rPr>
        <w:t xml:space="preserve"> fréquents d’URL : utilisation DOI =&gt; progressivement imposée comme un standard international pour l’identification, l’accès et la citation des publications scientifiques (articles, jeux de données, rapports, etc.).</w:t>
      </w:r>
      <w:r>
        <w:rPr>
          <w:sz w:val="24"/>
        </w:rPr>
      </w:r>
    </w:p>
    <w:p>
      <w:pPr>
        <w:pBdr/>
        <w:spacing/>
        <w:ind/>
        <w:jc w:val="both"/>
        <w:rPr>
          <w:sz w:val="24"/>
        </w:rPr>
      </w:pPr>
      <w:r>
        <w:rPr>
          <w:sz w:val="24"/>
        </w:rPr>
        <w:t xml:space="preserve">Appliqué aux thèses de doctorat, le DOI garantit une identification durable et </w:t>
      </w:r>
      <w:r>
        <w:rPr>
          <w:sz w:val="24"/>
        </w:rPr>
        <w:t xml:space="preserve">référençable</w:t>
      </w:r>
      <w:r>
        <w:rPr>
          <w:sz w:val="24"/>
        </w:rPr>
        <w:t xml:space="preserve"> de la ressource, facilite sa citation et sa réutilisation, et permet son intégration dans les écosystèmes numériques internationaux de la science ouverte, notamment dans des services de citation tels qu’</w:t>
      </w:r>
      <w:r>
        <w:rPr>
          <w:sz w:val="24"/>
        </w:rPr>
        <w:t xml:space="preserve">OpenCitations</w:t>
      </w:r>
      <w:r>
        <w:rPr>
          <w:sz w:val="24"/>
        </w:rPr>
        <w:t xml:space="preserve">.</w:t>
      </w:r>
      <w:r>
        <w:rPr>
          <w:sz w:val="24"/>
        </w:rPr>
      </w:r>
    </w:p>
    <w:p>
      <w:pPr>
        <w:pBdr/>
        <w:spacing/>
        <w:ind/>
        <w:jc w:val="both"/>
        <w:rPr>
          <w:sz w:val="24"/>
        </w:rPr>
      </w:pPr>
      <w:r>
        <w:rPr>
          <w:sz w:val="24"/>
        </w:rPr>
        <w:t xml:space="preserve">Un DOI « canonique » qui couvre l’ensemble des formes de la thèse</w:t>
      </w:r>
      <w:r>
        <w:rPr>
          <w:sz w:val="24"/>
        </w:rPr>
      </w:r>
    </w:p>
    <w:p>
      <w:pPr>
        <w:pBdr/>
        <w:spacing/>
        <w:ind/>
        <w:jc w:val="both"/>
        <w:rPr>
          <w:sz w:val="24"/>
        </w:rPr>
      </w:pPr>
      <w:r>
        <w:rPr>
          <w:sz w:val="24"/>
        </w:rPr>
        <w:t xml:space="preserve">Consciente des démarches entreprises par d’autres docteurs </w:t>
      </w:r>
      <w:r>
        <w:rPr>
          <w:sz w:val="24"/>
        </w:rPr>
        <w:t xml:space="preserve">ou établissements sur cette question, l’</w:t>
      </w:r>
      <w:r>
        <w:rPr>
          <w:sz w:val="24"/>
        </w:rPr>
        <w:t xml:space="preserve">Abes</w:t>
      </w:r>
      <w:r>
        <w:rPr>
          <w:sz w:val="24"/>
        </w:rPr>
        <w:t xml:space="preserve"> précise que le DOI qu’elle attribue s’inscrit dans le cadre du signalement national des thèses, et du dépôt électronique obligatoire en vue de leur archivage pérenne au CINES.</w:t>
      </w:r>
      <w:r>
        <w:rPr>
          <w:sz w:val="24"/>
        </w:rPr>
      </w:r>
    </w:p>
    <w:p>
      <w:pPr>
        <w:pBdr/>
        <w:spacing/>
        <w:ind/>
        <w:jc w:val="both"/>
        <w:rPr>
          <w:sz w:val="24"/>
        </w:rPr>
      </w:pPr>
      <w:r>
        <w:rPr>
          <w:sz w:val="24"/>
        </w:rPr>
        <w:t xml:space="preserve">Ce DOI affiché dans thèses.fr englobe l’ensemble des versions ou manifestations possibles de l’œuvre </w:t>
      </w:r>
      <w:r>
        <w:rPr>
          <w:sz w:val="24"/>
        </w:rPr>
        <w:t xml:space="preserve">de l’esprit qu’est la thèse : version de soutenance, versions diffusées, versions des différents dépôts dans des entrepôts d’établissements ou sur HAL, et versions éditées.</w:t>
      </w:r>
      <w:r>
        <w:rPr>
          <w:sz w:val="24"/>
        </w:rPr>
      </w:r>
    </w:p>
    <w:p>
      <w:pPr>
        <w:pBdr/>
        <w:spacing/>
        <w:ind/>
        <w:jc w:val="both"/>
        <w:rPr>
          <w:sz w:val="24"/>
        </w:rPr>
      </w:pPr>
      <w:r>
        <w:rPr>
          <w:sz w:val="24"/>
        </w:rPr>
        <w:t xml:space="preserve">D’autres DOI peuvent exister pour des versions diffusées par les établissements ou pour des versions éventuellement remaniées a posterio</w:t>
      </w:r>
      <w:r>
        <w:rPr>
          <w:sz w:val="24"/>
        </w:rPr>
        <w:t xml:space="preserve">ri par des docteurs, par exemple dans HAL Thèses. Tous ces autres DOI doivent définir une relation de dépendance au DOI principal attribué par le processus réglementaire de signalement des thèses soutenues, de type </w:t>
      </w:r>
      <w:r>
        <w:rPr>
          <w:sz w:val="24"/>
        </w:rPr>
        <w:t xml:space="preserve">IsVersionOf</w:t>
      </w:r>
      <w:r>
        <w:rPr>
          <w:sz w:val="24"/>
        </w:rPr>
        <w:t xml:space="preserve"> ou </w:t>
      </w:r>
      <w:r>
        <w:rPr>
          <w:sz w:val="24"/>
        </w:rPr>
        <w:t xml:space="preserve">IsManifestationOf</w:t>
      </w:r>
      <w:r>
        <w:rPr>
          <w:sz w:val="24"/>
        </w:rPr>
        <w:t xml:space="preserve">.</w:t>
      </w:r>
      <w:r>
        <w:rPr>
          <w:sz w:val="24"/>
        </w:rPr>
      </w:r>
    </w:p>
    <w:p>
      <w:pPr>
        <w:pBdr/>
        <w:spacing/>
        <w:ind/>
        <w:jc w:val="both"/>
        <w:rPr>
          <w:sz w:val="24"/>
        </w:rPr>
      </w:pPr>
      <w:r>
        <w:rPr>
          <w:sz w:val="24"/>
        </w:rPr>
        <w:t xml:space="preserve">Mécanisme d’enrichissement des métadonnées des DOI du CCSD, organisme opérateur de HAL Thèses, est prévu afin de d’assurer le lien entre une version remaniée par l’auteur et la thèse officielle archivée par l’</w:t>
      </w:r>
      <w:r>
        <w:rPr>
          <w:sz w:val="24"/>
        </w:rPr>
        <w:t xml:space="preserve">Abes</w:t>
      </w:r>
      <w:r>
        <w:rPr>
          <w:sz w:val="24"/>
        </w:rPr>
        <w:t xml:space="preserve">.</w:t>
      </w:r>
      <w:r>
        <w:rPr>
          <w:sz w:val="24"/>
        </w:rPr>
      </w:r>
    </w:p>
    <w:p>
      <w:pPr>
        <w:pBdr/>
        <w:spacing/>
        <w:ind/>
        <w:rPr>
          <w:b/>
          <w:sz w:val="28"/>
        </w:rPr>
      </w:pPr>
      <w:r>
        <w:rPr>
          <w:b/>
          <w:sz w:val="28"/>
        </w:rPr>
        <w:t xml:space="preserve">Programme de coopération – </w:t>
      </w:r>
      <w:r>
        <w:rPr>
          <w:b/>
          <w:sz w:val="28"/>
        </w:rPr>
        <w:t xml:space="preserve">BiblioRef</w:t>
      </w:r>
      <w:r>
        <w:rPr>
          <w:b/>
          <w:sz w:val="28"/>
        </w:rPr>
        <w:t xml:space="preserve"> : recenser et analyser la production scientifique en sciences humaines et sociales</w:t>
      </w:r>
      <w:r>
        <w:rPr>
          <w:b/>
          <w:sz w:val="28"/>
        </w:rPr>
      </w:r>
    </w:p>
    <w:p>
      <w:pPr>
        <w:pBdr/>
        <w:spacing/>
        <w:ind/>
        <w:jc w:val="both"/>
        <w:rPr>
          <w:sz w:val="24"/>
        </w:rPr>
      </w:pPr>
      <w:r>
        <w:rPr>
          <w:sz w:val="24"/>
        </w:rPr>
        <w:t xml:space="preserve">Date : 18/05/2026</w:t>
      </w:r>
      <w:r>
        <w:rPr>
          <w:sz w:val="24"/>
        </w:rPr>
      </w:r>
    </w:p>
    <w:p>
      <w:pPr>
        <w:pBdr/>
        <w:spacing/>
        <w:ind/>
        <w:jc w:val="both"/>
        <w:rPr>
          <w:sz w:val="24"/>
        </w:rPr>
      </w:pPr>
      <w:r>
        <w:rPr>
          <w:sz w:val="24"/>
        </w:rPr>
        <w:t xml:space="preserve">2025 : </w:t>
      </w:r>
      <w:r>
        <w:rPr>
          <w:sz w:val="24"/>
        </w:rPr>
        <w:t xml:space="preserve">SCD de l’université Lyon 3 s’est lancé dans la mise en place d’un connecteur </w:t>
      </w:r>
      <w:r>
        <w:rPr>
          <w:sz w:val="24"/>
        </w:rPr>
        <w:t xml:space="preserve">Sudoc</w:t>
      </w:r>
      <w:r>
        <w:rPr>
          <w:sz w:val="24"/>
        </w:rPr>
        <w:t xml:space="preserve"> afin d’enrichir l’outil </w:t>
      </w:r>
      <w:r>
        <w:rPr>
          <w:sz w:val="24"/>
        </w:rPr>
        <w:t xml:space="preserve">BiblioRef</w:t>
      </w:r>
      <w:r>
        <w:rPr>
          <w:sz w:val="24"/>
        </w:rPr>
        <w:t xml:space="preserve">, logiciel bibliométrique et bibliographique open source développé par l’établissement.</w:t>
      </w:r>
      <w:r>
        <w:rPr>
          <w:sz w:val="24"/>
        </w:rPr>
      </w:r>
    </w:p>
    <w:p>
      <w:pPr>
        <w:pBdr/>
        <w:spacing/>
        <w:ind/>
        <w:jc w:val="both"/>
        <w:rPr>
          <w:sz w:val="24"/>
        </w:rPr>
      </w:pPr>
      <w:r>
        <w:rPr>
          <w:sz w:val="24"/>
        </w:rPr>
        <w:t xml:space="preserve">Pourquoi </w:t>
      </w:r>
      <w:r>
        <w:rPr>
          <w:sz w:val="24"/>
        </w:rPr>
        <w:t xml:space="preserve">BiblioRef</w:t>
      </w:r>
      <w:r>
        <w:rPr>
          <w:sz w:val="24"/>
        </w:rPr>
        <w:t xml:space="preserve"> ?</w:t>
      </w:r>
      <w:r>
        <w:rPr>
          <w:sz w:val="24"/>
        </w:rPr>
      </w:r>
    </w:p>
    <w:p>
      <w:pPr>
        <w:pBdr/>
        <w:spacing/>
        <w:ind/>
        <w:jc w:val="both"/>
        <w:rPr>
          <w:sz w:val="24"/>
        </w:rPr>
      </w:pPr>
      <w:r>
        <w:rPr>
          <w:sz w:val="24"/>
        </w:rPr>
        <w:t xml:space="preserve">Pour combler la lacune de Lyon 3</w:t>
      </w:r>
      <w:r>
        <w:rPr>
          <w:sz w:val="24"/>
        </w:rPr>
        <w:t xml:space="preserve"> afin d’avoir un meilleur suivi de son activité de recherche efficace, la gouvernance inscrit dans le projet d’établissement 2021-2026 le « développement d’une application agrégeant les données bibliographiques et bibliométriques des unités de recherche ».</w:t>
      </w:r>
      <w:r>
        <w:rPr>
          <w:sz w:val="24"/>
        </w:rPr>
      </w:r>
    </w:p>
    <w:p>
      <w:pPr>
        <w:pBdr/>
        <w:spacing/>
        <w:ind/>
        <w:jc w:val="both"/>
        <w:rPr>
          <w:sz w:val="24"/>
        </w:rPr>
      </w:pPr>
      <w:r>
        <w:rPr>
          <w:sz w:val="24"/>
        </w:rPr>
        <w:t xml:space="preserve">Enjeu : construire une application adaptée à la réalité du paysage éditorial en SHS, caractérisé par l’atomicité de ses éditeurs et le plurilinguisme de ses publications. </w:t>
      </w:r>
      <w:r>
        <w:rPr>
          <w:sz w:val="24"/>
        </w:rPr>
      </w:r>
    </w:p>
    <w:p>
      <w:pPr>
        <w:pBdr/>
        <w:spacing/>
        <w:ind/>
        <w:jc w:val="both"/>
        <w:rPr>
          <w:sz w:val="24"/>
        </w:rPr>
      </w:pPr>
      <w:r>
        <w:rPr>
          <w:sz w:val="24"/>
        </w:rPr>
        <w:t xml:space="preserve">Le référentiel auteurs et les identifiants uniques</w:t>
      </w:r>
      <w:r>
        <w:rPr>
          <w:sz w:val="24"/>
        </w:rPr>
      </w:r>
    </w:p>
    <w:p>
      <w:pPr>
        <w:pBdr/>
        <w:spacing/>
        <w:ind/>
        <w:jc w:val="both"/>
        <w:rPr>
          <w:sz w:val="24"/>
        </w:rPr>
      </w:pPr>
      <w:r>
        <w:rPr>
          <w:sz w:val="24"/>
        </w:rPr>
        <w:t xml:space="preserve">Périmètre actuel de </w:t>
      </w:r>
      <w:r>
        <w:rPr>
          <w:sz w:val="24"/>
        </w:rPr>
        <w:t xml:space="preserve">BiblioRef</w:t>
      </w:r>
      <w:r>
        <w:rPr>
          <w:sz w:val="24"/>
        </w:rPr>
        <w:t xml:space="preserve"> correspond aux personnes affiliées à l’université ayant une activité de recherche donnant lieu à des publications, depuis 2014.</w:t>
      </w:r>
      <w:r>
        <w:rPr>
          <w:sz w:val="24"/>
        </w:rPr>
      </w:r>
    </w:p>
    <w:p>
      <w:pPr>
        <w:pBdr/>
        <w:spacing/>
        <w:ind/>
        <w:jc w:val="both"/>
        <w:rPr>
          <w:sz w:val="24"/>
        </w:rPr>
      </w:pPr>
      <w:r>
        <w:rPr>
          <w:sz w:val="24"/>
        </w:rPr>
        <w:t xml:space="preserve">IdRef</w:t>
      </w:r>
      <w:r>
        <w:rPr>
          <w:sz w:val="24"/>
        </w:rPr>
        <w:t xml:space="preserve"> : outil pivot.</w:t>
      </w:r>
      <w:bookmarkStart w:id="0" w:name="_GoBack"/>
      <w:r/>
      <w:bookmarkEnd w:id="0"/>
      <w:r>
        <w:rPr>
          <w:sz w:val="24"/>
        </w:rPr>
        <w:t xml:space="preserve"> </w:t>
      </w:r>
      <w:r>
        <w:rPr>
          <w:sz w:val="24"/>
        </w:rPr>
      </w:r>
    </w:p>
    <w:p>
      <w:pPr>
        <w:pBdr/>
        <w:spacing/>
        <w:ind/>
        <w:jc w:val="both"/>
        <w:rPr>
          <w:sz w:val="24"/>
        </w:rPr>
      </w:pPr>
      <w:r>
        <w:rPr>
          <w:sz w:val="24"/>
        </w:rPr>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C01CB3"/>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3772062"/>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0"/>
    <w:link w:val="669"/>
    <w:uiPriority w:val="9"/>
    <w:pPr>
      <w:pBdr/>
      <w:spacing/>
      <w:ind/>
    </w:pPr>
    <w:rPr>
      <w:rFonts w:ascii="Arial" w:hAnsi="Arial" w:eastAsia="Arial" w:cs="Arial"/>
      <w:color w:val="0f4761" w:themeColor="accent1" w:themeShade="BF"/>
      <w:sz w:val="40"/>
      <w:szCs w:val="40"/>
    </w:rPr>
  </w:style>
  <w:style w:type="character" w:styleId="151">
    <w:name w:val="Heading 2 Char"/>
    <w:basedOn w:val="67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0"/>
    <w:link w:val="142"/>
    <w:uiPriority w:val="9"/>
    <w:pPr>
      <w:pBdr/>
      <w:spacing/>
      <w:ind/>
    </w:pPr>
    <w:rPr>
      <w:rFonts w:ascii="Arial" w:hAnsi="Arial" w:eastAsia="Arial" w:cs="Arial"/>
      <w:i/>
      <w:iCs/>
      <w:color w:val="0f4761" w:themeColor="accent1" w:themeShade="BF"/>
    </w:rPr>
  </w:style>
  <w:style w:type="character" w:styleId="154">
    <w:name w:val="Heading 5 Char"/>
    <w:basedOn w:val="670"/>
    <w:link w:val="143"/>
    <w:uiPriority w:val="9"/>
    <w:pPr>
      <w:pBdr/>
      <w:spacing/>
      <w:ind/>
    </w:pPr>
    <w:rPr>
      <w:rFonts w:ascii="Arial" w:hAnsi="Arial" w:eastAsia="Arial" w:cs="Arial"/>
      <w:color w:val="0f4761" w:themeColor="accent1" w:themeShade="BF"/>
    </w:rPr>
  </w:style>
  <w:style w:type="character" w:styleId="155">
    <w:name w:val="Heading 6 Char"/>
    <w:basedOn w:val="670"/>
    <w:link w:val="144"/>
    <w:uiPriority w:val="9"/>
    <w:pPr>
      <w:pBdr/>
      <w:spacing/>
      <w:ind/>
    </w:pPr>
    <w:rPr>
      <w:rFonts w:ascii="Arial" w:hAnsi="Arial" w:eastAsia="Arial" w:cs="Arial"/>
      <w:i/>
      <w:iCs/>
      <w:color w:val="595959" w:themeColor="text1" w:themeTint="A6"/>
    </w:rPr>
  </w:style>
  <w:style w:type="character" w:styleId="156">
    <w:name w:val="Heading 7 Char"/>
    <w:basedOn w:val="670"/>
    <w:link w:val="145"/>
    <w:uiPriority w:val="9"/>
    <w:pPr>
      <w:pBdr/>
      <w:spacing/>
      <w:ind/>
    </w:pPr>
    <w:rPr>
      <w:rFonts w:ascii="Arial" w:hAnsi="Arial" w:eastAsia="Arial" w:cs="Arial"/>
      <w:color w:val="595959" w:themeColor="text1" w:themeTint="A6"/>
    </w:rPr>
  </w:style>
  <w:style w:type="character" w:styleId="157">
    <w:name w:val="Heading 8 Char"/>
    <w:basedOn w:val="670"/>
    <w:link w:val="146"/>
    <w:uiPriority w:val="9"/>
    <w:pPr>
      <w:pBdr/>
      <w:spacing/>
      <w:ind/>
    </w:pPr>
    <w:rPr>
      <w:rFonts w:ascii="Arial" w:hAnsi="Arial" w:eastAsia="Arial" w:cs="Arial"/>
      <w:i/>
      <w:iCs/>
      <w:color w:val="272727" w:themeColor="text1" w:themeTint="D8"/>
    </w:rPr>
  </w:style>
  <w:style w:type="character" w:styleId="158">
    <w:name w:val="Heading 9 Char"/>
    <w:basedOn w:val="670"/>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0"/>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70"/>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70"/>
    <w:link w:val="163"/>
    <w:uiPriority w:val="29"/>
    <w:pPr>
      <w:pBdr/>
      <w:spacing/>
      <w:ind/>
    </w:pPr>
    <w:rPr>
      <w:i/>
      <w:iCs/>
      <w:color w:val="404040" w:themeColor="text1" w:themeTint="BF"/>
    </w:rPr>
  </w:style>
  <w:style w:type="character" w:styleId="166">
    <w:name w:val="Intense Emphasis"/>
    <w:basedOn w:val="670"/>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0"/>
    <w:link w:val="167"/>
    <w:uiPriority w:val="30"/>
    <w:pPr>
      <w:pBdr/>
      <w:spacing/>
      <w:ind/>
    </w:pPr>
    <w:rPr>
      <w:i/>
      <w:iCs/>
      <w:color w:val="0f4761" w:themeColor="accent1" w:themeShade="BF"/>
    </w:rPr>
  </w:style>
  <w:style w:type="character" w:styleId="169">
    <w:name w:val="Intense Reference"/>
    <w:basedOn w:val="670"/>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70"/>
    <w:uiPriority w:val="19"/>
    <w:qFormat/>
    <w:pPr>
      <w:pBdr/>
      <w:spacing/>
      <w:ind/>
    </w:pPr>
    <w:rPr>
      <w:i/>
      <w:iCs/>
      <w:color w:val="404040" w:themeColor="text1" w:themeTint="BF"/>
    </w:rPr>
  </w:style>
  <w:style w:type="character" w:styleId="172">
    <w:name w:val="Emphasis"/>
    <w:basedOn w:val="670"/>
    <w:uiPriority w:val="20"/>
    <w:qFormat/>
    <w:pPr>
      <w:pBdr/>
      <w:spacing/>
      <w:ind/>
    </w:pPr>
    <w:rPr>
      <w:i/>
      <w:iCs/>
    </w:rPr>
  </w:style>
  <w:style w:type="character" w:styleId="173">
    <w:name w:val="Strong"/>
    <w:basedOn w:val="670"/>
    <w:uiPriority w:val="22"/>
    <w:qFormat/>
    <w:pPr>
      <w:pBdr/>
      <w:spacing/>
      <w:ind/>
    </w:pPr>
    <w:rPr>
      <w:b/>
      <w:bCs/>
    </w:rPr>
  </w:style>
  <w:style w:type="character" w:styleId="174">
    <w:name w:val="Subtle Reference"/>
    <w:basedOn w:val="670"/>
    <w:uiPriority w:val="31"/>
    <w:qFormat/>
    <w:pPr>
      <w:pBdr/>
      <w:spacing/>
      <w:ind/>
    </w:pPr>
    <w:rPr>
      <w:smallCaps/>
      <w:color w:val="5a5a5a" w:themeColor="text1" w:themeTint="A5"/>
    </w:rPr>
  </w:style>
  <w:style w:type="character" w:styleId="175">
    <w:name w:val="Book Title"/>
    <w:basedOn w:val="670"/>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70"/>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70"/>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70"/>
    <w:link w:val="181"/>
    <w:uiPriority w:val="99"/>
    <w:semiHidden/>
    <w:pPr>
      <w:pBdr/>
      <w:spacing/>
      <w:ind/>
    </w:pPr>
    <w:rPr>
      <w:sz w:val="20"/>
      <w:szCs w:val="20"/>
    </w:rPr>
  </w:style>
  <w:style w:type="character" w:styleId="183">
    <w:name w:val="footnote reference"/>
    <w:basedOn w:val="670"/>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70"/>
    <w:link w:val="184"/>
    <w:uiPriority w:val="99"/>
    <w:semiHidden/>
    <w:pPr>
      <w:pBdr/>
      <w:spacing/>
      <w:ind/>
    </w:pPr>
    <w:rPr>
      <w:sz w:val="20"/>
      <w:szCs w:val="20"/>
    </w:rPr>
  </w:style>
  <w:style w:type="character" w:styleId="186">
    <w:name w:val="endnote reference"/>
    <w:basedOn w:val="670"/>
    <w:uiPriority w:val="99"/>
    <w:semiHidden/>
    <w:unhideWhenUsed/>
    <w:pPr>
      <w:pBdr/>
      <w:spacing/>
      <w:ind/>
    </w:pPr>
    <w:rPr>
      <w:vertAlign w:val="superscript"/>
    </w:rPr>
  </w:style>
  <w:style w:type="character" w:styleId="188">
    <w:name w:val="FollowedHyperlink"/>
    <w:basedOn w:val="670"/>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7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paragraph" w:styleId="669">
    <w:name w:val="Heading 1"/>
    <w:basedOn w:val="668"/>
    <w:link w:val="674"/>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lang w:eastAsia="fr-FR"/>
    </w:rPr>
  </w:style>
  <w:style w:type="character" w:styleId="670" w:default="1">
    <w:name w:val="Default Paragraph Font"/>
    <w:uiPriority w:val="1"/>
    <w:semiHidden/>
    <w:unhideWhenUsed/>
    <w:pPr>
      <w:pBdr/>
      <w:spacing/>
      <w:ind/>
    </w:pPr>
  </w:style>
  <w:style w:type="table" w:styleId="6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2" w:default="1">
    <w:name w:val="No List"/>
    <w:uiPriority w:val="99"/>
    <w:semiHidden/>
    <w:unhideWhenUsed/>
    <w:pPr>
      <w:pBdr/>
      <w:spacing/>
      <w:ind/>
    </w:pPr>
  </w:style>
  <w:style w:type="paragraph" w:styleId="673">
    <w:name w:val="List Paragraph"/>
    <w:basedOn w:val="668"/>
    <w:uiPriority w:val="34"/>
    <w:qFormat/>
    <w:pPr>
      <w:pBdr/>
      <w:spacing/>
      <w:ind w:left="720"/>
      <w:contextualSpacing w:val="true"/>
    </w:pPr>
  </w:style>
  <w:style w:type="character" w:styleId="674" w:customStyle="1">
    <w:name w:val="Titre 1 Car"/>
    <w:basedOn w:val="670"/>
    <w:link w:val="669"/>
    <w:uiPriority w:val="9"/>
    <w:pPr>
      <w:pBdr/>
      <w:spacing/>
      <w:ind/>
    </w:pPr>
    <w:rPr>
      <w:rFonts w:ascii="Times New Roman" w:hAnsi="Times New Roman" w:eastAsia="Times New Roman" w:cs="Times New Roman"/>
      <w:b/>
      <w:bCs/>
      <w:sz w:val="48"/>
      <w:szCs w:val="48"/>
      <w:lang w:eastAsia="fr-FR"/>
    </w:rPr>
  </w:style>
  <w:style w:type="character" w:styleId="675">
    <w:name w:val="Hyperlink"/>
    <w:basedOn w:val="670"/>
    <w:uiPriority w:val="99"/>
    <w:unhideWhenUsed/>
    <w:pPr>
      <w:pBdr/>
      <w:spacing/>
      <w:ind/>
    </w:pPr>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publications-prairial.fr/arabesques/index.php?id=3090&amp;lang=fr" TargetMode="External"/><Relationship Id="rId10" Type="http://schemas.openxmlformats.org/officeDocument/2006/relationships/hyperlink" Target="https://abes.fr/wp-content/uploads/2020/05/istex.pdf" TargetMode="External"/><Relationship Id="rId11" Type="http://schemas.openxmlformats.org/officeDocument/2006/relationships/hyperlink" Target="https://www.couperin.org/negociations/collex/test-4-istex/" TargetMode="External"/><Relationship Id="rId12" Type="http://schemas.openxmlformats.org/officeDocument/2006/relationships/hyperlink" Target="https://www.klippa.com/fr/blog/informations/quest-ce-que-tesseract-ocr/" TargetMode="External"/><Relationship Id="rId13" Type="http://schemas.openxmlformats.org/officeDocument/2006/relationships/image" Target="media/image1.png"/><Relationship Id="rId14" Type="http://schemas.openxmlformats.org/officeDocument/2006/relationships/hyperlink" Target="https://api.gouv.fr/"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22</cp:revision>
  <dcterms:created xsi:type="dcterms:W3CDTF">2026-05-27T10:07:00Z</dcterms:created>
  <dcterms:modified xsi:type="dcterms:W3CDTF">2026-07-30T20:35:59Z</dcterms:modified>
</cp:coreProperties>
</file>