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Calames</w:t>
      </w:r>
      <w:r>
        <w:rPr>
          <w:sz w:val="24"/>
        </w:rPr>
      </w:r>
    </w:p>
    <w:p>
      <w:pPr>
        <w:pBdr/>
        <w:spacing/>
        <w:ind/>
        <w:jc w:val="both"/>
        <w:rPr>
          <w:sz w:val="24"/>
        </w:rPr>
      </w:pPr>
      <w:r>
        <w:rPr>
          <w:sz w:val="24"/>
        </w:rPr>
      </w:r>
      <w:r>
        <w:rPr>
          <w:sz w:val="24"/>
        </w:rPr>
      </w:r>
    </w:p>
    <w:p>
      <w:pPr>
        <w:pBdr/>
        <w:spacing/>
        <w:ind/>
        <w:jc w:val="both"/>
        <w:rPr>
          <w:sz w:val="24"/>
        </w:rPr>
      </w:pPr>
      <w:r>
        <w:rPr>
          <w:sz w:val="24"/>
        </w:rPr>
        <w:t xml:space="preserve">Les collections de l’INHA dans le catalogue collectif Calames.</w:t>
      </w:r>
      <w:r>
        <w:rPr>
          <w:sz w:val="24"/>
        </w:rPr>
      </w:r>
    </w:p>
    <w:p>
      <w:pPr>
        <w:pBdr/>
        <w:spacing/>
        <w:ind/>
        <w:jc w:val="both"/>
        <w:rPr>
          <w:sz w:val="24"/>
        </w:rPr>
      </w:pPr>
      <w:r>
        <w:rPr>
          <w:sz w:val="24"/>
        </w:rPr>
        <w:t xml:space="preserve">Chercher et trouver dans les collections patrimoniales non imprimées.</w:t>
      </w:r>
      <w:r>
        <w:rPr>
          <w:sz w:val="24"/>
        </w:rPr>
      </w:r>
    </w:p>
    <w:p>
      <w:pPr>
        <w:pBdr/>
        <w:spacing/>
        <w:ind/>
        <w:jc w:val="both"/>
        <w:rPr>
          <w:sz w:val="24"/>
        </w:rPr>
      </w:pPr>
      <w:r>
        <w:rPr>
          <w:sz w:val="24"/>
        </w:rPr>
        <w:t xml:space="preserve">Jusqu’à présent décrits dans différents outils de recherche (</w:t>
      </w:r>
      <w:r>
        <w:rPr>
          <w:sz w:val="24"/>
        </w:rPr>
        <w:t xml:space="preserve">Agorha</w:t>
      </w:r>
      <w:r>
        <w:rPr>
          <w:sz w:val="24"/>
        </w:rPr>
        <w:t xml:space="preserve">, base SMF-Manuscrits, fichiers Excel et PDF), les inventaires des archives, autographes, manuscrits, photographies et dessins sont désormais rassemblés et consultables dans le catalogue Calames.</w:t>
      </w:r>
      <w:r>
        <w:rPr>
          <w:sz w:val="24"/>
        </w:rPr>
      </w:r>
    </w:p>
    <w:p>
      <w:pPr>
        <w:pBdr/>
        <w:spacing/>
        <w:ind/>
        <w:jc w:val="both"/>
        <w:rPr>
          <w:sz w:val="24"/>
        </w:rPr>
      </w:pPr>
      <w:r>
        <w:rPr>
          <w:sz w:val="24"/>
        </w:rPr>
        <w:t xml:space="preserve">Signalement </w:t>
      </w:r>
      <w:r>
        <w:rPr>
          <w:sz w:val="24"/>
        </w:rPr>
        <w:t xml:space="preserve">en cours depuis quelques années, ces opérations de conversion et de migration visent à simplifier et harmoniser le signalement de ces collections, dans une seule et même interface. </w:t>
      </w:r>
      <w:r>
        <w:rPr>
          <w:sz w:val="24"/>
        </w:rPr>
      </w:r>
    </w:p>
    <w:p>
      <w:pPr>
        <w:pBdr/>
        <w:spacing/>
        <w:ind/>
        <w:jc w:val="both"/>
        <w:rPr>
          <w:sz w:val="24"/>
        </w:rPr>
      </w:pPr>
      <w:r>
        <w:rPr>
          <w:sz w:val="24"/>
        </w:rPr>
        <w:t xml:space="preserve">Au début des années </w:t>
      </w:r>
      <w:r>
        <w:rPr>
          <w:sz w:val="24"/>
        </w:rPr>
        <w:t xml:space="preserve">2000, l’ABES initie ce catalogue collectif. Actuellement alimenté par une soixantaine de bibliothèques universitaires et de grands établissements à vocation patrimoniale et de recherche. Outil en constante évolution, Calames s’est constitué à partir de la </w:t>
      </w:r>
      <w:r>
        <w:rPr>
          <w:sz w:val="24"/>
        </w:rPr>
        <w:t xml:space="preserve">rétroconversion</w:t>
      </w:r>
      <w:r>
        <w:rPr>
          <w:sz w:val="24"/>
        </w:rPr>
        <w:t xml:space="preserve"> d’inventaires déjà existants et il s’enrichit depuis grâce aux signalements de nouvelles acquisitions et de fonds non encore décrits. </w:t>
      </w:r>
      <w:r>
        <w:rPr>
          <w:sz w:val="24"/>
        </w:rPr>
      </w:r>
    </w:p>
    <w:p>
      <w:pPr>
        <w:pBdr/>
        <w:spacing/>
        <w:ind/>
        <w:jc w:val="both"/>
        <w:rPr>
          <w:sz w:val="24"/>
        </w:rPr>
      </w:pPr>
      <w:r>
        <w:rPr>
          <w:sz w:val="24"/>
        </w:rPr>
        <w:t xml:space="preserve">Mise en place : nécessité de décrire les collections patrimoniales non imprimées auparavant peu présentes dans les catalogues informatisés de bibliothèques, et qui gagnent ainsi en visibilité et en accessibilité.</w:t>
      </w:r>
      <w:r>
        <w:rPr>
          <w:sz w:val="24"/>
        </w:rPr>
      </w:r>
    </w:p>
    <w:p>
      <w:pPr>
        <w:pBdr/>
        <w:spacing/>
        <w:ind/>
        <w:jc w:val="both"/>
        <w:rPr>
          <w:sz w:val="24"/>
        </w:rPr>
      </w:pPr>
      <w:r>
        <w:rPr>
          <w:sz w:val="24"/>
        </w:rPr>
        <w:t xml:space="preserve">Structuration EAD compatible avec la norme intern</w:t>
      </w:r>
      <w:r>
        <w:rPr>
          <w:sz w:val="24"/>
        </w:rPr>
        <w:t xml:space="preserve">ationale ISAD(G). Basé sur le langage XML, caractérisé notamment par l’usage de balises, son intérêt est de pouvoir hiérarchiser, structurer et mutualiser les données afin de restituer la profondeur et la complexité des inventaires des fonds patrimoniaux. </w:t>
      </w:r>
      <w:r>
        <w:rPr>
          <w:sz w:val="24"/>
        </w:rPr>
      </w:r>
    </w:p>
    <w:p>
      <w:pPr>
        <w:pBdr/>
        <w:spacing/>
        <w:ind/>
        <w:jc w:val="both"/>
        <w:rPr>
          <w:sz w:val="24"/>
        </w:rPr>
      </w:pPr>
      <w:r>
        <w:rPr>
          <w:sz w:val="24"/>
        </w:rPr>
        <w:t xml:space="preserve">Principe de description : favo</w:t>
      </w:r>
      <w:r>
        <w:rPr>
          <w:sz w:val="24"/>
        </w:rPr>
        <w:t xml:space="preserve">risé pour les ensembles documentaires en arborescence, comme le sont les fonds d’archives, permettant une analyse plus pertinente des différents sous-ensembles et de leur hiérarchie (ex : dans tel dossier, il y a tel sous-dossier qui contient telle pièce).</w:t>
      </w:r>
      <w:r>
        <w:rPr>
          <w:sz w:val="24"/>
        </w:rPr>
      </w:r>
    </w:p>
    <w:p>
      <w:pPr>
        <w:pBdr/>
        <w:spacing/>
        <w:ind/>
        <w:jc w:val="both"/>
        <w:rPr>
          <w:sz w:val="24"/>
        </w:rPr>
      </w:pPr>
      <w:r>
        <w:rPr>
          <w:sz w:val="24"/>
        </w:rPr>
        <w:t xml:space="preserve">Calames à l’INHA : du document au catalogue disponible pour le public, en passant par l’interface professionnelle : William </w:t>
      </w:r>
      <w:r>
        <w:rPr>
          <w:sz w:val="24"/>
        </w:rPr>
        <w:t xml:space="preserve">Gell</w:t>
      </w:r>
      <w:r>
        <w:rPr>
          <w:sz w:val="24"/>
        </w:rPr>
        <w:t xml:space="preserve">, </w:t>
      </w:r>
      <w:r>
        <w:rPr>
          <w:sz w:val="24"/>
        </w:rPr>
        <w:t xml:space="preserve">Pompeii</w:t>
      </w:r>
      <w:r>
        <w:rPr>
          <w:sz w:val="24"/>
        </w:rPr>
        <w:t xml:space="preserve"> </w:t>
      </w:r>
      <w:r>
        <w:rPr>
          <w:sz w:val="24"/>
        </w:rPr>
        <w:t xml:space="preserve">unpublished</w:t>
      </w:r>
      <w:r>
        <w:rPr>
          <w:sz w:val="24"/>
        </w:rPr>
        <w:t xml:space="preserve">, 1801</w:t>
      </w:r>
      <w:r>
        <w:rPr>
          <w:sz w:val="24"/>
        </w:rPr>
        <w:t xml:space="preserve">-[</w:t>
      </w:r>
      <w:r>
        <w:rPr>
          <w:sz w:val="24"/>
        </w:rPr>
        <w:t xml:space="preserve">1828]. Paris, bibliothèque de l’INHA, collections Jacques Doucet, Ms 180(2).</w:t>
      </w:r>
      <w:r>
        <w:rPr>
          <w:sz w:val="24"/>
        </w:rPr>
      </w:r>
    </w:p>
    <w:p>
      <w:pPr>
        <w:pBdr/>
        <w:spacing/>
        <w:ind/>
        <w:jc w:val="both"/>
        <w:rPr>
          <w:sz w:val="24"/>
        </w:rPr>
      </w:pPr>
      <w:r>
        <w:rPr>
          <w:sz w:val="24"/>
        </w:rPr>
        <w:t xml:space="preserve">Une large part des collections patrimoniales (archives, autographes, dessins, manuscrits, photographies) était décrite jusqu’ici uniquement dans </w:t>
      </w:r>
      <w:r>
        <w:rPr>
          <w:sz w:val="24"/>
        </w:rPr>
        <w:t xml:space="preserve">Agorha</w:t>
      </w:r>
      <w:r>
        <w:rPr>
          <w:sz w:val="24"/>
        </w:rPr>
        <w:t xml:space="preserve"> ; une nouvelle version de cette application sera en ligne à compter de novem</w:t>
      </w:r>
      <w:r>
        <w:rPr>
          <w:sz w:val="24"/>
        </w:rPr>
        <w:t xml:space="preserve">bre 2021, le choix ayant été fait dans ce projet de différencier désormais les données de la recherche et la description des collections de la bibliothèque – ainsi, seules les collections ayant fait l’objet de programmes de recherche seront présentes dans </w:t>
      </w:r>
      <w:r>
        <w:rPr>
          <w:sz w:val="24"/>
        </w:rPr>
        <w:t xml:space="preserve">Agorha</w:t>
      </w:r>
      <w:r>
        <w:rPr>
          <w:sz w:val="24"/>
        </w:rPr>
        <w:t xml:space="preserve">.</w:t>
      </w:r>
      <w:r>
        <w:rPr>
          <w:sz w:val="24"/>
        </w:rPr>
      </w:r>
    </w:p>
    <w:p>
      <w:pPr>
        <w:pBdr/>
        <w:spacing/>
        <w:ind/>
        <w:jc w:val="both"/>
        <w:rPr>
          <w:sz w:val="24"/>
        </w:rPr>
      </w:pPr>
      <w:r>
        <w:rPr>
          <w:sz w:val="24"/>
        </w:rPr>
        <w:t xml:space="preserve">Il était nécessaire de m</w:t>
      </w:r>
      <w:r>
        <w:rPr>
          <w:sz w:val="24"/>
        </w:rPr>
        <w:t xml:space="preserve">igrer le signalement des collections de manuscrits de la BCMN ayant rejoint l’INHA en 2016 depuis l’ancienne base, gérée par le ministère de la Culture, dans un environnement INHA – il faut préciser qu’une partie minoritaire de ces manuscrits a été versée </w:t>
      </w:r>
      <w:r>
        <w:rPr>
          <w:sz w:val="24"/>
        </w:rPr>
        <w:t xml:space="preserve">au musée du Louvre et au musée d’Orsay, et n’est donc pas consultable à la bibliothèque de l’INHA.</w:t>
      </w:r>
      <w:r>
        <w:rPr>
          <w:sz w:val="24"/>
        </w:rPr>
      </w:r>
    </w:p>
    <w:p>
      <w:pPr>
        <w:pBdr/>
        <w:spacing/>
        <w:ind/>
        <w:jc w:val="both"/>
        <w:rPr>
          <w:sz w:val="24"/>
        </w:rPr>
      </w:pPr>
      <w:r>
        <w:rPr>
          <w:sz w:val="24"/>
        </w:rPr>
        <w:t xml:space="preserve">Les données issues de ces outils, ainsi que des </w:t>
      </w:r>
      <w:r>
        <w:rPr>
          <w:sz w:val="24"/>
        </w:rPr>
        <w:t xml:space="preserve">donées</w:t>
      </w:r>
      <w:r>
        <w:rPr>
          <w:sz w:val="24"/>
        </w:rPr>
        <w:t xml:space="preserve"> proposées sous forme de fichiers (PD</w:t>
      </w:r>
      <w:r>
        <w:rPr>
          <w:sz w:val="24"/>
        </w:rPr>
        <w:t xml:space="preserve">F, tableur, traitement de texte), ont été récupérées sous divers formats pour être versées dans Calames, après un important travail préparatoire d’analyse (organisation des fonds, structure des informations, principes de conversion de masse ou de détail). </w:t>
      </w:r>
      <w:r>
        <w:rPr>
          <w:sz w:val="24"/>
        </w:rPr>
      </w:r>
    </w:p>
    <w:p>
      <w:pPr>
        <w:pBdr/>
        <w:spacing/>
        <w:ind/>
        <w:jc w:val="both"/>
        <w:rPr>
          <w:sz w:val="24"/>
        </w:rPr>
      </w:pPr>
      <w:r>
        <w:rPr>
          <w:sz w:val="24"/>
        </w:rPr>
        <w:t xml:space="preserve">Données retravaillées avec des outils tels qu’</w:t>
      </w:r>
      <w:r>
        <w:rPr>
          <w:sz w:val="24"/>
        </w:rPr>
        <w:t xml:space="preserve">OpenRefine</w:t>
      </w:r>
      <w:r>
        <w:rPr>
          <w:sz w:val="24"/>
        </w:rPr>
        <w:t xml:space="preserve"> et Notepad++) et largement corrigées à la main pour une mise en conformité avec les normes archivistiques. </w:t>
      </w:r>
      <w:r>
        <w:rPr>
          <w:sz w:val="24"/>
        </w:rPr>
      </w:r>
    </w:p>
    <w:p>
      <w:pPr>
        <w:pBdr/>
        <w:spacing/>
        <w:ind/>
        <w:jc w:val="both"/>
        <w:rPr>
          <w:sz w:val="24"/>
        </w:rPr>
      </w:pPr>
      <w:r>
        <w:rPr>
          <w:sz w:val="24"/>
        </w:rPr>
        <w:t xml:space="preserve">Efforts : principalement</w:t>
      </w:r>
      <w:r>
        <w:rPr>
          <w:sz w:val="24"/>
        </w:rPr>
        <w:t xml:space="preserve"> porté sur la réorganisation et la création d’arborescences, permettant une meilleure visibilité des plans de classement. Correction du balisage et enrichi, pour aboutir à des informations mieux structurées et plus facilement interrogeables par le public. </w:t>
      </w:r>
      <w:r>
        <w:rPr>
          <w:sz w:val="24"/>
        </w:rPr>
      </w:r>
    </w:p>
    <w:p>
      <w:pPr>
        <w:pBdr/>
        <w:spacing/>
        <w:ind/>
        <w:jc w:val="both"/>
        <w:rPr>
          <w:sz w:val="24"/>
        </w:rPr>
      </w:pPr>
      <w:r>
        <w:rPr>
          <w:sz w:val="24"/>
        </w:rPr>
        <w:t xml:space="preserve">Travail massif : toujours mené sur l’indexation des données, notamment les noms de personnes, pour lesquelles de nombreuses notices d’autorité ont été créées dans la base </w:t>
      </w:r>
      <w:r>
        <w:rPr>
          <w:sz w:val="24"/>
        </w:rPr>
        <w:t xml:space="preserve">IdRef</w:t>
      </w:r>
      <w:r>
        <w:rPr>
          <w:sz w:val="24"/>
        </w:rPr>
        <w:t xml:space="preserve">.</w:t>
      </w:r>
      <w:r>
        <w:rPr>
          <w:sz w:val="24"/>
        </w:rPr>
      </w:r>
    </w:p>
    <w:p>
      <w:pPr>
        <w:pBdr/>
        <w:spacing/>
        <w:ind/>
        <w:jc w:val="both"/>
        <w:rPr>
          <w:sz w:val="24"/>
        </w:rPr>
      </w:pPr>
      <w:r>
        <w:rPr>
          <w:sz w:val="24"/>
        </w:rPr>
        <w:t xml:space="preserve">Le passage à Calames permet une réelle mise en valeur d’une partie importante des collections patrimoniales (manuscrits, autographes, archives, dessins, photographies). Il offre à un large public </w:t>
      </w:r>
      <w:r>
        <w:rPr>
          <w:sz w:val="24"/>
        </w:rPr>
        <w:t xml:space="preserve">un accès facilité aux notices et inventaires en regroupant sous un même outil des instruments de recherche auparavant dispersés. Il permet également de rassembler virtuellement des ensembles de documents que les pratiques précédentes de traitement avaient </w:t>
      </w:r>
      <w:r>
        <w:rPr>
          <w:sz w:val="24"/>
        </w:rPr>
        <w:t xml:space="preserve">éclaté</w:t>
      </w:r>
      <w:r>
        <w:rPr>
          <w:sz w:val="24"/>
        </w:rPr>
        <w:t xml:space="preserve">, facilitant ainsi le travail de recherche dans les collections.</w:t>
      </w:r>
      <w:r>
        <w:rPr>
          <w:sz w:val="24"/>
        </w:rPr>
      </w:r>
    </w:p>
    <w:p>
      <w:pPr>
        <w:pBdr/>
        <w:spacing/>
        <w:ind/>
        <w:jc w:val="both"/>
        <w:rPr>
          <w:sz w:val="24"/>
        </w:rPr>
      </w:pPr>
      <w:r>
        <w:rPr>
          <w:sz w:val="24"/>
        </w:rPr>
      </w:r>
      <w:r>
        <w:rPr>
          <w:sz w:val="24"/>
        </w:rPr>
      </w:r>
    </w:p>
    <w:p>
      <w:pPr>
        <w:pBdr/>
        <w:spacing/>
        <w:ind/>
        <w:jc w:val="both"/>
        <w:rPr/>
      </w:pPr>
      <w:r>
        <w:t xml:space="preserve">Patrick </w:t>
      </w:r>
      <w:r>
        <w:rPr>
          <w:rStyle w:val="668"/>
        </w:rPr>
        <w:t xml:space="preserve">Latour</w:t>
      </w:r>
      <w:r>
        <w:t xml:space="preserve">, « Calames : un réseau à la pointe pour les archives et les manuscrits », </w:t>
      </w:r>
      <w:r>
        <w:rPr>
          <w:rStyle w:val="669"/>
        </w:rPr>
        <w:t xml:space="preserve">Arabesques</w:t>
      </w:r>
      <w:r>
        <w:t xml:space="preserve"> [En ligne], 100 | 2021, mis en ligne le 21 janvier 2021, consulté le 10 juin 2026. URL : </w:t>
      </w:r>
      <w:hyperlink r:id="rId8" w:tooltip="https://publications-prairial.fr/arabesques/index.php?id=2298" w:history="1">
        <w:r>
          <w:rPr>
            <w:rStyle w:val="670"/>
          </w:rPr>
          <w:t xml:space="preserve">https://publications-prairial.fr/arabesques/index.php?id=2298</w:t>
        </w:r>
      </w:hyperlink>
      <w:r/>
      <w:r/>
    </w:p>
    <w:p>
      <w:pPr>
        <w:pBdr/>
        <w:spacing/>
        <w:ind/>
        <w:jc w:val="both"/>
        <w:rPr>
          <w:sz w:val="24"/>
        </w:rPr>
      </w:pPr>
      <w:r>
        <w:rPr>
          <w:sz w:val="24"/>
        </w:rPr>
        <w:t xml:space="preserve">Calames</w:t>
      </w:r>
      <w:r>
        <w:rPr>
          <w:sz w:val="24"/>
        </w:rPr>
        <w:t xml:space="preserve"> : un réseau à la pointe pour les archives et les manuscrits </w:t>
      </w:r>
      <w:r>
        <w:rPr>
          <w:sz w:val="24"/>
        </w:rPr>
      </w:r>
    </w:p>
    <w:p>
      <w:pPr>
        <w:pBdr/>
        <w:spacing/>
        <w:ind/>
        <w:jc w:val="both"/>
        <w:rPr>
          <w:sz w:val="24"/>
        </w:rPr>
      </w:pPr>
      <w:r>
        <w:rPr>
          <w:sz w:val="24"/>
        </w:rPr>
        <w:t xml:space="preserve">Plan : outil de catalogage, interface de diffusion et réseau d’expertise.</w:t>
      </w:r>
      <w:r>
        <w:rPr>
          <w:sz w:val="24"/>
        </w:rPr>
      </w:r>
    </w:p>
    <w:p>
      <w:pPr>
        <w:pBdr/>
        <w:spacing/>
        <w:ind/>
        <w:jc w:val="both"/>
        <w:rPr>
          <w:sz w:val="24"/>
        </w:rPr>
      </w:pPr>
      <w:r>
        <w:rPr>
          <w:sz w:val="24"/>
        </w:rPr>
        <w:t xml:space="preserve">Poursuivre le dialogue.</w:t>
      </w:r>
      <w:r>
        <w:rPr>
          <w:sz w:val="24"/>
        </w:rPr>
      </w:r>
    </w:p>
    <w:p>
      <w:pPr>
        <w:pBdr/>
        <w:spacing/>
        <w:ind/>
        <w:jc w:val="both"/>
        <w:rPr>
          <w:sz w:val="24"/>
        </w:rPr>
      </w:pPr>
      <w:r>
        <w:rPr>
          <w:sz w:val="24"/>
        </w:rPr>
        <w:t xml:space="preserve">2007 : Calames permet aux bibliothèques de l’enseignement supérieur de cataloguer et de signaler leurs archives et collections de manuscrits en XML-EAD.</w:t>
      </w:r>
      <w:r>
        <w:rPr>
          <w:sz w:val="24"/>
        </w:rPr>
      </w:r>
    </w:p>
    <w:p>
      <w:pPr>
        <w:pBdr/>
        <w:spacing/>
        <w:ind/>
        <w:jc w:val="both"/>
        <w:rPr>
          <w:sz w:val="24"/>
        </w:rPr>
      </w:pPr>
      <w:r>
        <w:rPr>
          <w:sz w:val="24"/>
        </w:rPr>
        <w:t xml:space="preserve">Né au tournant du dernier millénaire de la rencontre du projet de conversion rétrospective d’un vénérable outil papier – le </w:t>
      </w:r>
      <w:r>
        <w:rPr>
          <w:i/>
          <w:sz w:val="24"/>
        </w:rPr>
        <w:t xml:space="preserve">Catalogue général des manuscrits des bibliothèques publiques de France</w:t>
      </w:r>
      <w:r>
        <w:rPr>
          <w:sz w:val="24"/>
        </w:rPr>
        <w:t xml:space="preserve"> dont le premier des 116 volumes (182 000 notices) avait paru en 1849 – et de la volonté de l’</w:t>
      </w:r>
      <w:r>
        <w:rPr>
          <w:sz w:val="24"/>
        </w:rPr>
        <w:t xml:space="preserve">Abes</w:t>
      </w:r>
      <w:r>
        <w:rPr>
          <w:sz w:val="24"/>
        </w:rPr>
        <w:t xml:space="preserve"> de se doter d’un outil dynamique et collectif de signalement des archives et manuscrits complétant celui existant pour les imprimés. </w:t>
      </w:r>
      <w:r>
        <w:rPr>
          <w:sz w:val="24"/>
        </w:rPr>
      </w:r>
    </w:p>
    <w:p>
      <w:pPr>
        <w:pBdr/>
        <w:spacing/>
        <w:ind/>
        <w:jc w:val="both"/>
        <w:rPr>
          <w:sz w:val="24"/>
        </w:rPr>
      </w:pPr>
      <w:r>
        <w:rPr>
          <w:sz w:val="24"/>
        </w:rPr>
        <w:t xml:space="preserve">Affaire : pas de soi, l’idée d’un catalogue en réseau pour des objets bibliographiques uniques pouvait paraître paradoxale, mais l’implication forte des directeurs successifs de l’</w:t>
      </w:r>
      <w:r>
        <w:rPr>
          <w:sz w:val="24"/>
        </w:rPr>
        <w:t xml:space="preserve">Abes</w:t>
      </w:r>
      <w:r>
        <w:rPr>
          <w:sz w:val="24"/>
        </w:rPr>
        <w:t xml:space="preserve"> en faveur de l’outil a pe</w:t>
      </w:r>
      <w:r>
        <w:rPr>
          <w:sz w:val="24"/>
        </w:rPr>
        <w:t xml:space="preserve">rmis à celui-ci de voir le jour. </w:t>
      </w:r>
      <w:r>
        <w:rPr>
          <w:sz w:val="24"/>
        </w:rPr>
      </w:r>
    </w:p>
    <w:p>
      <w:pPr>
        <w:pBdr/>
        <w:spacing/>
        <w:ind/>
        <w:jc w:val="both"/>
        <w:rPr>
          <w:sz w:val="24"/>
        </w:rPr>
      </w:pPr>
      <w:r>
        <w:rPr>
          <w:sz w:val="24"/>
        </w:rPr>
        <w:t xml:space="preserve">Outil de catalogage, interface de diffusion et réseau d’expertise</w:t>
      </w:r>
      <w:r>
        <w:rPr>
          <w:sz w:val="24"/>
        </w:rPr>
      </w:r>
    </w:p>
    <w:p>
      <w:pPr>
        <w:pBdr/>
        <w:spacing/>
        <w:ind/>
        <w:jc w:val="both"/>
        <w:rPr>
          <w:sz w:val="24"/>
        </w:rPr>
      </w:pPr>
      <w:r>
        <w:rPr>
          <w:sz w:val="24"/>
        </w:rPr>
        <w:t xml:space="preserve">CALAMES =&gt; Catalogue Accessible en Ligne des Archives et Manuscrits de l’Enseignement Supérieur. </w:t>
      </w:r>
      <w:r>
        <w:rPr>
          <w:sz w:val="24"/>
        </w:rPr>
      </w:r>
    </w:p>
    <w:p>
      <w:pPr>
        <w:pBdr/>
        <w:spacing/>
        <w:ind/>
        <w:jc w:val="both"/>
        <w:rPr>
          <w:sz w:val="24"/>
        </w:rPr>
      </w:pPr>
      <w:r>
        <w:rPr>
          <w:sz w:val="24"/>
        </w:rPr>
        <w:t xml:space="preserve">Poursuivre le dialogue : </w:t>
      </w:r>
      <w:r>
        <w:rPr>
          <w:sz w:val="24"/>
        </w:rPr>
      </w:r>
    </w:p>
    <w:p>
      <w:pPr>
        <w:pBdr/>
        <w:spacing/>
        <w:ind/>
        <w:jc w:val="both"/>
        <w:rPr>
          <w:sz w:val="28"/>
        </w:rPr>
      </w:pPr>
      <w:r>
        <w:rPr>
          <w:sz w:val="24"/>
        </w:rPr>
        <w:t xml:space="preserve">Assurer enfin la qualité des données ce qui signifie notamment reprendre et enrichir une part non négligeable du catalogue issue de la </w:t>
      </w:r>
      <w:r>
        <w:rPr>
          <w:sz w:val="24"/>
        </w:rPr>
        <w:t xml:space="preserve">rétroconversion</w:t>
      </w:r>
      <w:r>
        <w:rPr>
          <w:sz w:val="24"/>
        </w:rPr>
        <w:t xml:space="preserve"> </w:t>
      </w:r>
      <w:r>
        <w:rPr>
          <w:sz w:val="24"/>
        </w:rPr>
        <w:t xml:space="preserve">initiale, afin de permettre une interopérabilité, une réutilisation et une exploitation maximales des données dans le cadre de projets scientifiques.</w:t>
      </w:r>
      <w:bookmarkStart w:id="0" w:name="_GoBack"/>
      <w:r/>
      <w:bookmarkEnd w:id="0"/>
      <w:r/>
      <w:r>
        <w:rPr>
          <w:sz w:val="28"/>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character" w:styleId="668" w:customStyle="1">
    <w:name w:val="family-name"/>
    <w:basedOn w:val="665"/>
    <w:pPr>
      <w:pBdr/>
      <w:spacing/>
      <w:ind/>
    </w:pPr>
  </w:style>
  <w:style w:type="character" w:styleId="669">
    <w:name w:val="Emphasis"/>
    <w:basedOn w:val="665"/>
    <w:uiPriority w:val="20"/>
    <w:qFormat/>
    <w:pPr>
      <w:pBdr/>
      <w:spacing/>
      <w:ind/>
    </w:pPr>
    <w:rPr>
      <w:i/>
      <w:iCs/>
    </w:rPr>
  </w:style>
  <w:style w:type="character" w:styleId="670">
    <w:name w:val="Hyperlink"/>
    <w:basedOn w:val="665"/>
    <w:uiPriority w:val="99"/>
    <w:unhideWhenUsed/>
    <w:pPr>
      <w:pBdr/>
      <w:spacing/>
      <w:ind/>
    </w:pPr>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publications-prairial.fr/arabesques/index.php?id=2298"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7</cp:revision>
  <dcterms:created xsi:type="dcterms:W3CDTF">2026-06-10T13:33:00Z</dcterms:created>
  <dcterms:modified xsi:type="dcterms:W3CDTF">2026-07-30T20:35:28Z</dcterms:modified>
</cp:coreProperties>
</file>