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rPr>
      </w:pPr>
      <w:r>
        <w:rPr>
          <w:sz w:val="24"/>
        </w:rPr>
        <w:t xml:space="preserve">Création des notices numériques </w:t>
      </w:r>
      <w:r>
        <w:rPr>
          <w:sz w:val="24"/>
        </w:rPr>
      </w:r>
    </w:p>
    <w:p>
      <w:pPr>
        <w:pBdr/>
        <w:spacing/>
        <w:ind/>
        <w:jc w:val="center"/>
        <w:rPr>
          <w:sz w:val="24"/>
        </w:rPr>
      </w:pPr>
      <w:r>
        <w:rPr>
          <w:sz w:val="24"/>
        </w:rPr>
      </w:r>
      <w:r>
        <w:rPr>
          <w:sz w:val="24"/>
        </w:rPr>
      </w:r>
    </w:p>
    <w:p>
      <w:pPr>
        <w:pBdr/>
        <w:spacing/>
        <w:ind/>
        <w:jc w:val="both"/>
        <w:rPr>
          <w:sz w:val="24"/>
        </w:rPr>
      </w:pPr>
      <w:r>
        <w:rPr>
          <w:sz w:val="24"/>
        </w:rPr>
        <w:t xml:space="preserve">La BIU Cujas utilise une moulinette afin de transformer automatiquement les données présentent dans le catalogue en notice Dublin </w:t>
      </w:r>
      <w:r>
        <w:rPr>
          <w:sz w:val="24"/>
        </w:rPr>
        <w:t xml:space="preserve">Core</w:t>
      </w:r>
      <w:r>
        <w:rPr>
          <w:sz w:val="24"/>
        </w:rPr>
        <w:t xml:space="preserve">. Les données sont extraites depuis Alma. Elles sont ensuite </w:t>
      </w:r>
      <w:r>
        <w:rPr>
          <w:sz w:val="24"/>
        </w:rPr>
        <w:t xml:space="preserve">mappées</w:t>
      </w:r>
      <w:r>
        <w:rPr>
          <w:sz w:val="24"/>
        </w:rPr>
        <w:t xml:space="preserve"> selon un fichier de signalement préparer à l’avance par la personne chargée du signalement. Dans un premier temps, les notices ont été humainement créé, puis cette même personne à créer l’interface.</w:t>
      </w:r>
      <w:r>
        <w:rPr>
          <w:sz w:val="24"/>
        </w:rPr>
      </w:r>
    </w:p>
    <w:p>
      <w:pPr>
        <w:pBdr/>
        <w:spacing/>
        <w:ind/>
        <w:jc w:val="both"/>
        <w:rPr>
          <w:sz w:val="24"/>
        </w:rPr>
      </w:pPr>
      <w:r>
        <w:rPr>
          <w:sz w:val="24"/>
        </w:rPr>
        <w:t xml:space="preserve">3 hypothèses </w:t>
      </w:r>
      <w:r>
        <w:rPr>
          <w:sz w:val="24"/>
        </w:rPr>
        <w:t xml:space="preserve">de travail </w:t>
      </w:r>
      <w:r>
        <w:rPr>
          <w:sz w:val="24"/>
        </w:rPr>
        <w:t xml:space="preserve">ont été mises en avant afin de permettre d’améliorer la création des notices numériques. </w:t>
      </w:r>
      <w:r>
        <w:rPr>
          <w:sz w:val="24"/>
        </w:rPr>
      </w:r>
    </w:p>
    <w:p>
      <w:pPr>
        <w:pStyle w:val="673"/>
        <w:numPr>
          <w:ilvl w:val="0"/>
          <w:numId w:val="2"/>
        </w:numPr>
        <w:pBdr/>
        <w:spacing/>
        <w:ind/>
        <w:jc w:val="both"/>
        <w:rPr>
          <w:sz w:val="24"/>
        </w:rPr>
      </w:pPr>
      <w:r>
        <w:rPr>
          <w:sz w:val="24"/>
        </w:rPr>
        <w:t xml:space="preserve">Faut-il intégrer l’indexation Rameau à la notice Dublin </w:t>
      </w:r>
      <w:r>
        <w:rPr>
          <w:sz w:val="24"/>
        </w:rPr>
        <w:t xml:space="preserve">Core</w:t>
      </w:r>
      <w:r>
        <w:rPr>
          <w:sz w:val="24"/>
        </w:rPr>
        <w:t xml:space="preserve"> créée par la moulinette</w:t>
      </w:r>
      <w:r>
        <w:rPr>
          <w:sz w:val="24"/>
        </w:rPr>
        <w:t xml:space="preserve"> ?</w:t>
      </w:r>
      <w:r>
        <w:rPr>
          <w:sz w:val="24"/>
        </w:rPr>
      </w:r>
    </w:p>
    <w:p>
      <w:pPr>
        <w:pStyle w:val="673"/>
        <w:numPr>
          <w:ilvl w:val="0"/>
          <w:numId w:val="2"/>
        </w:numPr>
        <w:pBdr/>
        <w:spacing/>
        <w:ind/>
        <w:jc w:val="both"/>
        <w:rPr>
          <w:sz w:val="24"/>
        </w:rPr>
      </w:pPr>
      <w:r>
        <w:rPr>
          <w:sz w:val="24"/>
        </w:rPr>
        <w:t xml:space="preserve">Intégrer l’indexation </w:t>
      </w:r>
      <w:r>
        <w:rPr>
          <w:sz w:val="24"/>
        </w:rPr>
        <w:t xml:space="preserve">Hauville</w:t>
      </w:r>
      <w:r>
        <w:rPr>
          <w:sz w:val="24"/>
        </w:rPr>
        <w:t xml:space="preserve"> dans le </w:t>
      </w:r>
      <w:r>
        <w:rPr>
          <w:sz w:val="24"/>
        </w:rPr>
        <w:t xml:space="preserve">Sudoc</w:t>
      </w:r>
      <w:r>
        <w:rPr>
          <w:sz w:val="24"/>
        </w:rPr>
        <w:t xml:space="preserve">, pour passage dans Alma et versement automatiquement dans la Dublin </w:t>
      </w:r>
      <w:r>
        <w:rPr>
          <w:sz w:val="24"/>
        </w:rPr>
        <w:t xml:space="preserve">Core</w:t>
      </w:r>
      <w:r>
        <w:rPr>
          <w:sz w:val="24"/>
        </w:rPr>
        <w:t xml:space="preserve">.</w:t>
      </w:r>
      <w:r>
        <w:rPr>
          <w:sz w:val="24"/>
        </w:rPr>
      </w:r>
    </w:p>
    <w:p>
      <w:pPr>
        <w:pStyle w:val="673"/>
        <w:numPr>
          <w:ilvl w:val="0"/>
          <w:numId w:val="2"/>
        </w:numPr>
        <w:pBdr/>
        <w:spacing/>
        <w:ind/>
        <w:jc w:val="both"/>
        <w:rPr>
          <w:sz w:val="24"/>
        </w:rPr>
      </w:pPr>
      <w:r>
        <w:rPr>
          <w:sz w:val="24"/>
        </w:rPr>
        <w:t xml:space="preserve">On peut saisir les informations dans Alma et les extraire dans la Dublin </w:t>
      </w:r>
      <w:r>
        <w:rPr>
          <w:sz w:val="24"/>
        </w:rPr>
        <w:t xml:space="preserve">Core</w:t>
      </w:r>
      <w:r>
        <w:rPr>
          <w:sz w:val="24"/>
        </w:rPr>
        <w:t xml:space="preserve">.</w:t>
      </w:r>
      <w:r>
        <w:rPr>
          <w:sz w:val="24"/>
        </w:rPr>
      </w:r>
    </w:p>
    <w:p>
      <w:pPr>
        <w:pBdr/>
        <w:spacing/>
        <w:ind/>
        <w:jc w:val="both"/>
        <w:rPr>
          <w:sz w:val="24"/>
        </w:rPr>
      </w:pPr>
      <w:r>
        <w:rPr>
          <w:sz w:val="24"/>
        </w:rPr>
        <w:t xml:space="preserve">Ces réunions ont eu lieu afin de simplifier la chaîne de numérisation afin d’éviter de multiplier les outils.</w:t>
      </w:r>
      <w:r>
        <w:rPr>
          <w:sz w:val="24"/>
        </w:rPr>
        <w:t xml:space="preserve"> L’hypothèse selon laquelle il faudrait intégrer l’indexation </w:t>
      </w:r>
      <w:r>
        <w:rPr>
          <w:sz w:val="24"/>
        </w:rPr>
        <w:t xml:space="preserve">Hauville</w:t>
      </w:r>
      <w:r>
        <w:rPr>
          <w:sz w:val="24"/>
        </w:rPr>
        <w:t xml:space="preserve"> dans le </w:t>
      </w:r>
      <w:r>
        <w:rPr>
          <w:sz w:val="24"/>
        </w:rPr>
        <w:t xml:space="preserve">Sudoc</w:t>
      </w:r>
      <w:r>
        <w:rPr>
          <w:sz w:val="24"/>
        </w:rPr>
        <w:t xml:space="preserve">. L’idée serait donc de produire l’entièreté du catalogage en amont dans le </w:t>
      </w:r>
      <w:r>
        <w:rPr>
          <w:sz w:val="24"/>
        </w:rPr>
        <w:t xml:space="preserve">Sudoc</w:t>
      </w:r>
      <w:r>
        <w:rPr>
          <w:sz w:val="24"/>
        </w:rPr>
        <w:t xml:space="preserve">, allégeant ainsi le travail de la personne travaillant post-production qui n’aurait plus besoin de copier les données d’indexation dans la Dublin </w:t>
      </w:r>
      <w:r>
        <w:rPr>
          <w:sz w:val="24"/>
        </w:rPr>
        <w:t xml:space="preserve">Core</w:t>
      </w:r>
      <w:r>
        <w:rPr>
          <w:sz w:val="24"/>
        </w:rPr>
        <w:t xml:space="preserve">. Cette hypothèse n’est pas forcément possible à mettre en place. </w:t>
      </w:r>
      <w:r>
        <w:rPr>
          <w:sz w:val="24"/>
        </w:rPr>
        <w:t xml:space="preserve"> La décision prise concernant ce sujet a été d’essayer de faire sorte que la personne en charge du signalement puisse indexer tout en amont (RAMEAU et </w:t>
      </w:r>
      <w:r>
        <w:rPr>
          <w:sz w:val="24"/>
        </w:rPr>
        <w:t xml:space="preserve">Hauville</w:t>
      </w:r>
      <w:r>
        <w:rPr>
          <w:sz w:val="24"/>
        </w:rPr>
        <w:t xml:space="preserve">), si c’est possible dans le </w:t>
      </w:r>
      <w:r>
        <w:rPr>
          <w:sz w:val="24"/>
        </w:rPr>
        <w:t xml:space="preserve">Sudoc</w:t>
      </w:r>
      <w:r>
        <w:rPr>
          <w:sz w:val="24"/>
        </w:rPr>
        <w:t xml:space="preserve"> sinon à défaut en local.</w:t>
      </w:r>
      <w:r>
        <w:rPr>
          <w:sz w:val="24"/>
        </w:rPr>
      </w:r>
    </w:p>
    <w:p>
      <w:pPr>
        <w:pBdr/>
        <w:spacing/>
        <w:ind/>
        <w:rPr>
          <w:sz w:val="24"/>
        </w:rPr>
      </w:pPr>
      <w:r>
        <w:rPr>
          <w:sz w:val="24"/>
        </w:rPr>
        <w:t xml:space="preserve">Il semble que l’équipe Cujas face un </w:t>
      </w:r>
      <w:r>
        <w:rPr>
          <w:sz w:val="24"/>
        </w:rPr>
        <w:t xml:space="preserve">mapping</w:t>
      </w:r>
      <w:r>
        <w:rPr>
          <w:sz w:val="24"/>
        </w:rPr>
        <w:t xml:space="preserve"> </w:t>
      </w:r>
      <w:r>
        <w:rPr>
          <w:sz w:val="24"/>
        </w:rPr>
        <w:t xml:space="preserve">unimarc</w:t>
      </w:r>
      <w:r>
        <w:rPr>
          <w:sz w:val="24"/>
        </w:rPr>
        <w:t xml:space="preserve"> vers Dublin </w:t>
      </w:r>
      <w:r>
        <w:rPr>
          <w:sz w:val="24"/>
        </w:rPr>
        <w:t xml:space="preserve">Core</w:t>
      </w:r>
      <w:r>
        <w:rPr>
          <w:sz w:val="24"/>
        </w:rPr>
        <w:t xml:space="preserve">. Voici un exemple de log de ce que peut retourner la moulinette dans les tests effectués par la BIU Cujas.</w:t>
      </w:r>
      <w:r>
        <w:rPr>
          <w:sz w:val="24"/>
        </w:rPr>
      </w:r>
    </w:p>
    <w:p>
      <w:pPr>
        <w:pBdr/>
        <w:spacing/>
        <w:ind/>
        <w:rPr>
          <w:sz w:val="24"/>
        </w:rPr>
      </w:pPr>
      <w:r>
        <w:rPr>
          <w:sz w:val="24"/>
        </w:rPr>
        <w:t xml:space="preserve">0 100   &lt;</w:t>
      </w:r>
      <w:r>
        <w:rPr>
          <w:sz w:val="24"/>
        </w:rPr>
        <w:t xml:space="preserve">dc:date</w:t>
      </w:r>
      <w:r>
        <w:rPr>
          <w:sz w:val="24"/>
        </w:rPr>
        <w:t xml:space="preserve">&gt;1806&lt;/</w:t>
      </w:r>
      <w:r>
        <w:rPr>
          <w:sz w:val="24"/>
        </w:rPr>
        <w:t xml:space="preserve">dc:date</w:t>
      </w:r>
      <w:r>
        <w:rPr>
          <w:sz w:val="24"/>
        </w:rPr>
        <w:t xml:space="preserve">&gt;</w:t>
      </w:r>
      <w:r>
        <w:rPr>
          <w:sz w:val="24"/>
        </w:rPr>
      </w:r>
    </w:p>
    <w:p>
      <w:pPr>
        <w:pBdr/>
        <w:spacing/>
        <w:ind/>
        <w:rPr>
          <w:sz w:val="24"/>
        </w:rPr>
      </w:pPr>
      <w:r>
        <w:rPr>
          <w:sz w:val="24"/>
        </w:rPr>
        <w:t xml:space="preserve"> 1 101   &lt;</w:t>
      </w:r>
      <w:r>
        <w:rPr>
          <w:sz w:val="24"/>
        </w:rPr>
        <w:t xml:space="preserve">dc:language</w:t>
      </w:r>
      <w:r>
        <w:rPr>
          <w:sz w:val="24"/>
        </w:rPr>
        <w:t xml:space="preserve">&gt;fra&lt;/</w:t>
      </w:r>
      <w:r>
        <w:rPr>
          <w:sz w:val="24"/>
        </w:rPr>
        <w:t xml:space="preserve">dc:language</w:t>
      </w:r>
      <w:r>
        <w:rPr>
          <w:sz w:val="24"/>
        </w:rPr>
        <w:t xml:space="preserve">&gt;</w:t>
      </w:r>
      <w:r>
        <w:rPr>
          <w:sz w:val="24"/>
        </w:rPr>
      </w:r>
    </w:p>
    <w:p>
      <w:pPr>
        <w:pBdr/>
        <w:spacing/>
        <w:ind/>
        <w:rPr>
          <w:sz w:val="24"/>
        </w:rPr>
      </w:pPr>
      <w:r>
        <w:rPr>
          <w:sz w:val="24"/>
        </w:rPr>
        <w:t xml:space="preserve"> 2 106   &lt;</w:t>
      </w:r>
      <w:r>
        <w:rPr>
          <w:sz w:val="24"/>
        </w:rPr>
        <w:t xml:space="preserve">dc:description</w:t>
      </w:r>
      <w:r>
        <w:rPr>
          <w:sz w:val="24"/>
        </w:rPr>
        <w:t xml:space="preserve">&gt;Impression normale&lt;/</w:t>
      </w:r>
      <w:r>
        <w:rPr>
          <w:sz w:val="24"/>
        </w:rPr>
        <w:t xml:space="preserve">dc:description</w:t>
      </w:r>
      <w:r>
        <w:rPr>
          <w:sz w:val="24"/>
        </w:rPr>
        <w:t xml:space="preserve">&gt;</w:t>
      </w:r>
      <w:r>
        <w:rPr>
          <w:sz w:val="24"/>
        </w:rPr>
      </w:r>
    </w:p>
    <w:p>
      <w:pPr>
        <w:pBdr/>
        <w:spacing/>
        <w:ind/>
        <w:rPr>
          <w:sz w:val="24"/>
        </w:rPr>
      </w:pPr>
      <w:r>
        <w:rPr>
          <w:sz w:val="24"/>
        </w:rPr>
        <w:t xml:space="preserve"> 3 200   &lt;</w:t>
      </w:r>
      <w:r>
        <w:rPr>
          <w:sz w:val="24"/>
        </w:rPr>
        <w:t xml:space="preserve">dc:title</w:t>
      </w:r>
      <w:r>
        <w:rPr>
          <w:sz w:val="24"/>
        </w:rPr>
        <w:t xml:space="preserve">&gt;Les Institutes de l'empereur Justinien, traduites en français par M. Hulot, et suivies d'une Table Générale des Titres du Digeste et des Institutes par ordre alphabétique tant en français qu'en latin, avec renvoi au volume et à la page de l'édition </w:t>
      </w:r>
      <w:r>
        <w:rPr>
          <w:sz w:val="24"/>
        </w:rPr>
        <w:t xml:space="preserve">in</w:t>
      </w:r>
      <w:r>
        <w:rPr>
          <w:sz w:val="24"/>
        </w:rPr>
        <w:t xml:space="preserve"> 4°.&lt;/</w:t>
      </w:r>
      <w:r>
        <w:rPr>
          <w:sz w:val="24"/>
        </w:rPr>
        <w:t xml:space="preserve">dc:title</w:t>
      </w:r>
      <w:r>
        <w:rPr>
          <w:sz w:val="24"/>
        </w:rPr>
        <w:t xml:space="preserve">&gt;</w:t>
      </w:r>
      <w:r>
        <w:rPr>
          <w:sz w:val="24"/>
        </w:rPr>
      </w:r>
    </w:p>
    <w:p>
      <w:pPr>
        <w:pBdr/>
        <w:spacing/>
        <w:ind/>
        <w:rPr>
          <w:sz w:val="24"/>
        </w:rPr>
      </w:pPr>
      <w:r>
        <w:rPr>
          <w:sz w:val="24"/>
        </w:rPr>
        <w:t xml:space="preserve"> 4 214   &lt;</w:t>
      </w:r>
      <w:r>
        <w:rPr>
          <w:sz w:val="24"/>
        </w:rPr>
        <w:t xml:space="preserve">dc:publisher</w:t>
      </w:r>
      <w:r>
        <w:rPr>
          <w:sz w:val="24"/>
        </w:rPr>
        <w:t xml:space="preserve">&gt; (A Metz, chez </w:t>
      </w:r>
      <w:r>
        <w:rPr>
          <w:sz w:val="24"/>
        </w:rPr>
        <w:t xml:space="preserve">Behmer</w:t>
      </w:r>
      <w:r>
        <w:rPr>
          <w:sz w:val="24"/>
        </w:rPr>
        <w:t xml:space="preserve">, </w:t>
      </w:r>
      <w:r>
        <w:rPr>
          <w:sz w:val="24"/>
        </w:rPr>
        <w:t xml:space="preserve">Lamort</w:t>
      </w:r>
      <w:r>
        <w:rPr>
          <w:sz w:val="24"/>
        </w:rPr>
        <w:t xml:space="preserve">, éditeurs. A Paris, chez </w:t>
      </w:r>
      <w:r>
        <w:rPr>
          <w:sz w:val="24"/>
        </w:rPr>
        <w:t xml:space="preserve">Rondonneau</w:t>
      </w:r>
      <w:r>
        <w:rPr>
          <w:sz w:val="24"/>
        </w:rPr>
        <w:t xml:space="preserve">, au dépôt des Lois. An </w:t>
      </w:r>
      <w:r>
        <w:rPr>
          <w:sz w:val="24"/>
        </w:rPr>
        <w:t xml:space="preserve">1806)&lt;</w:t>
      </w:r>
      <w:r>
        <w:rPr>
          <w:sz w:val="24"/>
        </w:rPr>
        <w:t xml:space="preserve">/</w:t>
      </w:r>
      <w:r>
        <w:rPr>
          <w:sz w:val="24"/>
        </w:rPr>
        <w:t xml:space="preserve">dc:publisher</w:t>
      </w:r>
      <w:r>
        <w:rPr>
          <w:sz w:val="24"/>
        </w:rPr>
        <w:t xml:space="preserve">&gt;</w:t>
      </w:r>
      <w:r>
        <w:rPr>
          <w:sz w:val="24"/>
        </w:rPr>
      </w:r>
    </w:p>
    <w:p>
      <w:pPr>
        <w:pBdr/>
        <w:spacing/>
        <w:ind/>
        <w:rPr>
          <w:sz w:val="24"/>
        </w:rPr>
      </w:pPr>
      <w:r>
        <w:rPr>
          <w:sz w:val="24"/>
        </w:rPr>
        <w:t xml:space="preserve"> 5 215   &lt;</w:t>
      </w:r>
      <w:r>
        <w:rPr>
          <w:sz w:val="24"/>
        </w:rPr>
        <w:t xml:space="preserve">dc:format</w:t>
      </w:r>
      <w:r>
        <w:rPr>
          <w:sz w:val="24"/>
        </w:rPr>
        <w:t xml:space="preserve">&gt;1 vol. (336 p.)&lt;/</w:t>
      </w:r>
      <w:r>
        <w:rPr>
          <w:sz w:val="24"/>
        </w:rPr>
        <w:t xml:space="preserve">dc:format</w:t>
      </w:r>
      <w:r>
        <w:rPr>
          <w:sz w:val="24"/>
        </w:rPr>
        <w:t xml:space="preserve">&gt;</w:t>
      </w:r>
      <w:r>
        <w:rPr>
          <w:sz w:val="24"/>
        </w:rPr>
      </w:r>
    </w:p>
    <w:p>
      <w:pPr>
        <w:pBdr/>
        <w:spacing/>
        <w:ind/>
        <w:rPr>
          <w:sz w:val="24"/>
        </w:rPr>
      </w:pPr>
      <w:r>
        <w:rPr>
          <w:sz w:val="24"/>
        </w:rPr>
        <w:t xml:space="preserve"> 6 215   &lt;</w:t>
      </w:r>
      <w:r>
        <w:rPr>
          <w:sz w:val="24"/>
        </w:rPr>
        <w:t xml:space="preserve">dc:format</w:t>
      </w:r>
      <w:r>
        <w:rPr>
          <w:sz w:val="24"/>
        </w:rPr>
        <w:t xml:space="preserve">&gt;in-4&lt;/</w:t>
      </w:r>
      <w:r>
        <w:rPr>
          <w:sz w:val="24"/>
        </w:rPr>
        <w:t xml:space="preserve">dc:format</w:t>
      </w:r>
      <w:r>
        <w:rPr>
          <w:sz w:val="24"/>
        </w:rPr>
        <w:t xml:space="preserve">&gt;</w:t>
      </w:r>
      <w:r>
        <w:rPr>
          <w:sz w:val="24"/>
        </w:rPr>
      </w:r>
    </w:p>
    <w:p>
      <w:pPr>
        <w:pBdr/>
        <w:spacing/>
        <w:ind/>
        <w:rPr>
          <w:sz w:val="24"/>
        </w:rPr>
      </w:pPr>
      <w:r>
        <w:rPr>
          <w:sz w:val="24"/>
        </w:rPr>
        <w:t xml:space="preserve"> 7 307   &lt;</w:t>
      </w:r>
      <w:r>
        <w:rPr>
          <w:sz w:val="24"/>
        </w:rPr>
        <w:t xml:space="preserve">dc:description</w:t>
      </w:r>
      <w:r>
        <w:rPr>
          <w:sz w:val="24"/>
        </w:rPr>
        <w:t xml:space="preserve">&gt;Texte sur 2 colonnes. Marque typographique&lt;/</w:t>
      </w:r>
      <w:r>
        <w:rPr>
          <w:sz w:val="24"/>
        </w:rPr>
        <w:t xml:space="preserve">dc:description</w:t>
      </w:r>
      <w:r>
        <w:rPr>
          <w:sz w:val="24"/>
        </w:rPr>
        <w:t xml:space="preserve">&gt;</w:t>
      </w:r>
      <w:r>
        <w:rPr>
          <w:sz w:val="24"/>
        </w:rPr>
      </w:r>
    </w:p>
    <w:p>
      <w:pPr>
        <w:pBdr/>
        <w:spacing/>
        <w:ind/>
        <w:rPr>
          <w:sz w:val="24"/>
        </w:rPr>
      </w:pPr>
      <w:r>
        <w:rPr>
          <w:sz w:val="24"/>
        </w:rPr>
        <w:t xml:space="preserve"> 8 307   &lt;</w:t>
      </w:r>
      <w:r>
        <w:rPr>
          <w:sz w:val="24"/>
        </w:rPr>
        <w:t xml:space="preserve">dc:description</w:t>
      </w:r>
      <w:r>
        <w:rPr>
          <w:sz w:val="24"/>
        </w:rPr>
        <w:t xml:space="preserve">&gt;</w:t>
      </w:r>
      <w:r>
        <w:rPr>
          <w:sz w:val="24"/>
        </w:rPr>
        <w:t xml:space="preserve">Sig</w:t>
      </w:r>
      <w:r>
        <w:rPr>
          <w:sz w:val="24"/>
        </w:rPr>
        <w:t xml:space="preserve">. 1-42⁴&lt;/</w:t>
      </w:r>
      <w:r>
        <w:rPr>
          <w:sz w:val="24"/>
        </w:rPr>
        <w:t xml:space="preserve">dc:description</w:t>
      </w:r>
      <w:r>
        <w:rPr>
          <w:sz w:val="24"/>
        </w:rPr>
        <w:t xml:space="preserve">&gt;</w:t>
      </w:r>
      <w:r>
        <w:rPr>
          <w:sz w:val="24"/>
        </w:rPr>
      </w:r>
    </w:p>
    <w:p>
      <w:pPr>
        <w:pBdr/>
        <w:spacing/>
        <w:ind/>
        <w:rPr>
          <w:sz w:val="24"/>
        </w:rPr>
      </w:pPr>
      <w:r>
        <w:rPr>
          <w:sz w:val="24"/>
        </w:rPr>
        <w:t xml:space="preserve"> 9 700   &lt;</w:t>
      </w:r>
      <w:r>
        <w:rPr>
          <w:sz w:val="24"/>
        </w:rPr>
        <w:t xml:space="preserve">dc:creator</w:t>
      </w:r>
      <w:r>
        <w:rPr>
          <w:sz w:val="24"/>
        </w:rPr>
        <w:t xml:space="preserve">&gt;Justinien Ier (empereur de Byzance; 0482-0565)&lt;/</w:t>
      </w:r>
      <w:r>
        <w:rPr>
          <w:sz w:val="24"/>
        </w:rPr>
        <w:t xml:space="preserve">dc:creator</w:t>
      </w:r>
      <w:r>
        <w:rPr>
          <w:sz w:val="24"/>
        </w:rPr>
        <w:t xml:space="preserve">&gt;</w:t>
      </w:r>
      <w:r>
        <w:rPr>
          <w:sz w:val="24"/>
        </w:rPr>
      </w:r>
    </w:p>
    <w:p>
      <w:pPr>
        <w:pBdr/>
        <w:spacing/>
        <w:ind/>
        <w:rPr>
          <w:sz w:val="24"/>
        </w:rPr>
      </w:pPr>
      <w:r>
        <w:rPr>
          <w:sz w:val="24"/>
        </w:rPr>
        <w:t xml:space="preserve"> 10 701   &lt;</w:t>
      </w:r>
      <w:r>
        <w:rPr>
          <w:sz w:val="24"/>
        </w:rPr>
        <w:t xml:space="preserve">dc:contributor</w:t>
      </w:r>
      <w:r>
        <w:rPr>
          <w:sz w:val="24"/>
        </w:rPr>
        <w:t xml:space="preserve">&gt;Hulot, Henri  (1732-1775). Traducteur&lt;/</w:t>
      </w:r>
      <w:r>
        <w:rPr>
          <w:sz w:val="24"/>
        </w:rPr>
        <w:t xml:space="preserve">dc:contributor</w:t>
      </w:r>
      <w:r>
        <w:rPr>
          <w:sz w:val="24"/>
        </w:rPr>
        <w:t xml:space="preserve">&gt;</w:t>
      </w:r>
      <w:r>
        <w:rPr>
          <w:sz w:val="24"/>
        </w:rPr>
      </w:r>
    </w:p>
    <w:p>
      <w:pPr>
        <w:pBdr/>
        <w:spacing/>
        <w:ind/>
        <w:rPr>
          <w:sz w:val="24"/>
        </w:rPr>
      </w:pPr>
      <w:r>
        <w:rPr>
          <w:sz w:val="24"/>
        </w:rPr>
        <w:t xml:space="preserve"> 11 702   &lt;</w:t>
      </w:r>
      <w:r>
        <w:rPr>
          <w:sz w:val="24"/>
        </w:rPr>
        <w:t xml:space="preserve">dc:publisher</w:t>
      </w:r>
      <w:r>
        <w:rPr>
          <w:sz w:val="24"/>
        </w:rPr>
        <w:t xml:space="preserve">&gt;</w:t>
      </w:r>
      <w:r>
        <w:rPr>
          <w:sz w:val="24"/>
        </w:rPr>
        <w:t xml:space="preserve">Behmer</w:t>
      </w:r>
      <w:r>
        <w:rPr>
          <w:sz w:val="24"/>
        </w:rPr>
        <w:t xml:space="preserve">, Frédéric-Guillaume-Henri de  (17..-1807)&lt;/</w:t>
      </w:r>
      <w:r>
        <w:rPr>
          <w:sz w:val="24"/>
        </w:rPr>
        <w:t xml:space="preserve">dc:publisher</w:t>
      </w:r>
      <w:r>
        <w:rPr>
          <w:sz w:val="24"/>
        </w:rPr>
        <w:t xml:space="preserve">&gt;</w:t>
      </w:r>
      <w:r>
        <w:rPr>
          <w:sz w:val="24"/>
        </w:rPr>
      </w:r>
    </w:p>
    <w:p>
      <w:pPr>
        <w:pBdr/>
        <w:spacing/>
        <w:ind/>
        <w:rPr>
          <w:sz w:val="24"/>
        </w:rPr>
      </w:pPr>
      <w:r>
        <w:rPr>
          <w:sz w:val="24"/>
        </w:rPr>
        <w:t xml:space="preserve"> 12 702   &lt;</w:t>
      </w:r>
      <w:r>
        <w:rPr>
          <w:sz w:val="24"/>
        </w:rPr>
        <w:t xml:space="preserve">dc:publisher</w:t>
      </w:r>
      <w:r>
        <w:rPr>
          <w:sz w:val="24"/>
        </w:rPr>
        <w:t xml:space="preserve">&gt;</w:t>
      </w:r>
      <w:r>
        <w:rPr>
          <w:sz w:val="24"/>
        </w:rPr>
        <w:t xml:space="preserve">Lamort</w:t>
      </w:r>
      <w:r>
        <w:rPr>
          <w:sz w:val="24"/>
        </w:rPr>
        <w:t xml:space="preserve">, Claude  (1758?-1828)&lt;/</w:t>
      </w:r>
      <w:r>
        <w:rPr>
          <w:sz w:val="24"/>
        </w:rPr>
        <w:t xml:space="preserve">dc:publisher</w:t>
      </w:r>
      <w:r>
        <w:rPr>
          <w:sz w:val="24"/>
        </w:rPr>
        <w:t xml:space="preserve">&gt;</w:t>
      </w:r>
      <w:r>
        <w:rPr>
          <w:sz w:val="24"/>
        </w:rPr>
      </w:r>
    </w:p>
    <w:p>
      <w:pPr>
        <w:pBdr/>
        <w:spacing/>
        <w:ind/>
        <w:rPr>
          <w:sz w:val="24"/>
        </w:rPr>
      </w:pPr>
      <w:r>
        <w:rPr>
          <w:sz w:val="24"/>
        </w:rPr>
        <w:t xml:space="preserve"> 13 702   &lt;</w:t>
      </w:r>
      <w:r>
        <w:rPr>
          <w:sz w:val="24"/>
        </w:rPr>
        <w:t xml:space="preserve">dc:publisher</w:t>
      </w:r>
      <w:r>
        <w:rPr>
          <w:sz w:val="24"/>
        </w:rPr>
        <w:t xml:space="preserve">&gt;</w:t>
      </w:r>
      <w:r>
        <w:rPr>
          <w:sz w:val="24"/>
        </w:rPr>
        <w:t xml:space="preserve">Rondonneau</w:t>
      </w:r>
      <w:r>
        <w:rPr>
          <w:sz w:val="24"/>
        </w:rPr>
        <w:t xml:space="preserve">, Louis  (1759-1834)&lt;/</w:t>
      </w:r>
      <w:r>
        <w:rPr>
          <w:sz w:val="24"/>
        </w:rPr>
        <w:t xml:space="preserve">dc:publisher</w:t>
      </w:r>
      <w:r>
        <w:rPr>
          <w:sz w:val="24"/>
        </w:rPr>
        <w:t xml:space="preserve">&gt;</w:t>
      </w:r>
      <w:r>
        <w:rPr>
          <w:sz w:val="24"/>
        </w:rPr>
      </w:r>
    </w:p>
    <w:p>
      <w:pPr>
        <w:pBdr/>
        <w:spacing/>
        <w:ind/>
        <w:rPr>
          <w:sz w:val="24"/>
        </w:rPr>
      </w:pPr>
      <w:r>
        <w:rPr>
          <w:sz w:val="24"/>
        </w:rPr>
        <w:t xml:space="preserve"> 14 930   &lt;</w:t>
      </w:r>
      <w:r>
        <w:rPr>
          <w:sz w:val="24"/>
        </w:rPr>
        <w:t xml:space="preserve">dc:description</w:t>
      </w:r>
      <w:r>
        <w:rPr>
          <w:sz w:val="24"/>
        </w:rPr>
        <w:t xml:space="preserve">&gt;75.356&lt;/</w:t>
      </w:r>
      <w:r>
        <w:rPr>
          <w:sz w:val="24"/>
        </w:rPr>
        <w:t xml:space="preserve">dc:description</w:t>
      </w:r>
      <w:r>
        <w:rPr>
          <w:sz w:val="24"/>
        </w:rPr>
        <w:t xml:space="preserve">&gt;</w:t>
      </w:r>
      <w:r>
        <w:rPr>
          <w:sz w:val="24"/>
        </w:rPr>
      </w:r>
    </w:p>
    <w:p>
      <w:pPr>
        <w:pBdr/>
        <w:spacing/>
        <w:ind/>
        <w:rPr>
          <w:sz w:val="24"/>
        </w:rPr>
      </w:pPr>
      <w:r>
        <w:rPr>
          <w:sz w:val="24"/>
        </w:rPr>
        <w:t xml:space="preserve"> Balise ajoutée 004 &lt;</w:t>
      </w:r>
      <w:r>
        <w:rPr>
          <w:sz w:val="24"/>
        </w:rPr>
        <w:t xml:space="preserve">dc:publisher</w:t>
      </w:r>
      <w:r>
        <w:rPr>
          <w:sz w:val="24"/>
        </w:rPr>
        <w:t xml:space="preserve">&gt;&lt;/</w:t>
      </w:r>
      <w:r>
        <w:rPr>
          <w:sz w:val="24"/>
        </w:rPr>
        <w:t xml:space="preserve">dc:publisher</w:t>
      </w:r>
      <w:r>
        <w:rPr>
          <w:sz w:val="24"/>
        </w:rPr>
        <w:t xml:space="preserve">&gt;</w:t>
      </w:r>
      <w:r>
        <w:rPr>
          <w:sz w:val="24"/>
        </w:rPr>
      </w:r>
    </w:p>
    <w:p>
      <w:pPr>
        <w:pBdr/>
        <w:spacing/>
        <w:ind/>
        <w:rPr>
          <w:sz w:val="24"/>
        </w:rPr>
      </w:pPr>
      <w:r>
        <w:rPr>
          <w:sz w:val="24"/>
        </w:rPr>
        <w:t xml:space="preserve"> Balise ajoutée 012 &lt;</w:t>
      </w:r>
      <w:r>
        <w:rPr>
          <w:sz w:val="24"/>
        </w:rPr>
        <w:t xml:space="preserve">dc:subject</w:t>
      </w:r>
      <w:r>
        <w:rPr>
          <w:sz w:val="24"/>
        </w:rPr>
        <w:t xml:space="preserve">&gt;&lt;/</w:t>
      </w:r>
      <w:r>
        <w:rPr>
          <w:sz w:val="24"/>
        </w:rPr>
        <w:t xml:space="preserve">dc:subject</w:t>
      </w:r>
      <w:r>
        <w:rPr>
          <w:sz w:val="24"/>
        </w:rPr>
        <w:t xml:space="preserve">&gt;</w:t>
      </w:r>
      <w:r>
        <w:rPr>
          <w:sz w:val="24"/>
        </w:rPr>
      </w:r>
    </w:p>
    <w:p>
      <w:pPr>
        <w:pBdr/>
        <w:spacing/>
        <w:ind/>
        <w:jc w:val="both"/>
        <w:rPr>
          <w:sz w:val="24"/>
        </w:rPr>
      </w:pPr>
      <w:r>
        <w:rPr>
          <w:sz w:val="24"/>
        </w:rPr>
        <w:t xml:space="preserve">Voici un exemple de la notice de Sandrine : </w:t>
      </w:r>
      <w:r>
        <w:rPr>
          <w:sz w:val="24"/>
        </w:rPr>
      </w:r>
    </w:p>
    <w:tbl>
      <w:tblPr>
        <w:tblW w:w="7956" w:type="dxa"/>
        <w:tblCellMar>
          <w:left w:w="70" w:type="dxa"/>
          <w:right w:w="70" w:type="dxa"/>
        </w:tblCellMar>
        <w:tblBorders/>
        <w:tblLook w:val="04A0" w:firstRow="1" w:lastRow="0" w:firstColumn="1" w:lastColumn="0" w:noHBand="0" w:noVBand="1"/>
      </w:tblPr>
      <w:tblGrid>
        <w:gridCol w:w="7956"/>
      </w:tblGrid>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dc:title</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dc:title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dc:creator</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dc:creator</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dc:contributor</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dc:contributor</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dc:publisher</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dc:publisher</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dc:date</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dc:date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dc:language</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dc:language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&gt;Cujas. cote&lt;/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&gt;Document numérisé par XXX&lt;/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w:t>
            </w:r>
            <w:r>
              <w:rPr>
                <w:rFonts w:ascii="Calibri" w:hAnsi="Calibri" w:eastAsia="Times New Roman" w:cs="Calibri"/>
                <w:color w:val="ff0000"/>
                <w:lang w:eastAsia="fr-FR"/>
              </w:rPr>
              <w:t xml:space="preserve">impression normale</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dc:description</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dcterms:spatial</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dcterms:spatial</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dcterms:temporal</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dcterms:temporal</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dc:subject</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dc:subject</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dcterms:DDC</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dcterms:DDC</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dc:format</w:t>
            </w:r>
            <w:r>
              <w:rPr>
                <w:rFonts w:ascii="Calibri" w:hAnsi="Calibri" w:eastAsia="Times New Roman" w:cs="Calibri"/>
                <w:color w:val="000000"/>
                <w:lang w:eastAsia="fr-FR"/>
              </w:rPr>
              <w:t xml:space="preserve"> </w:t>
            </w:r>
            <w:r>
              <w:rPr>
                <w:rFonts w:ascii="Calibri" w:hAnsi="Calibri" w:eastAsia="Times New Roman" w:cs="Calibri"/>
                <w:color w:val="000000"/>
                <w:lang w:eastAsia="fr-FR"/>
              </w:rPr>
              <w:t xml:space="preserve">xsi:type</w:t>
            </w:r>
            <w:r>
              <w:rPr>
                <w:rFonts w:ascii="Calibri" w:hAnsi="Calibri" w:eastAsia="Times New Roman" w:cs="Calibri"/>
                <w:color w:val="000000"/>
                <w:lang w:eastAsia="fr-FR"/>
              </w:rPr>
              <w:t xml:space="preserve">="</w:t>
            </w:r>
            <w:r>
              <w:rPr>
                <w:rFonts w:ascii="Calibri" w:hAnsi="Calibri" w:eastAsia="Times New Roman" w:cs="Calibri"/>
                <w:color w:val="000000"/>
                <w:lang w:eastAsia="fr-FR"/>
              </w:rPr>
              <w:t xml:space="preserve">dcterms:IMT</w:t>
            </w:r>
            <w:r>
              <w:rPr>
                <w:rFonts w:ascii="Calibri" w:hAnsi="Calibri" w:eastAsia="Times New Roman" w:cs="Calibri"/>
                <w:color w:val="000000"/>
                <w:lang w:eastAsia="fr-FR"/>
              </w:rPr>
              <w:t xml:space="preserve">"&gt;application/</w:t>
            </w:r>
            <w:r>
              <w:rPr>
                <w:rFonts w:ascii="Calibri" w:hAnsi="Calibri" w:eastAsia="Times New Roman" w:cs="Calibri"/>
                <w:color w:val="000000"/>
                <w:lang w:eastAsia="fr-FR"/>
              </w:rPr>
              <w:t xml:space="preserve">pdf</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dc:format</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dc:format</w:t>
            </w:r>
            <w:r>
              <w:rPr>
                <w:rFonts w:ascii="Calibri" w:hAnsi="Calibri" w:eastAsia="Times New Roman" w:cs="Calibri"/>
                <w:color w:val="000000"/>
                <w:lang w:eastAsia="fr-FR"/>
              </w:rPr>
              <w:t xml:space="preserve">&gt;&lt;/</w:t>
            </w:r>
            <w:r>
              <w:rPr>
                <w:rFonts w:ascii="Calibri" w:hAnsi="Calibri" w:eastAsia="Times New Roman" w:cs="Calibri"/>
                <w:color w:val="000000"/>
                <w:lang w:eastAsia="fr-FR"/>
              </w:rPr>
              <w:t xml:space="preserve">dc:format</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dc:type</w:t>
            </w:r>
            <w:r>
              <w:rPr>
                <w:rFonts w:ascii="Calibri" w:hAnsi="Calibri" w:eastAsia="Times New Roman" w:cs="Calibri"/>
                <w:color w:val="000000"/>
                <w:lang w:eastAsia="fr-FR"/>
              </w:rPr>
              <w:t xml:space="preserve"> </w:t>
            </w:r>
            <w:r>
              <w:rPr>
                <w:rFonts w:ascii="Calibri" w:hAnsi="Calibri" w:eastAsia="Times New Roman" w:cs="Calibri"/>
                <w:color w:val="000000"/>
                <w:lang w:eastAsia="fr-FR"/>
              </w:rPr>
              <w:t xml:space="preserve">xsi:type</w:t>
            </w:r>
            <w:r>
              <w:rPr>
                <w:rFonts w:ascii="Calibri" w:hAnsi="Calibri" w:eastAsia="Times New Roman" w:cs="Calibri"/>
                <w:color w:val="000000"/>
                <w:lang w:eastAsia="fr-FR"/>
              </w:rPr>
              <w:t xml:space="preserve">="</w:t>
            </w:r>
            <w:r>
              <w:rPr>
                <w:rFonts w:ascii="Calibri" w:hAnsi="Calibri" w:eastAsia="Times New Roman" w:cs="Calibri"/>
                <w:color w:val="000000"/>
                <w:lang w:eastAsia="fr-FR"/>
              </w:rPr>
              <w:t xml:space="preserve">dcterms:DCMIType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t xml:space="preserve">Text</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dc:type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dc:type</w:t>
            </w:r>
            <w:r>
              <w:rPr>
                <w:rFonts w:ascii="Calibri" w:hAnsi="Calibri" w:eastAsia="Times New Roman" w:cs="Calibri"/>
                <w:color w:val="000000"/>
                <w:lang w:eastAsia="fr-FR"/>
              </w:rPr>
              <w:t xml:space="preserve">&gt;</w:t>
            </w:r>
            <w:r>
              <w:rPr>
                <w:rFonts w:ascii="Calibri" w:hAnsi="Calibri" w:eastAsia="Times New Roman" w:cs="Calibri"/>
                <w:color w:val="ff0000"/>
                <w:lang w:eastAsia="fr-FR"/>
              </w:rPr>
              <w:t xml:space="preserve">monographie imprimée</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dc:type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dc:identifier</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t xml:space="preserve">ark</w:t>
            </w:r>
            <w:r>
              <w:rPr>
                <w:rFonts w:ascii="Calibri" w:hAnsi="Calibri" w:eastAsia="Times New Roman" w:cs="Calibri"/>
                <w:color w:val="000000"/>
                <w:lang w:eastAsia="fr-FR"/>
              </w:rPr>
              <w:t xml:space="preserve">:/45829/</w:t>
            </w:r>
            <w:r>
              <w:rPr>
                <w:rFonts w:ascii="Calibri" w:hAnsi="Calibri" w:eastAsia="Times New Roman" w:cs="Calibri"/>
                <w:color w:val="000000"/>
                <w:lang w:eastAsia="fr-FR"/>
              </w:rPr>
              <w:t xml:space="preserve">pdfnumérodecodebarre</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dc:identifier</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dc:relation</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dc:source</w:t>
            </w:r>
            <w:r>
              <w:rPr>
                <w:rFonts w:ascii="Calibri" w:hAnsi="Calibri" w:eastAsia="Times New Roman" w:cs="Calibri"/>
                <w:color w:val="000000"/>
                <w:lang w:eastAsia="fr-FR"/>
              </w:rPr>
              <w:t xml:space="preserve">&gt;Bibl. Interuniversitaire Cujas </w:t>
            </w:r>
            <w:r>
              <w:rPr>
                <w:rFonts w:ascii="Calibri" w:hAnsi="Calibri" w:eastAsia="Times New Roman" w:cs="Calibri"/>
                <w:color w:val="000000"/>
                <w:lang w:eastAsia="fr-FR"/>
              </w:rPr>
              <w:t xml:space="preserve">codebarre</w:t>
            </w: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dc:source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dc:source</w:t>
            </w:r>
            <w:r>
              <w:rPr>
                <w:rFonts w:ascii="Calibri" w:hAnsi="Calibri" w:eastAsia="Times New Roman" w:cs="Calibri"/>
                <w:color w:val="000000"/>
                <w:lang w:eastAsia="fr-FR"/>
              </w:rPr>
              <w:t xml:space="preserve">&gt;Bibl. Interuniversitaire Cujas cote&lt;/</w:t>
            </w:r>
            <w:r>
              <w:rPr>
                <w:rFonts w:ascii="Calibri" w:hAnsi="Calibri" w:eastAsia="Times New Roman" w:cs="Calibri"/>
                <w:color w:val="000000"/>
                <w:lang w:eastAsia="fr-FR"/>
              </w:rPr>
              <w:t xml:space="preserve">dc:source</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w:t>
            </w:r>
            <w:r>
              <w:rPr>
                <w:rFonts w:ascii="Calibri" w:hAnsi="Calibri" w:eastAsia="Times New Roman" w:cs="Calibri"/>
                <w:color w:val="000000"/>
                <w:lang w:eastAsia="fr-FR"/>
              </w:rPr>
              <w:t xml:space="preserve">dc:rights</w:t>
            </w:r>
            <w:r>
              <w:rPr>
                <w:rFonts w:ascii="Calibri" w:hAnsi="Calibri" w:eastAsia="Times New Roman" w:cs="Calibri"/>
                <w:color w:val="000000"/>
                <w:lang w:eastAsia="fr-FR"/>
              </w:rPr>
              <w:t xml:space="preserve">&gt;Domaine public. Voir mentions légales&lt;/</w:t>
            </w:r>
            <w:r>
              <w:rPr>
                <w:rFonts w:ascii="Calibri" w:hAnsi="Calibri" w:eastAsia="Times New Roman" w:cs="Calibri"/>
                <w:color w:val="000000"/>
                <w:lang w:eastAsia="fr-FR"/>
              </w:rPr>
              <w:t xml:space="preserve">dc:rights</w:t>
            </w:r>
            <w:r>
              <w:rPr>
                <w:rFonts w:ascii="Calibri" w:hAnsi="Calibri" w:eastAsia="Times New Roman" w:cs="Calibri"/>
                <w:color w:val="000000"/>
                <w:lang w:eastAsia="fr-FR"/>
              </w:rPr>
              <w:t xml:space="preserve">&gt;</w:t>
            </w:r>
            <w:r>
              <w:rPr>
                <w:rFonts w:ascii="Calibri" w:hAnsi="Calibri" w:eastAsia="Times New Roman" w:cs="Calibri"/>
                <w:color w:val="000000"/>
                <w:lang w:eastAsia="fr-FR"/>
              </w:rPr>
            </w:r>
          </w:p>
        </w:tc>
      </w:tr>
      <w:tr>
        <w:trPr>
          <w:trHeight w:val="300"/>
        </w:trPr>
        <w:tc>
          <w:tcPr>
            <w:shd w:val="clear" w:color="auto" w:fill="auto"/>
            <w:tcBorders>
              <w:top w:val="none" w:color="000000" w:sz="4" w:space="0"/>
              <w:left w:val="none" w:color="000000" w:sz="4" w:space="0"/>
              <w:bottom w:val="none" w:color="000000" w:sz="4" w:space="0"/>
              <w:right w:val="none" w:color="000000" w:sz="4" w:space="0"/>
            </w:tcBorders>
            <w:tcW w:w="7956" w:type="dxa"/>
            <w:vAlign w:val="bottom"/>
            <w:noWrap/>
          </w:tcPr>
          <w:p>
            <w:pPr>
              <w:pBdr/>
              <w:spacing w:after="0" w:line="240" w:lineRule="auto"/>
              <w:ind/>
              <w:rPr>
                <w:rFonts w:ascii="Calibri" w:hAnsi="Calibri" w:eastAsia="Times New Roman" w:cs="Calibri"/>
                <w:color w:val="000000"/>
                <w:lang w:eastAsia="fr-FR"/>
              </w:rPr>
            </w:pPr>
            <w:r>
              <w:rPr>
                <w:rFonts w:ascii="Calibri" w:hAnsi="Calibri" w:eastAsia="Times New Roman" w:cs="Calibri"/>
                <w:color w:val="000000"/>
                <w:lang w:eastAsia="fr-FR"/>
              </w:rPr>
              <w:t xml:space="preserve">&lt;/notice&gt;</w:t>
            </w:r>
            <w:r>
              <w:rPr>
                <w:rFonts w:ascii="Calibri" w:hAnsi="Calibri" w:eastAsia="Times New Roman" w:cs="Calibri"/>
                <w:color w:val="000000"/>
                <w:lang w:eastAsia="fr-FR"/>
              </w:rPr>
            </w:r>
          </w:p>
        </w:tc>
      </w:tr>
    </w:tbl>
    <w:p>
      <w:pPr>
        <w:pBdr/>
        <w:spacing/>
        <w:ind/>
        <w:jc w:val="both"/>
        <w:rPr>
          <w:sz w:val="24"/>
        </w:rPr>
      </w:pPr>
      <w:r/>
      <w:bookmarkStart w:id="0" w:name="_GoBack"/>
      <w:r/>
      <w:bookmarkEnd w:id="0"/>
      <w:r/>
      <w:r>
        <w:rPr>
          <w:sz w:val="24"/>
        </w:rPr>
      </w:r>
    </w:p>
    <w:p>
      <w:pPr>
        <w:pBdr/>
        <w:spacing/>
        <w:ind/>
        <w:jc w:val="both"/>
        <w:rPr>
          <w:sz w:val="24"/>
        </w:rPr>
      </w:pPr>
      <w:r>
        <w:rPr>
          <w:sz w:val="24"/>
        </w:rPr>
        <w:t xml:space="preserve">Sources utilisées :</w:t>
      </w:r>
      <w:r>
        <w:rPr>
          <w:sz w:val="24"/>
        </w:rPr>
      </w:r>
    </w:p>
    <w:p>
      <w:pPr>
        <w:pStyle w:val="673"/>
        <w:numPr>
          <w:ilvl w:val="0"/>
          <w:numId w:val="1"/>
        </w:numPr>
        <w:pBdr/>
        <w:spacing/>
        <w:ind/>
        <w:rPr>
          <w:sz w:val="24"/>
        </w:rPr>
      </w:pPr>
      <w:r>
        <w:rPr>
          <w:sz w:val="24"/>
        </w:rPr>
        <w:t xml:space="preserve">CR – Moulinette 2 – 21/10/2024</w:t>
      </w:r>
      <w:r>
        <w:rPr>
          <w:sz w:val="24"/>
        </w:rPr>
      </w:r>
    </w:p>
    <w:sectPr>
      <w:footnotePr/>
      <w:endnotePr/>
      <w:type w:val="nextPage"/>
      <w:pgSz w:h="16838" w:orient="portrait" w:w="11906"/>
      <w:pgMar w:top="1417" w:right="1417" w:bottom="1417" w:left="1417"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Wingdings">
    <w:panose1 w:val="05010000000000000000"/>
  </w:font>
  <w:font w:name="Courier New">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0549E2"/>
    <w:lvl w:ilvl="0">
      <w:isLgl w:val="false"/>
      <w:lvlJc w:val="left"/>
      <w:lvlText w:val="-"/>
      <w:numFmt w:val="bullet"/>
      <w:pPr>
        <w:pBdr/>
        <w:spacing/>
        <w:ind w:hanging="360" w:left="720"/>
      </w:pPr>
      <w:rPr>
        <w:rFonts w:hint="default" w:ascii="Calibri" w:hAnsi="Calibri" w:cs="Calibri" w:eastAsiaTheme="minorHAnsi"/>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6F8C1A7D"/>
    <w:lvl w:ilvl="0">
      <w:isLgl w:val="false"/>
      <w:lvlJc w:val="left"/>
      <w:lvlText w:val=""/>
      <w:numFmt w:val="bullet"/>
      <w:pPr>
        <w:pBdr/>
        <w:spacing/>
        <w:ind w:hanging="360" w:left="720"/>
      </w:pPr>
      <w:rPr>
        <w:rFonts w:hint="default" w:ascii="Symbol" w:hAnsi="Symbol"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0">
    <w:name w:val="Heading 2"/>
    <w:basedOn w:val="668"/>
    <w:next w:val="6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8"/>
    <w:next w:val="66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8"/>
    <w:next w:val="6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8"/>
    <w:next w:val="6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8"/>
    <w:next w:val="6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8"/>
    <w:next w:val="6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8"/>
    <w:next w:val="6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8"/>
    <w:next w:val="6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0"/>
    <w:link w:val="669"/>
    <w:uiPriority w:val="9"/>
    <w:pPr>
      <w:pBdr/>
      <w:spacing/>
      <w:ind/>
    </w:pPr>
    <w:rPr>
      <w:rFonts w:ascii="Arial" w:hAnsi="Arial" w:eastAsia="Arial" w:cs="Arial"/>
      <w:color w:val="0f4761" w:themeColor="accent1" w:themeShade="BF"/>
      <w:sz w:val="40"/>
      <w:szCs w:val="40"/>
    </w:rPr>
  </w:style>
  <w:style w:type="character" w:styleId="151">
    <w:name w:val="Heading 2 Char"/>
    <w:basedOn w:val="67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70"/>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70"/>
    <w:link w:val="142"/>
    <w:uiPriority w:val="9"/>
    <w:pPr>
      <w:pBdr/>
      <w:spacing/>
      <w:ind/>
    </w:pPr>
    <w:rPr>
      <w:rFonts w:ascii="Arial" w:hAnsi="Arial" w:eastAsia="Arial" w:cs="Arial"/>
      <w:i/>
      <w:iCs/>
      <w:color w:val="0f4761" w:themeColor="accent1" w:themeShade="BF"/>
    </w:rPr>
  </w:style>
  <w:style w:type="character" w:styleId="154">
    <w:name w:val="Heading 5 Char"/>
    <w:basedOn w:val="670"/>
    <w:link w:val="143"/>
    <w:uiPriority w:val="9"/>
    <w:pPr>
      <w:pBdr/>
      <w:spacing/>
      <w:ind/>
    </w:pPr>
    <w:rPr>
      <w:rFonts w:ascii="Arial" w:hAnsi="Arial" w:eastAsia="Arial" w:cs="Arial"/>
      <w:color w:val="0f4761" w:themeColor="accent1" w:themeShade="BF"/>
    </w:rPr>
  </w:style>
  <w:style w:type="character" w:styleId="155">
    <w:name w:val="Heading 6 Char"/>
    <w:basedOn w:val="670"/>
    <w:link w:val="144"/>
    <w:uiPriority w:val="9"/>
    <w:pPr>
      <w:pBdr/>
      <w:spacing/>
      <w:ind/>
    </w:pPr>
    <w:rPr>
      <w:rFonts w:ascii="Arial" w:hAnsi="Arial" w:eastAsia="Arial" w:cs="Arial"/>
      <w:i/>
      <w:iCs/>
      <w:color w:val="595959" w:themeColor="text1" w:themeTint="A6"/>
    </w:rPr>
  </w:style>
  <w:style w:type="character" w:styleId="156">
    <w:name w:val="Heading 7 Char"/>
    <w:basedOn w:val="670"/>
    <w:link w:val="145"/>
    <w:uiPriority w:val="9"/>
    <w:pPr>
      <w:pBdr/>
      <w:spacing/>
      <w:ind/>
    </w:pPr>
    <w:rPr>
      <w:rFonts w:ascii="Arial" w:hAnsi="Arial" w:eastAsia="Arial" w:cs="Arial"/>
      <w:color w:val="595959" w:themeColor="text1" w:themeTint="A6"/>
    </w:rPr>
  </w:style>
  <w:style w:type="character" w:styleId="157">
    <w:name w:val="Heading 8 Char"/>
    <w:basedOn w:val="670"/>
    <w:link w:val="146"/>
    <w:uiPriority w:val="9"/>
    <w:pPr>
      <w:pBdr/>
      <w:spacing/>
      <w:ind/>
    </w:pPr>
    <w:rPr>
      <w:rFonts w:ascii="Arial" w:hAnsi="Arial" w:eastAsia="Arial" w:cs="Arial"/>
      <w:i/>
      <w:iCs/>
      <w:color w:val="272727" w:themeColor="text1" w:themeTint="D8"/>
    </w:rPr>
  </w:style>
  <w:style w:type="character" w:styleId="158">
    <w:name w:val="Heading 9 Char"/>
    <w:basedOn w:val="670"/>
    <w:link w:val="147"/>
    <w:uiPriority w:val="9"/>
    <w:pPr>
      <w:pBdr/>
      <w:spacing/>
      <w:ind/>
    </w:pPr>
    <w:rPr>
      <w:rFonts w:ascii="Arial" w:hAnsi="Arial" w:eastAsia="Arial" w:cs="Arial"/>
      <w:i/>
      <w:iCs/>
      <w:color w:val="272727" w:themeColor="text1" w:themeTint="D8"/>
    </w:rPr>
  </w:style>
  <w:style w:type="paragraph" w:styleId="159">
    <w:name w:val="Title"/>
    <w:basedOn w:val="668"/>
    <w:next w:val="6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70"/>
    <w:link w:val="159"/>
    <w:uiPriority w:val="10"/>
    <w:pPr>
      <w:pBdr/>
      <w:spacing/>
      <w:ind/>
    </w:pPr>
    <w:rPr>
      <w:rFonts w:ascii="Arial" w:hAnsi="Arial" w:eastAsia="Arial" w:cs="Arial"/>
      <w:spacing w:val="-10"/>
      <w:sz w:val="56"/>
      <w:szCs w:val="56"/>
    </w:rPr>
  </w:style>
  <w:style w:type="paragraph" w:styleId="161">
    <w:name w:val="Subtitle"/>
    <w:basedOn w:val="668"/>
    <w:next w:val="668"/>
    <w:link w:val="162"/>
    <w:uiPriority w:val="11"/>
    <w:qFormat/>
    <w:pPr>
      <w:numPr>
        <w:ilvl w:val="1"/>
      </w:numPr>
      <w:pBdr/>
      <w:spacing/>
      <w:ind/>
    </w:pPr>
    <w:rPr>
      <w:color w:val="595959" w:themeColor="text1" w:themeTint="A6"/>
      <w:spacing w:val="15"/>
      <w:sz w:val="28"/>
      <w:szCs w:val="28"/>
    </w:rPr>
  </w:style>
  <w:style w:type="character" w:styleId="162">
    <w:name w:val="Subtitle Char"/>
    <w:basedOn w:val="670"/>
    <w:link w:val="161"/>
    <w:uiPriority w:val="11"/>
    <w:pPr>
      <w:pBdr/>
      <w:spacing/>
      <w:ind/>
    </w:pPr>
    <w:rPr>
      <w:color w:val="595959" w:themeColor="text1" w:themeTint="A6"/>
      <w:spacing w:val="15"/>
      <w:sz w:val="28"/>
      <w:szCs w:val="28"/>
    </w:rPr>
  </w:style>
  <w:style w:type="paragraph" w:styleId="163">
    <w:name w:val="Quote"/>
    <w:basedOn w:val="668"/>
    <w:next w:val="668"/>
    <w:link w:val="164"/>
    <w:uiPriority w:val="29"/>
    <w:qFormat/>
    <w:pPr>
      <w:pBdr/>
      <w:spacing w:before="160"/>
      <w:ind/>
      <w:jc w:val="center"/>
    </w:pPr>
    <w:rPr>
      <w:i/>
      <w:iCs/>
      <w:color w:val="404040" w:themeColor="text1" w:themeTint="BF"/>
    </w:rPr>
  </w:style>
  <w:style w:type="character" w:styleId="164">
    <w:name w:val="Quote Char"/>
    <w:basedOn w:val="670"/>
    <w:link w:val="163"/>
    <w:uiPriority w:val="29"/>
    <w:pPr>
      <w:pBdr/>
      <w:spacing/>
      <w:ind/>
    </w:pPr>
    <w:rPr>
      <w:i/>
      <w:iCs/>
      <w:color w:val="404040" w:themeColor="text1" w:themeTint="BF"/>
    </w:rPr>
  </w:style>
  <w:style w:type="character" w:styleId="166">
    <w:name w:val="Intense Emphasis"/>
    <w:basedOn w:val="670"/>
    <w:uiPriority w:val="21"/>
    <w:qFormat/>
    <w:pPr>
      <w:pBdr/>
      <w:spacing/>
      <w:ind/>
    </w:pPr>
    <w:rPr>
      <w:i/>
      <w:iCs/>
      <w:color w:val="0f4761" w:themeColor="accent1" w:themeShade="BF"/>
    </w:rPr>
  </w:style>
  <w:style w:type="paragraph" w:styleId="167">
    <w:name w:val="Intense Quote"/>
    <w:basedOn w:val="668"/>
    <w:next w:val="6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0"/>
    <w:link w:val="167"/>
    <w:uiPriority w:val="30"/>
    <w:pPr>
      <w:pBdr/>
      <w:spacing/>
      <w:ind/>
    </w:pPr>
    <w:rPr>
      <w:i/>
      <w:iCs/>
      <w:color w:val="0f4761" w:themeColor="accent1" w:themeShade="BF"/>
    </w:rPr>
  </w:style>
  <w:style w:type="character" w:styleId="169">
    <w:name w:val="Intense Reference"/>
    <w:basedOn w:val="670"/>
    <w:uiPriority w:val="32"/>
    <w:qFormat/>
    <w:pPr>
      <w:pBdr/>
      <w:spacing/>
      <w:ind/>
    </w:pPr>
    <w:rPr>
      <w:b/>
      <w:bCs/>
      <w:smallCaps/>
      <w:color w:val="0f4761" w:themeColor="accent1" w:themeShade="BF"/>
      <w:spacing w:val="5"/>
    </w:rPr>
  </w:style>
  <w:style w:type="paragraph" w:styleId="170">
    <w:name w:val="No Spacing"/>
    <w:basedOn w:val="668"/>
    <w:uiPriority w:val="1"/>
    <w:qFormat/>
    <w:pPr>
      <w:pBdr/>
      <w:spacing w:after="0" w:line="240" w:lineRule="auto"/>
      <w:ind/>
    </w:pPr>
  </w:style>
  <w:style w:type="character" w:styleId="171">
    <w:name w:val="Subtle Emphasis"/>
    <w:basedOn w:val="670"/>
    <w:uiPriority w:val="19"/>
    <w:qFormat/>
    <w:pPr>
      <w:pBdr/>
      <w:spacing/>
      <w:ind/>
    </w:pPr>
    <w:rPr>
      <w:i/>
      <w:iCs/>
      <w:color w:val="404040" w:themeColor="text1" w:themeTint="BF"/>
    </w:rPr>
  </w:style>
  <w:style w:type="character" w:styleId="172">
    <w:name w:val="Emphasis"/>
    <w:basedOn w:val="670"/>
    <w:uiPriority w:val="20"/>
    <w:qFormat/>
    <w:pPr>
      <w:pBdr/>
      <w:spacing/>
      <w:ind/>
    </w:pPr>
    <w:rPr>
      <w:i/>
      <w:iCs/>
    </w:rPr>
  </w:style>
  <w:style w:type="character" w:styleId="173">
    <w:name w:val="Strong"/>
    <w:basedOn w:val="670"/>
    <w:uiPriority w:val="22"/>
    <w:qFormat/>
    <w:pPr>
      <w:pBdr/>
      <w:spacing/>
      <w:ind/>
    </w:pPr>
    <w:rPr>
      <w:b/>
      <w:bCs/>
    </w:rPr>
  </w:style>
  <w:style w:type="character" w:styleId="174">
    <w:name w:val="Subtle Reference"/>
    <w:basedOn w:val="670"/>
    <w:uiPriority w:val="31"/>
    <w:qFormat/>
    <w:pPr>
      <w:pBdr/>
      <w:spacing/>
      <w:ind/>
    </w:pPr>
    <w:rPr>
      <w:smallCaps/>
      <w:color w:val="5a5a5a" w:themeColor="text1" w:themeTint="A5"/>
    </w:rPr>
  </w:style>
  <w:style w:type="character" w:styleId="175">
    <w:name w:val="Book Title"/>
    <w:basedOn w:val="670"/>
    <w:uiPriority w:val="33"/>
    <w:qFormat/>
    <w:pPr>
      <w:pBdr/>
      <w:spacing/>
      <w:ind/>
    </w:pPr>
    <w:rPr>
      <w:b/>
      <w:bCs/>
      <w:i/>
      <w:iCs/>
      <w:spacing w:val="5"/>
    </w:rPr>
  </w:style>
  <w:style w:type="paragraph" w:styleId="176">
    <w:name w:val="Header"/>
    <w:basedOn w:val="668"/>
    <w:link w:val="177"/>
    <w:uiPriority w:val="99"/>
    <w:unhideWhenUsed/>
    <w:pPr>
      <w:pBdr/>
      <w:tabs>
        <w:tab w:val="center" w:leader="none" w:pos="4844"/>
        <w:tab w:val="right" w:leader="none" w:pos="9689"/>
      </w:tabs>
      <w:spacing w:after="0" w:line="240" w:lineRule="auto"/>
      <w:ind/>
    </w:pPr>
  </w:style>
  <w:style w:type="character" w:styleId="177">
    <w:name w:val="Header Char"/>
    <w:basedOn w:val="670"/>
    <w:link w:val="176"/>
    <w:uiPriority w:val="99"/>
    <w:pPr>
      <w:pBdr/>
      <w:spacing/>
      <w:ind/>
    </w:pPr>
  </w:style>
  <w:style w:type="paragraph" w:styleId="178">
    <w:name w:val="Footer"/>
    <w:basedOn w:val="668"/>
    <w:link w:val="179"/>
    <w:uiPriority w:val="99"/>
    <w:unhideWhenUsed/>
    <w:pPr>
      <w:pBdr/>
      <w:tabs>
        <w:tab w:val="center" w:leader="none" w:pos="4844"/>
        <w:tab w:val="right" w:leader="none" w:pos="9689"/>
      </w:tabs>
      <w:spacing w:after="0" w:line="240" w:lineRule="auto"/>
      <w:ind/>
    </w:pPr>
  </w:style>
  <w:style w:type="character" w:styleId="179">
    <w:name w:val="Footer Char"/>
    <w:basedOn w:val="670"/>
    <w:link w:val="178"/>
    <w:uiPriority w:val="99"/>
    <w:pPr>
      <w:pBdr/>
      <w:spacing/>
      <w:ind/>
    </w:pPr>
  </w:style>
  <w:style w:type="paragraph" w:styleId="180">
    <w:name w:val="Caption"/>
    <w:basedOn w:val="668"/>
    <w:next w:val="668"/>
    <w:uiPriority w:val="35"/>
    <w:unhideWhenUsed/>
    <w:qFormat/>
    <w:pPr>
      <w:pBdr/>
      <w:spacing w:after="200" w:line="240" w:lineRule="auto"/>
      <w:ind/>
    </w:pPr>
    <w:rPr>
      <w:i/>
      <w:iCs/>
      <w:color w:val="0e2841" w:themeColor="text2"/>
      <w:sz w:val="18"/>
      <w:szCs w:val="18"/>
    </w:rPr>
  </w:style>
  <w:style w:type="paragraph" w:styleId="181">
    <w:name w:val="footnote text"/>
    <w:basedOn w:val="668"/>
    <w:link w:val="182"/>
    <w:uiPriority w:val="99"/>
    <w:semiHidden/>
    <w:unhideWhenUsed/>
    <w:pPr>
      <w:pBdr/>
      <w:spacing w:after="0" w:line="240" w:lineRule="auto"/>
      <w:ind/>
    </w:pPr>
    <w:rPr>
      <w:sz w:val="20"/>
      <w:szCs w:val="20"/>
    </w:rPr>
  </w:style>
  <w:style w:type="character" w:styleId="182">
    <w:name w:val="Footnote Text Char"/>
    <w:basedOn w:val="670"/>
    <w:link w:val="181"/>
    <w:uiPriority w:val="99"/>
    <w:semiHidden/>
    <w:pPr>
      <w:pBdr/>
      <w:spacing/>
      <w:ind/>
    </w:pPr>
    <w:rPr>
      <w:sz w:val="20"/>
      <w:szCs w:val="20"/>
    </w:rPr>
  </w:style>
  <w:style w:type="character" w:styleId="183">
    <w:name w:val="footnote reference"/>
    <w:basedOn w:val="670"/>
    <w:uiPriority w:val="99"/>
    <w:semiHidden/>
    <w:unhideWhenUsed/>
    <w:pPr>
      <w:pBdr/>
      <w:spacing/>
      <w:ind/>
    </w:pPr>
    <w:rPr>
      <w:vertAlign w:val="superscript"/>
    </w:rPr>
  </w:style>
  <w:style w:type="paragraph" w:styleId="184">
    <w:name w:val="endnote text"/>
    <w:basedOn w:val="668"/>
    <w:link w:val="185"/>
    <w:uiPriority w:val="99"/>
    <w:semiHidden/>
    <w:unhideWhenUsed/>
    <w:pPr>
      <w:pBdr/>
      <w:spacing w:after="0" w:line="240" w:lineRule="auto"/>
      <w:ind/>
    </w:pPr>
    <w:rPr>
      <w:sz w:val="20"/>
      <w:szCs w:val="20"/>
    </w:rPr>
  </w:style>
  <w:style w:type="character" w:styleId="185">
    <w:name w:val="Endnote Text Char"/>
    <w:basedOn w:val="670"/>
    <w:link w:val="184"/>
    <w:uiPriority w:val="99"/>
    <w:semiHidden/>
    <w:pPr>
      <w:pBdr/>
      <w:spacing/>
      <w:ind/>
    </w:pPr>
    <w:rPr>
      <w:sz w:val="20"/>
      <w:szCs w:val="20"/>
    </w:rPr>
  </w:style>
  <w:style w:type="character" w:styleId="186">
    <w:name w:val="endnote reference"/>
    <w:basedOn w:val="670"/>
    <w:uiPriority w:val="99"/>
    <w:semiHidden/>
    <w:unhideWhenUsed/>
    <w:pPr>
      <w:pBdr/>
      <w:spacing/>
      <w:ind/>
    </w:pPr>
    <w:rPr>
      <w:vertAlign w:val="superscript"/>
    </w:rPr>
  </w:style>
  <w:style w:type="character" w:styleId="187">
    <w:name w:val="Hyperlink"/>
    <w:basedOn w:val="670"/>
    <w:uiPriority w:val="99"/>
    <w:unhideWhenUsed/>
    <w:pPr>
      <w:pBdr/>
      <w:spacing/>
      <w:ind/>
    </w:pPr>
    <w:rPr>
      <w:color w:val="0563c1" w:themeColor="hyperlink"/>
      <w:u w:val="single"/>
    </w:rPr>
  </w:style>
  <w:style w:type="character" w:styleId="188">
    <w:name w:val="FollowedHyperlink"/>
    <w:basedOn w:val="670"/>
    <w:uiPriority w:val="99"/>
    <w:semiHidden/>
    <w:unhideWhenUsed/>
    <w:pPr>
      <w:pBdr/>
      <w:spacing/>
      <w:ind/>
    </w:pPr>
    <w:rPr>
      <w:color w:val="954f72" w:themeColor="followedHyperlink"/>
      <w:u w:val="single"/>
    </w:rPr>
  </w:style>
  <w:style w:type="paragraph" w:styleId="189">
    <w:name w:val="toc 1"/>
    <w:basedOn w:val="668"/>
    <w:next w:val="668"/>
    <w:uiPriority w:val="39"/>
    <w:unhideWhenUsed/>
    <w:pPr>
      <w:pBdr/>
      <w:spacing w:after="100"/>
      <w:ind/>
    </w:pPr>
  </w:style>
  <w:style w:type="paragraph" w:styleId="190">
    <w:name w:val="toc 2"/>
    <w:basedOn w:val="668"/>
    <w:next w:val="668"/>
    <w:uiPriority w:val="39"/>
    <w:unhideWhenUsed/>
    <w:pPr>
      <w:pBdr/>
      <w:spacing w:after="100"/>
      <w:ind w:left="220"/>
    </w:pPr>
  </w:style>
  <w:style w:type="paragraph" w:styleId="191">
    <w:name w:val="toc 3"/>
    <w:basedOn w:val="668"/>
    <w:next w:val="668"/>
    <w:uiPriority w:val="39"/>
    <w:unhideWhenUsed/>
    <w:pPr>
      <w:pBdr/>
      <w:spacing w:after="100"/>
      <w:ind w:left="440"/>
    </w:pPr>
  </w:style>
  <w:style w:type="paragraph" w:styleId="192">
    <w:name w:val="toc 4"/>
    <w:basedOn w:val="668"/>
    <w:next w:val="668"/>
    <w:uiPriority w:val="39"/>
    <w:unhideWhenUsed/>
    <w:pPr>
      <w:pBdr/>
      <w:spacing w:after="100"/>
      <w:ind w:left="660"/>
    </w:pPr>
  </w:style>
  <w:style w:type="paragraph" w:styleId="193">
    <w:name w:val="toc 5"/>
    <w:basedOn w:val="668"/>
    <w:next w:val="668"/>
    <w:uiPriority w:val="39"/>
    <w:unhideWhenUsed/>
    <w:pPr>
      <w:pBdr/>
      <w:spacing w:after="100"/>
      <w:ind w:left="880"/>
    </w:pPr>
  </w:style>
  <w:style w:type="paragraph" w:styleId="194">
    <w:name w:val="toc 6"/>
    <w:basedOn w:val="668"/>
    <w:next w:val="668"/>
    <w:uiPriority w:val="39"/>
    <w:unhideWhenUsed/>
    <w:pPr>
      <w:pBdr/>
      <w:spacing w:after="100"/>
      <w:ind w:left="1100"/>
    </w:pPr>
  </w:style>
  <w:style w:type="paragraph" w:styleId="195">
    <w:name w:val="toc 7"/>
    <w:basedOn w:val="668"/>
    <w:next w:val="668"/>
    <w:uiPriority w:val="39"/>
    <w:unhideWhenUsed/>
    <w:pPr>
      <w:pBdr/>
      <w:spacing w:after="100"/>
      <w:ind w:left="1320"/>
    </w:pPr>
  </w:style>
  <w:style w:type="paragraph" w:styleId="196">
    <w:name w:val="toc 8"/>
    <w:basedOn w:val="668"/>
    <w:next w:val="668"/>
    <w:uiPriority w:val="39"/>
    <w:unhideWhenUsed/>
    <w:pPr>
      <w:pBdr/>
      <w:spacing w:after="100"/>
      <w:ind w:left="1540"/>
    </w:pPr>
  </w:style>
  <w:style w:type="paragraph" w:styleId="197">
    <w:name w:val="toc 9"/>
    <w:basedOn w:val="668"/>
    <w:next w:val="668"/>
    <w:uiPriority w:val="39"/>
    <w:unhideWhenUsed/>
    <w:pPr>
      <w:pBdr/>
      <w:spacing w:after="100"/>
      <w:ind w:left="1760"/>
    </w:pPr>
  </w:style>
  <w:style w:type="character" w:styleId="198">
    <w:name w:val="Placeholder Text"/>
    <w:basedOn w:val="67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8"/>
    <w:next w:val="668"/>
    <w:uiPriority w:val="99"/>
    <w:unhideWhenUsed/>
    <w:pPr>
      <w:pBdr/>
      <w:spacing w:after="0" w:afterAutospacing="0"/>
      <w:ind/>
    </w:pPr>
  </w:style>
  <w:style w:type="paragraph" w:styleId="668" w:default="1">
    <w:name w:val="Normal"/>
    <w:qFormat/>
    <w:pPr>
      <w:pBdr/>
      <w:spacing/>
      <w:ind/>
    </w:pPr>
  </w:style>
  <w:style w:type="paragraph" w:styleId="669">
    <w:name w:val="Heading 1"/>
    <w:basedOn w:val="668"/>
    <w:next w:val="668"/>
    <w:link w:val="674"/>
    <w:uiPriority w:val="9"/>
    <w:qFormat/>
    <w:pPr>
      <w:keepNext w:val="true"/>
      <w:keepLines w:val="true"/>
      <w:pBdr/>
      <w:spacing w:after="0" w:before="240"/>
      <w:ind/>
      <w:outlineLvl w:val="0"/>
    </w:pPr>
    <w:rPr>
      <w:rFonts w:asciiTheme="majorHAnsi" w:hAnsiTheme="majorHAnsi" w:eastAsiaTheme="majorEastAsia" w:cstheme="majorBidi"/>
      <w:color w:val="2e74b5" w:themeColor="accent1" w:themeShade="BF"/>
      <w:sz w:val="32"/>
      <w:szCs w:val="32"/>
    </w:rPr>
  </w:style>
  <w:style w:type="character" w:styleId="670" w:default="1">
    <w:name w:val="Default Paragraph Font"/>
    <w:uiPriority w:val="1"/>
    <w:semiHidden/>
    <w:unhideWhenUsed/>
    <w:pPr>
      <w:pBdr/>
      <w:spacing/>
      <w:ind/>
    </w:pPr>
  </w:style>
  <w:style w:type="table" w:styleId="6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2" w:default="1">
    <w:name w:val="No List"/>
    <w:uiPriority w:val="99"/>
    <w:semiHidden/>
    <w:unhideWhenUsed/>
    <w:pPr>
      <w:pBdr/>
      <w:spacing/>
      <w:ind/>
    </w:pPr>
  </w:style>
  <w:style w:type="paragraph" w:styleId="673">
    <w:name w:val="List Paragraph"/>
    <w:basedOn w:val="668"/>
    <w:uiPriority w:val="34"/>
    <w:qFormat/>
    <w:pPr>
      <w:pBdr/>
      <w:spacing/>
      <w:ind w:left="720"/>
      <w:contextualSpacing w:val="true"/>
    </w:pPr>
  </w:style>
  <w:style w:type="character" w:styleId="674" w:customStyle="1">
    <w:name w:val="Titre 1 Car"/>
    <w:basedOn w:val="670"/>
    <w:link w:val="669"/>
    <w:uiPriority w:val="9"/>
    <w:pPr>
      <w:pBdr/>
      <w:spacing/>
      <w:ind/>
    </w:pPr>
    <w:rPr>
      <w:rFonts w:asciiTheme="majorHAnsi" w:hAnsiTheme="majorHAnsi" w:eastAsiaTheme="majorEastAsia" w:cstheme="majorBidi"/>
      <w:color w:val="2e74b5" w:themeColor="accent1" w:themeShade="BF"/>
      <w:sz w:val="32"/>
      <w:szCs w:val="32"/>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FSuszko</dc:creator>
  <cp:keywords/>
  <dc:description/>
  <cp:lastModifiedBy>fsuszko</cp:lastModifiedBy>
  <cp:revision>9</cp:revision>
  <dcterms:created xsi:type="dcterms:W3CDTF">2026-06-23T12:20:00Z</dcterms:created>
  <dcterms:modified xsi:type="dcterms:W3CDTF">2026-07-30T20:34:41Z</dcterms:modified>
</cp:coreProperties>
</file>