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t xml:space="preserve">Juridissima</w:t>
      </w:r>
      <w:r/>
    </w:p>
    <w:p>
      <w:pPr>
        <w:pBdr/>
        <w:spacing/>
        <w:ind/>
        <w:rPr/>
      </w:pPr>
      <w:r>
        <w:t xml:space="preserve">Juridissima</w:t>
      </w:r>
      <w:r>
        <w:t xml:space="preserve"> : objet documentaire et de recherche construit sur un réseau de bibliothécaires experts et d’enseignants-chercheurs et chercheurs en sciences juridiques. </w:t>
      </w:r>
      <w:r/>
    </w:p>
    <w:p>
      <w:pPr>
        <w:pBdr/>
        <w:spacing/>
        <w:ind/>
        <w:rPr/>
      </w:pPr>
      <w:r>
        <w:t xml:space="preserve">Volonté de répondre à plusieurs objectifs : </w:t>
      </w:r>
      <w:r/>
    </w:p>
    <w:p>
      <w:pPr>
        <w:pStyle w:val="676"/>
        <w:numPr>
          <w:ilvl w:val="0"/>
          <w:numId w:val="1"/>
        </w:numPr>
        <w:pBdr/>
        <w:spacing/>
        <w:ind/>
        <w:rPr/>
      </w:pPr>
      <w:r>
        <w:t xml:space="preserve">Offrir un portail juridique national à vocation documentaire</w:t>
      </w:r>
      <w:r/>
    </w:p>
    <w:p>
      <w:pPr>
        <w:pStyle w:val="676"/>
        <w:numPr>
          <w:ilvl w:val="0"/>
          <w:numId w:val="1"/>
        </w:numPr>
        <w:pBdr/>
        <w:spacing/>
        <w:ind/>
        <w:rPr/>
      </w:pPr>
      <w:r>
        <w:t xml:space="preserve">Proposer une plateforme intégratrice de métadonnées ouvertes en sciences juridiques</w:t>
      </w:r>
      <w:r/>
    </w:p>
    <w:p>
      <w:pPr>
        <w:pStyle w:val="676"/>
        <w:numPr>
          <w:ilvl w:val="0"/>
          <w:numId w:val="1"/>
        </w:numPr>
        <w:pBdr/>
        <w:spacing/>
        <w:ind/>
        <w:rPr/>
      </w:pPr>
      <w:r>
        <w:t xml:space="preserve">Développer une offre de service centrés sur les sciences juridiques</w:t>
      </w:r>
      <w:r/>
    </w:p>
    <w:p>
      <w:pPr>
        <w:pStyle w:val="676"/>
        <w:numPr>
          <w:ilvl w:val="0"/>
          <w:numId w:val="1"/>
        </w:numPr>
        <w:pBdr/>
        <w:spacing/>
        <w:ind/>
        <w:rPr/>
      </w:pPr>
      <w:r>
        <w:t xml:space="preserve">Fédérer un réseau de bibliothèques juridiques dans et hors de l’ESR</w:t>
      </w:r>
      <w:r/>
    </w:p>
    <w:p>
      <w:pPr>
        <w:pBdr/>
        <w:spacing/>
        <w:ind/>
        <w:rPr/>
      </w:pPr>
      <w:r>
        <w:t xml:space="preserve">Dispositif fédérateur et intégrateur construit sur une cohérence disciplinaire. </w:t>
      </w:r>
      <w:r/>
    </w:p>
    <w:p>
      <w:pPr>
        <w:pBdr/>
        <w:spacing/>
        <w:ind/>
        <w:rPr/>
      </w:pPr>
      <w:r>
        <w:t xml:space="preserve">Appuie sur une offre documentaire répartie sur tout le territoire, valorisant ainsi les ressources au plus près des utilisateurs.</w:t>
      </w:r>
      <w:r/>
    </w:p>
    <w:p>
      <w:pPr>
        <w:pBdr/>
        <w:spacing/>
        <w:ind/>
        <w:rPr/>
      </w:pPr>
      <w:r>
        <w:t xml:space="preserve">Fédérer les force set moyens pour le développement de services aux chercheurs dans le domaine juridique, il développe et renforce une expertise répartie au sein d’un réseau avec la double compétence bibliothéconomique et juridique.</w:t>
      </w:r>
      <w:r/>
    </w:p>
    <w:p>
      <w:pPr>
        <w:pBdr/>
        <w:spacing/>
        <w:ind/>
        <w:rPr/>
      </w:pPr>
      <w:r>
        <w:t xml:space="preserve">Déploiement sur 7 axes. Trois programmes nationaux : signalement et cartographie, numérisation et acquisition de ressources documentaires numériques.</w:t>
      </w:r>
      <w:r/>
    </w:p>
    <w:p>
      <w:pPr>
        <w:pBdr/>
        <w:spacing/>
        <w:ind/>
        <w:rPr/>
      </w:pPr>
      <w:r>
        <w:t xml:space="preserve">Appréhendé :</w:t>
      </w:r>
      <w:r/>
    </w:p>
    <w:p>
      <w:pPr>
        <w:pStyle w:val="676"/>
        <w:numPr>
          <w:ilvl w:val="0"/>
          <w:numId w:val="1"/>
        </w:numPr>
        <w:pBdr/>
        <w:spacing/>
        <w:ind/>
        <w:rPr/>
      </w:pPr>
      <w:r>
        <w:t xml:space="preserve">comme</w:t>
      </w:r>
      <w:r>
        <w:t xml:space="preserve"> un unique programme </w:t>
      </w:r>
      <w:r>
        <w:t xml:space="preserve">CollEx</w:t>
      </w:r>
      <w:r>
        <w:t xml:space="preserve"> décliné en sous-programmes opérationnels, avec à chaque fois un objet précis ou une thématique porteuse d’actions, un périmètre d’acteurs, une temporalité, un livrable attendu ou la création d’une offre de service à maintenir.</w:t>
      </w:r>
      <w:r/>
    </w:p>
    <w:p>
      <w:pPr>
        <w:pStyle w:val="676"/>
        <w:numPr>
          <w:ilvl w:val="0"/>
          <w:numId w:val="1"/>
        </w:numPr>
        <w:pBdr/>
        <w:spacing/>
        <w:ind/>
        <w:rPr/>
      </w:pPr>
      <w:r>
        <w:t xml:space="preserve">Cadre de cohérence dont certaines actions sont signalées sans être intégrées dans un sous-programme </w:t>
      </w:r>
      <w:r>
        <w:t xml:space="preserve">CollEx</w:t>
      </w:r>
      <w:r>
        <w:t xml:space="preserve">.</w:t>
      </w:r>
      <w:r/>
    </w:p>
    <w:p>
      <w:pPr>
        <w:pBdr/>
        <w:spacing/>
        <w:ind/>
        <w:rPr/>
      </w:pPr>
      <w:r>
        <w:t xml:space="preserve">Sous-programme : </w:t>
      </w:r>
      <w:r/>
    </w:p>
    <w:p>
      <w:pPr>
        <w:pStyle w:val="676"/>
        <w:numPr>
          <w:ilvl w:val="0"/>
          <w:numId w:val="1"/>
        </w:numPr>
        <w:pBdr/>
        <w:spacing/>
        <w:ind/>
        <w:rPr/>
      </w:pPr>
      <w:r>
        <w:t xml:space="preserve">Pré AMI </w:t>
      </w:r>
      <w:r>
        <w:t xml:space="preserve">CollEx</w:t>
      </w:r>
      <w:r/>
    </w:p>
    <w:p>
      <w:pPr>
        <w:pBdr/>
        <w:spacing/>
        <w:ind/>
        <w:rPr/>
      </w:pPr>
      <w:r>
        <w:t xml:space="preserve">Gouvernance : </w:t>
      </w:r>
      <w:r/>
    </w:p>
    <w:p>
      <w:pPr>
        <w:pStyle w:val="676"/>
        <w:numPr>
          <w:ilvl w:val="0"/>
          <w:numId w:val="1"/>
        </w:numPr>
        <w:pBdr/>
        <w:spacing/>
        <w:ind/>
        <w:rPr/>
      </w:pPr>
      <w:r>
        <w:t xml:space="preserve">Dispositif à deux niveaux : gouvernance stratégique au niveau du programme pour définir la politique scientifique, arrêter les lignes directrices, procéder aux arbitrages et évaluer les différentes actions menées au niveau des sous-</w:t>
      </w:r>
      <w:r>
        <w:t xml:space="preserve">prog</w:t>
      </w:r>
      <w:r>
        <w:t xml:space="preserve">.</w:t>
      </w:r>
      <w:r/>
    </w:p>
    <w:p>
      <w:pPr>
        <w:pBdr/>
        <w:spacing/>
        <w:ind/>
        <w:rPr/>
      </w:pPr>
      <w:r/>
      <w:r/>
    </w:p>
    <w:p>
      <w:pPr>
        <w:pBdr/>
        <w:spacing/>
        <w:ind/>
        <w:rPr/>
      </w:pPr>
      <w:r>
        <w:t xml:space="preserve">Pourquoi développer une nouvelle infrastructure ?</w:t>
      </w:r>
      <w:r/>
    </w:p>
    <w:p>
      <w:pPr>
        <w:pBdr/>
        <w:spacing/>
        <w:ind/>
        <w:rPr/>
      </w:pPr>
      <w:r>
        <w:t xml:space="preserve">Questionnements : quels sont les bénéfices attendus pour les utilisateurs et pour les producteurs d’informations ? quelle est la viabilité à moyen et long terme de ce type d’approche ?</w:t>
      </w:r>
      <w:r/>
    </w:p>
    <w:p>
      <w:pPr>
        <w:pBdr/>
        <w:spacing/>
        <w:ind/>
        <w:rPr/>
      </w:pPr>
      <w:r>
        <w:t xml:space="preserve">Sens d’une infrastructure :</w:t>
      </w:r>
      <w:r/>
    </w:p>
    <w:p>
      <w:pPr>
        <w:pStyle w:val="676"/>
        <w:numPr>
          <w:ilvl w:val="0"/>
          <w:numId w:val="1"/>
        </w:numPr>
        <w:pBdr/>
        <w:spacing/>
        <w:ind/>
        <w:rPr/>
      </w:pPr>
      <w:r>
        <w:t xml:space="preserve">Offrir un service qui n’est pas rendu par ailleurs, plus le service est essentiel plus l’infrastructure est légitime et utile, porteuse d’innovations.</w:t>
      </w:r>
      <w:r/>
    </w:p>
    <w:p>
      <w:pPr>
        <w:pStyle w:val="676"/>
        <w:numPr>
          <w:ilvl w:val="0"/>
          <w:numId w:val="1"/>
        </w:numPr>
        <w:pBdr/>
        <w:spacing/>
        <w:ind/>
        <w:rPr/>
      </w:pPr>
      <w:r>
        <w:t xml:space="preserve">Fédérer des services et des ressources similaires, pour passer d’une logique de desserte locale ou sectorielle à une desserte plus importante, plus large. Changement d’échelle : </w:t>
      </w:r>
      <w:r>
        <w:t xml:space="preserve">mutualisation des moyens, regroupe les acteurs et assurer un développement de l’efficience du dispositif.</w:t>
      </w:r>
      <w:r/>
    </w:p>
    <w:p>
      <w:pPr>
        <w:pStyle w:val="676"/>
        <w:numPr>
          <w:ilvl w:val="0"/>
          <w:numId w:val="1"/>
        </w:numPr>
        <w:pBdr/>
        <w:spacing/>
        <w:ind/>
        <w:rPr/>
      </w:pPr>
      <w:r>
        <w:t xml:space="preserve">Garantir et favoriser la réutilisation de la production (métadonnées, informations, services, etc…) en renforçant l’accessibilité, l’interopérabilité et la visibilité.</w:t>
      </w:r>
      <w:r/>
    </w:p>
    <w:p>
      <w:pPr>
        <w:pStyle w:val="676"/>
        <w:numPr>
          <w:ilvl w:val="0"/>
          <w:numId w:val="1"/>
        </w:numPr>
        <w:pBdr/>
        <w:spacing/>
        <w:ind/>
        <w:rPr/>
      </w:pPr>
      <w:r>
        <w:t xml:space="preserve">Assurer la pérennité des dispositifs mis en place ne s’appuyant sur une organisation solide constituée de partenaires investis d’une mission, agissant au sein d’un réseau</w:t>
      </w:r>
      <w:r/>
    </w:p>
    <w:p>
      <w:pPr>
        <w:pBdr/>
        <w:spacing/>
        <w:ind/>
        <w:rPr/>
      </w:pPr>
      <w:r>
        <w:t xml:space="preserve">Ambition de </w:t>
      </w:r>
      <w:r>
        <w:t xml:space="preserve">Juridissima</w:t>
      </w:r>
      <w:r>
        <w:t xml:space="preserve"> :</w:t>
      </w:r>
      <w:r/>
    </w:p>
    <w:p>
      <w:pPr>
        <w:pStyle w:val="676"/>
        <w:numPr>
          <w:ilvl w:val="0"/>
          <w:numId w:val="1"/>
        </w:numPr>
        <w:pBdr/>
        <w:spacing/>
        <w:ind/>
        <w:rPr/>
      </w:pPr>
      <w:r>
        <w:t xml:space="preserve">Un dispositif d’identification des ressources documentaires juridiques avec un large spectre en termes de nature des entités décrites, allant au-delà des seules publications</w:t>
      </w:r>
      <w:r/>
    </w:p>
    <w:p>
      <w:pPr>
        <w:pStyle w:val="676"/>
        <w:numPr>
          <w:ilvl w:val="0"/>
          <w:numId w:val="1"/>
        </w:numPr>
        <w:pBdr/>
        <w:spacing/>
        <w:ind/>
        <w:rPr/>
      </w:pPr>
      <w:r>
        <w:t xml:space="preserve">Une plateforme d’agrégation de ressource set de </w:t>
      </w:r>
      <w:r>
        <w:t xml:space="preserve">rpoductions</w:t>
      </w:r>
      <w:r>
        <w:t xml:space="preserve"> actuellement disséminées et reposant sur des initiatives locale ou nationale avec des moyens limités et souvent non connectées avec d’autres initiatives du même type</w:t>
      </w:r>
      <w:r/>
    </w:p>
    <w:p>
      <w:pPr>
        <w:pStyle w:val="676"/>
        <w:numPr>
          <w:ilvl w:val="0"/>
          <w:numId w:val="1"/>
        </w:numPr>
        <w:pBdr/>
        <w:spacing/>
        <w:ind/>
        <w:rPr/>
      </w:pPr>
      <w:r>
        <w:t xml:space="preserve">Une plateforme nativement pensée pour être ouverte techniquement et juridiquement</w:t>
      </w:r>
      <w:r/>
    </w:p>
    <w:p>
      <w:pPr>
        <w:pStyle w:val="676"/>
        <w:numPr>
          <w:ilvl w:val="0"/>
          <w:numId w:val="1"/>
        </w:numPr>
        <w:pBdr/>
        <w:spacing/>
        <w:ind/>
        <w:rPr/>
      </w:pPr>
      <w:r>
        <w:t xml:space="preserve">Un dispositif construit dès son origine sur un réseau de contributeur afin d’assurer la dissémination et la pérennité</w:t>
      </w:r>
      <w:r/>
    </w:p>
    <w:p>
      <w:pPr>
        <w:pBdr/>
        <w:spacing/>
        <w:ind w:left="360"/>
        <w:rPr/>
      </w:pPr>
      <w:r/>
      <w:r/>
    </w:p>
    <w:p>
      <w:pPr>
        <w:pBdr/>
        <w:spacing/>
        <w:ind w:left="360"/>
        <w:rPr/>
      </w:pPr>
      <w:r>
        <w:t xml:space="preserve">Juridissima</w:t>
      </w:r>
      <w:r>
        <w:t xml:space="preserve"> et son </w:t>
      </w:r>
      <w:r>
        <w:t xml:space="preserve">environnemnet</w:t>
      </w:r>
      <w:r>
        <w:t xml:space="preserve"> </w:t>
      </w:r>
      <w:r/>
    </w:p>
    <w:p>
      <w:pPr>
        <w:pBdr/>
        <w:spacing/>
        <w:ind w:left="360"/>
        <w:rPr/>
      </w:pPr>
      <w:r/>
      <w:r/>
    </w:p>
    <w:p>
      <w:pPr>
        <w:pBdr/>
        <w:spacing/>
        <w:ind/>
        <w:jc w:val="center"/>
        <w:rPr/>
      </w:pPr>
      <w:r>
        <w:rPr>
          <w:lang w:eastAsia="fr-FR"/>
        </w:rPr>
        <mc:AlternateContent>
          <mc:Choice Requires="wpg">
            <w:drawing>
              <wp:inline xmlns:wp="http://schemas.openxmlformats.org/drawingml/2006/wordprocessingDrawing" distT="0" distB="0" distL="0" distR="0">
                <wp:extent cx="4905375" cy="32575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9">
                          <a:extLst>
                            <a:ext uri="{96DAC541-7B7A-43D3-8B79-37D633B846F1}">
                              <asvg:svgBlip xmlns:asvg="http://schemas.microsoft.com/office/drawing/2016/SVG/main" r:embed="rId10"/>
                            </a:ext>
                          </a:extLst>
                        </a:blip>
                        <a:stretch/>
                      </pic:blipFill>
                      <pic:spPr bwMode="auto">
                        <a:xfrm>
                          <a:off x="0" y="0"/>
                          <a:ext cx="4905375" cy="32575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6.25pt;height:256.50pt;mso-wrap-distance-left:0.00pt;mso-wrap-distance-top:0.00pt;mso-wrap-distance-right:0.00pt;mso-wrap-distance-bottom:0.00pt;z-index:1;" stroked="f">
                <v:imagedata r:id="rId9" o:title=""/>
                <o:lock v:ext="edit" rotation="t"/>
              </v:shape>
            </w:pict>
          </mc:Fallback>
        </mc:AlternateContent>
      </w:r>
      <w:r/>
    </w:p>
    <w:p>
      <w:pPr>
        <w:pBdr/>
        <w:spacing/>
        <w:ind/>
        <w:rPr/>
      </w:pPr>
      <w:r>
        <w:t xml:space="preserve">Axes de développement :</w:t>
      </w:r>
      <w:r/>
    </w:p>
    <w:p>
      <w:pPr>
        <w:pBdr/>
        <w:spacing/>
        <w:ind/>
        <w:jc w:val="center"/>
        <w:rPr/>
      </w:pPr>
      <w:r>
        <w:rPr>
          <w:lang w:eastAsia="fr-FR"/>
        </w:rPr>
        <mc:AlternateContent>
          <mc:Choice Requires="wpg">
            <w:drawing>
              <wp:inline xmlns:wp="http://schemas.openxmlformats.org/drawingml/2006/wordprocessingDrawing" distT="0" distB="0" distL="0" distR="0">
                <wp:extent cx="4981575" cy="3409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1">
                          <a:extLst>
                            <a:ext uri="{96DAC541-7B7A-43D3-8B79-37D633B846F1}">
                              <asvg:svgBlip xmlns:asvg="http://schemas.microsoft.com/office/drawing/2016/SVG/main" r:embed="rId12"/>
                            </a:ext>
                          </a:extLst>
                        </a:blip>
                        <a:stretch/>
                      </pic:blipFill>
                      <pic:spPr bwMode="auto">
                        <a:xfrm>
                          <a:off x="0" y="0"/>
                          <a:ext cx="4981575" cy="34099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2.25pt;height:268.50pt;mso-wrap-distance-left:0.00pt;mso-wrap-distance-top:0.00pt;mso-wrap-distance-right:0.00pt;mso-wrap-distance-bottom:0.00pt;z-index:1;" stroked="f">
                <v:imagedata r:id="rId11" o:title=""/>
                <o:lock v:ext="edit" rotation="t"/>
              </v:shape>
            </w:pict>
          </mc:Fallback>
        </mc:AlternateContent>
      </w:r>
      <w:r/>
    </w:p>
    <w:p>
      <w:pPr>
        <w:pBdr/>
        <w:spacing/>
        <w:ind/>
        <w:rPr/>
      </w:pPr>
      <w:r/>
      <w:r/>
    </w:p>
    <w:p>
      <w:pPr>
        <w:pBdr/>
        <w:tabs>
          <w:tab w:val="left" w:leader="none" w:pos="5565"/>
        </w:tabs>
        <w:spacing/>
        <w:ind/>
        <w:jc w:val="both"/>
        <w:rPr/>
      </w:pPr>
      <w:r>
        <w:tab/>
      </w:r>
      <w:r/>
    </w:p>
    <w:p>
      <w:pPr>
        <w:pBdr/>
        <w:tabs>
          <w:tab w:val="left" w:leader="none" w:pos="5565"/>
        </w:tabs>
        <w:spacing/>
        <w:ind/>
        <w:jc w:val="both"/>
        <w:rPr/>
      </w:pPr>
      <w:r>
        <w:t xml:space="preserve">Développement de bases de signalement : mutualisation et dispersion</w:t>
      </w:r>
      <w:r/>
    </w:p>
    <w:p>
      <w:pPr>
        <w:pBdr/>
        <w:tabs>
          <w:tab w:val="left" w:leader="none" w:pos="5565"/>
        </w:tabs>
        <w:spacing/>
        <w:ind/>
        <w:jc w:val="both"/>
        <w:rPr/>
      </w:pPr>
      <w:r>
        <w:t xml:space="preserve">Plusieurs chantiers de signalement et la création de bases pour recueillir ces données. Volonté : pas s’engager dans un dispositif de dispersion des données et de prolifération d’infrastructure techniques à développer et à maintenir. </w:t>
      </w:r>
      <w:r/>
    </w:p>
    <w:p>
      <w:pPr>
        <w:pBdr/>
        <w:tabs>
          <w:tab w:val="left" w:leader="none" w:pos="5565"/>
        </w:tabs>
        <w:spacing/>
        <w:ind/>
        <w:jc w:val="both"/>
        <w:rPr/>
      </w:pPr>
      <w:r>
        <w:t xml:space="preserve">Développement d’un outil unique de production permettant de recueillir et de produire des données </w:t>
      </w:r>
      <w:r>
        <w:t xml:space="preserve">tructurées</w:t>
      </w:r>
      <w:r>
        <w:t xml:space="preserve">, qui pourront intégrer la base </w:t>
      </w:r>
      <w:r>
        <w:t xml:space="preserve">scienceplus</w:t>
      </w:r>
      <w:r>
        <w:t xml:space="preserve"> développé par l’ABES.</w:t>
      </w:r>
      <w:r/>
    </w:p>
    <w:p>
      <w:pPr>
        <w:pBdr/>
        <w:tabs>
          <w:tab w:val="left" w:leader="none" w:pos="5565"/>
        </w:tabs>
        <w:spacing/>
        <w:ind/>
        <w:jc w:val="both"/>
        <w:rPr/>
      </w:pPr>
      <w:r>
        <w:t xml:space="preserve">Base structurée : format RDF = grande souplesse dans l’ingestion de données et en export de données. Automatiser en grande </w:t>
      </w:r>
      <w:r>
        <w:t xml:space="preserve">partiel’établissement</w:t>
      </w:r>
      <w:r>
        <w:t xml:space="preserve"> de liens entre les données versées et de mobiliser un grand nombre de référentiels, produisant un enrichissement des données.</w:t>
      </w:r>
      <w:r/>
    </w:p>
    <w:p>
      <w:pPr>
        <w:pBdr/>
        <w:tabs>
          <w:tab w:val="left" w:leader="none" w:pos="5565"/>
        </w:tabs>
        <w:spacing/>
        <w:ind/>
        <w:jc w:val="both"/>
        <w:rPr/>
      </w:pPr>
      <w:r>
        <w:t xml:space="preserve">3 niveaux à différencier : </w:t>
      </w:r>
      <w:r/>
    </w:p>
    <w:p>
      <w:pPr>
        <w:pStyle w:val="676"/>
        <w:numPr>
          <w:ilvl w:val="0"/>
          <w:numId w:val="1"/>
        </w:numPr>
        <w:pBdr/>
        <w:tabs>
          <w:tab w:val="left" w:leader="none" w:pos="5565"/>
        </w:tabs>
        <w:spacing/>
        <w:ind/>
        <w:jc w:val="both"/>
        <w:rPr/>
      </w:pPr>
      <w:r>
        <w:t xml:space="preserve">Base : ensemble de métadonnées, sur un socle technique permettant de gérer l’hétérogénéité des entités décrites, tout en permettant la production de services construits sur des sous-ensembles de métadonnées homogènes.</w:t>
      </w:r>
      <w:r/>
    </w:p>
    <w:p>
      <w:pPr>
        <w:pStyle w:val="676"/>
        <w:numPr>
          <w:ilvl w:val="0"/>
          <w:numId w:val="1"/>
        </w:numPr>
        <w:pBdr/>
        <w:tabs>
          <w:tab w:val="left" w:leader="none" w:pos="5565"/>
        </w:tabs>
        <w:spacing/>
        <w:ind/>
        <w:jc w:val="both"/>
        <w:rPr/>
      </w:pPr>
      <w:r>
        <w:t xml:space="preserve">Formats utilisés : exploiter les </w:t>
      </w:r>
      <w:r>
        <w:t xml:space="preserve">donées</w:t>
      </w:r>
      <w:r>
        <w:t xml:space="preserve"> de la base en fonction des service </w:t>
      </w:r>
      <w:r>
        <w:t xml:space="preserve">sà</w:t>
      </w:r>
      <w:r>
        <w:t xml:space="preserve"> produire.</w:t>
      </w:r>
      <w:r/>
    </w:p>
    <w:p>
      <w:pPr>
        <w:pStyle w:val="676"/>
        <w:numPr>
          <w:ilvl w:val="0"/>
          <w:numId w:val="1"/>
        </w:numPr>
        <w:pBdr/>
        <w:tabs>
          <w:tab w:val="left" w:leader="none" w:pos="5565"/>
        </w:tabs>
        <w:spacing/>
        <w:ind/>
        <w:jc w:val="both"/>
        <w:rPr/>
      </w:pPr>
      <w:r>
        <w:t xml:space="preserve">Infrastructure technique qui gèrera la base et reposera sur une solution logicielle de base de données(</w:t>
      </w:r>
      <w:r>
        <w:t xml:space="preserve">bdd</w:t>
      </w:r>
      <w:r>
        <w:t xml:space="preserve">), de préférence utilisant des logiciels open source adossés à une communauté solide.</w:t>
      </w:r>
      <w:r/>
    </w:p>
    <w:p>
      <w:pPr>
        <w:pBdr/>
        <w:tabs>
          <w:tab w:val="left" w:leader="none" w:pos="5565"/>
        </w:tabs>
        <w:spacing/>
        <w:ind/>
        <w:jc w:val="both"/>
        <w:rPr/>
      </w:pPr>
      <w:r>
        <w:t xml:space="preserve">Description scientifique du programme : </w:t>
      </w: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Le socle technique de </w:t>
      </w:r>
      <w:r>
        <w:rPr>
          <w:rFonts w:ascii="Times New Roman" w:hAnsi="Times New Roman" w:cs="Times New Roman"/>
          <w:sz w:val="24"/>
          <w:szCs w:val="20"/>
        </w:rPr>
        <w:t xml:space="preserve">Juridissima</w:t>
      </w:r>
      <w:r>
        <w:rPr>
          <w:rFonts w:ascii="Times New Roman" w:hAnsi="Times New Roman" w:cs="Times New Roman"/>
          <w:sz w:val="24"/>
          <w:szCs w:val="20"/>
        </w:rPr>
        <w:t xml:space="preserve"> est l’infrastructure permettant de mettre en </w:t>
      </w:r>
      <w:r>
        <w:rPr>
          <w:rFonts w:ascii="Times New Roman" w:hAnsi="Times New Roman" w:cs="Times New Roman"/>
          <w:sz w:val="24"/>
          <w:szCs w:val="20"/>
        </w:rPr>
        <w:t xml:space="preserve">oeuvre</w:t>
      </w:r>
      <w:r>
        <w:rPr>
          <w:rFonts w:ascii="Times New Roman" w:hAnsi="Times New Roman" w:cs="Times New Roman"/>
          <w:sz w:val="24"/>
          <w:szCs w:val="20"/>
        </w:rPr>
        <w:t xml:space="preserve">, en totalité ou en partie, les sous-programmes </w:t>
      </w:r>
      <w:r>
        <w:rPr>
          <w:rFonts w:ascii="Times New Roman" w:hAnsi="Times New Roman" w:cs="Times New Roman"/>
          <w:sz w:val="24"/>
          <w:szCs w:val="20"/>
        </w:rPr>
        <w:t xml:space="preserve">Juris</w:t>
      </w:r>
      <w:r>
        <w:rPr>
          <w:rFonts w:ascii="Times New Roman" w:hAnsi="Times New Roman" w:cs="Times New Roman"/>
          <w:sz w:val="24"/>
          <w:szCs w:val="20"/>
        </w:rPr>
        <w:t xml:space="preserve">-MEL, </w:t>
      </w:r>
      <w:r>
        <w:rPr>
          <w:rFonts w:ascii="Times New Roman" w:hAnsi="Times New Roman" w:cs="Times New Roman"/>
          <w:sz w:val="24"/>
          <w:szCs w:val="20"/>
        </w:rPr>
        <w:t xml:space="preserve">Juris</w:t>
      </w:r>
      <w:r>
        <w:rPr>
          <w:rFonts w:ascii="Times New Roman" w:hAnsi="Times New Roman" w:cs="Times New Roman"/>
          <w:sz w:val="24"/>
          <w:szCs w:val="20"/>
        </w:rPr>
        <w:t xml:space="preserve">-TOC, </w:t>
      </w:r>
      <w:r>
        <w:rPr>
          <w:rFonts w:ascii="Times New Roman" w:hAnsi="Times New Roman" w:cs="Times New Roman"/>
          <w:sz w:val="24"/>
          <w:szCs w:val="20"/>
        </w:rPr>
        <w:t xml:space="preserve">Juris</w:t>
      </w:r>
      <w:r>
        <w:rPr>
          <w:rFonts w:ascii="Times New Roman" w:hAnsi="Times New Roman" w:cs="Times New Roman"/>
          <w:sz w:val="24"/>
          <w:szCs w:val="20"/>
        </w:rPr>
        <w:t xml:space="preserve">-PLUS et </w:t>
      </w:r>
      <w:r>
        <w:rPr>
          <w:rFonts w:ascii="Times New Roman" w:hAnsi="Times New Roman" w:cs="Times New Roman"/>
          <w:sz w:val="24"/>
          <w:szCs w:val="20"/>
        </w:rPr>
        <w:t xml:space="preserve">Juris</w:t>
      </w:r>
      <w:r>
        <w:rPr>
          <w:rFonts w:ascii="Times New Roman" w:hAnsi="Times New Roman" w:cs="Times New Roman"/>
          <w:sz w:val="24"/>
          <w:szCs w:val="20"/>
        </w:rPr>
        <w:t xml:space="preserve">-THESES. </w:t>
      </w:r>
      <w:r>
        <w:rPr>
          <w:rFonts w:ascii="Times New Roman" w:hAnsi="Times New Roman" w:cs="Times New Roman"/>
          <w:sz w:val="24"/>
          <w:szCs w:val="20"/>
        </w:rPr>
        <w:t xml:space="preserve">Juridissima</w:t>
      </w:r>
      <w:r>
        <w:rPr>
          <w:rFonts w:ascii="Times New Roman" w:hAnsi="Times New Roman" w:cs="Times New Roman"/>
          <w:sz w:val="24"/>
          <w:szCs w:val="20"/>
        </w:rPr>
        <w:t xml:space="preserve"> étant amené à ingérer des métadonnées existantes, à produire des métadonnées </w:t>
      </w:r>
      <w:r>
        <w:rPr>
          <w:rFonts w:ascii="Times New Roman" w:hAnsi="Times New Roman" w:cs="Times New Roman"/>
          <w:sz w:val="24"/>
          <w:szCs w:val="20"/>
        </w:rPr>
        <w:t xml:space="preserve">propres et à enrichir les corpus avec des référentiels externes, une plateforme technique est nécessaire.</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Cette plateforme gère des métadonnées de contenus différents, principalement :</w:t>
      </w:r>
      <w:r>
        <w:rPr>
          <w:rFonts w:ascii="Times New Roman" w:hAnsi="Times New Roman" w:cs="Times New Roman"/>
          <w:sz w:val="24"/>
          <w:szCs w:val="20"/>
        </w:rPr>
      </w:r>
    </w:p>
    <w:p>
      <w:pPr>
        <w:pStyle w:val="676"/>
        <w:numPr>
          <w:ilvl w:val="0"/>
          <w:numId w:val="3"/>
        </w:num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contributions</w:t>
      </w:r>
      <w:r>
        <w:rPr>
          <w:rFonts w:ascii="Times New Roman" w:hAnsi="Times New Roman" w:cs="Times New Roman"/>
          <w:sz w:val="24"/>
          <w:szCs w:val="20"/>
        </w:rPr>
        <w:t xml:space="preserve"> dans des ouvrages collectifs et ouvrages eux-mêmes (2 niveaux)</w:t>
      </w:r>
      <w:r>
        <w:rPr>
          <w:rFonts w:ascii="Times New Roman" w:hAnsi="Times New Roman" w:cs="Times New Roman"/>
          <w:sz w:val="24"/>
          <w:szCs w:val="20"/>
        </w:rPr>
      </w:r>
    </w:p>
    <w:p>
      <w:pPr>
        <w:pStyle w:val="676"/>
        <w:numPr>
          <w:ilvl w:val="0"/>
          <w:numId w:val="3"/>
        </w:num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articles</w:t>
      </w:r>
      <w:r>
        <w:rPr>
          <w:rFonts w:ascii="Times New Roman" w:hAnsi="Times New Roman" w:cs="Times New Roman"/>
          <w:sz w:val="24"/>
          <w:szCs w:val="20"/>
        </w:rPr>
        <w:t xml:space="preserve"> dans des revues et revues (2 niveaux)</w:t>
      </w:r>
      <w:r>
        <w:rPr>
          <w:rFonts w:ascii="Times New Roman" w:hAnsi="Times New Roman" w:cs="Times New Roman"/>
          <w:sz w:val="24"/>
          <w:szCs w:val="20"/>
        </w:rPr>
      </w:r>
    </w:p>
    <w:p>
      <w:pPr>
        <w:pStyle w:val="676"/>
        <w:numPr>
          <w:ilvl w:val="0"/>
          <w:numId w:val="3"/>
        </w:num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sites</w:t>
      </w:r>
      <w:r>
        <w:rPr>
          <w:rFonts w:ascii="Times New Roman" w:hAnsi="Times New Roman" w:cs="Times New Roman"/>
          <w:sz w:val="24"/>
          <w:szCs w:val="20"/>
        </w:rPr>
        <w:t xml:space="preserve"> web (signets, expositions, manifestations scientifiques)</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Ces ensembles seront décrits </w:t>
      </w:r>
      <w:r>
        <w:rPr>
          <w:rFonts w:ascii="Times New Roman" w:hAnsi="Times New Roman" w:cs="Times New Roman"/>
          <w:sz w:val="24"/>
          <w:szCs w:val="20"/>
        </w:rPr>
        <w:t xml:space="preserve">en s’appuyant sur un format pivot utilisant les formats existants dans l’univers de la documentation. Ce format pivot sera un format structuré XML qui permet de garder la richesse des formats d’origine et d’y associer la souplesse permettant de les réunir.</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Les métadonnées doivent d’un point de vue technique, être stockées dans une base de données. Une étude sera menée pour choisir la solution la plus adaptée en privilégiant les solutions logicielles ouvertes.</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Une interface homme-machine doit être développée pour interagir avec les métadonnées de façon simple pour des opérateurs de premier niveau ayant mission d’alimenter la base.</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Enfin, le cadre de description intellectuelle des contenus doit être construit, il sera appli</w:t>
      </w:r>
      <w:r>
        <w:rPr>
          <w:rFonts w:ascii="Times New Roman" w:hAnsi="Times New Roman" w:cs="Times New Roman"/>
          <w:sz w:val="24"/>
          <w:szCs w:val="20"/>
        </w:rPr>
        <w:t xml:space="preserve">qué à toutes les entités décrites dans la base. Il s’agit d’un ensemble cohérent et pleinement exploitable, une ontologie en science juridique sera produite et utilisée au sein de la base. Une indexation à trois niveaux sera proposée : ontologie en science</w:t>
      </w:r>
      <w:r>
        <w:rPr>
          <w:rFonts w:ascii="Times New Roman" w:hAnsi="Times New Roman" w:cs="Times New Roman"/>
          <w:sz w:val="24"/>
          <w:szCs w:val="20"/>
        </w:rPr>
        <w:t xml:space="preserve">s juridiques, descripteurs en langage documentaire RAMEAU, indexation uniterme contrôlée pour identifier les thèmes pointus et émergents. Cette tripe approche permettra ensuite une exploitation poussée des contenus et une navigation facilitée par facettes.</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t xml:space="preserve">Estimation population cible : 77 000 étudiants en master de droit, 7 000 doctorants en droit, 13 600 enseignants-chercheurs en sciences juridiques, sciences politique, gestion, Professionnels du droit</w:t>
      </w:r>
      <w:r>
        <w:rPr>
          <w:rFonts w:ascii="Times New Roman" w:hAnsi="Times New Roman" w:cs="Times New Roman"/>
          <w:sz w:val="24"/>
          <w:szCs w:val="20"/>
        </w:rPr>
      </w:r>
    </w:p>
    <w:p>
      <w:pPr>
        <w:pBdr/>
        <w:spacing w:after="0" w:line="240" w:lineRule="auto"/>
        <w:ind/>
        <w:jc w:val="both"/>
        <w:rPr>
          <w:rFonts w:ascii="Times New Roman" w:hAnsi="Times New Roman" w:cs="Times New Roman"/>
          <w:sz w:val="24"/>
          <w:szCs w:val="20"/>
        </w:rPr>
      </w:pPr>
      <w:r>
        <w:rPr>
          <w:rFonts w:ascii="Times New Roman" w:hAnsi="Times New Roman" w:cs="Times New Roman"/>
          <w:sz w:val="24"/>
          <w:szCs w:val="20"/>
        </w:rPr>
      </w:r>
      <w:r>
        <w:rPr>
          <w:rFonts w:ascii="Times New Roman" w:hAnsi="Times New Roman" w:cs="Times New Roman"/>
          <w:sz w:val="24"/>
          <w:szCs w:val="20"/>
        </w:rPr>
      </w:r>
    </w:p>
    <w:p>
      <w:pPr>
        <w:pBdr/>
        <w:spacing w:after="0" w:line="240" w:lineRule="auto"/>
        <w:ind/>
        <w:rPr>
          <w:rFonts w:ascii="Calibri" w:hAnsi="Calibri" w:cs="Calibri"/>
          <w:sz w:val="20"/>
          <w:szCs w:val="20"/>
        </w:rPr>
      </w:pPr>
      <w:r>
        <w:rPr>
          <w:rFonts w:ascii="Calibri,Bold" w:hAnsi="Calibri,Bold" w:cs="Calibri,Bold"/>
          <w:b/>
          <w:bCs/>
          <w:sz w:val="20"/>
          <w:szCs w:val="20"/>
        </w:rPr>
        <w:t xml:space="preserve">Gouvernance et organisation envisagées : </w:t>
      </w:r>
      <w:r>
        <w:rPr>
          <w:rFonts w:ascii="Calibri" w:hAnsi="Calibri" w:cs="Calibri"/>
          <w:sz w:val="20"/>
          <w:szCs w:val="20"/>
        </w:rPr>
        <w:t xml:space="preserve">Le programme sera découpé en sous-ensembles opérationnels ou chantiers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w:t>
      </w:r>
      <w:r>
        <w:rPr>
          <w:rFonts w:ascii="Calibri" w:hAnsi="Calibri" w:cs="Calibri"/>
          <w:sz w:val="20"/>
          <w:szCs w:val="20"/>
        </w:rPr>
        <w:t xml:space="preserve">workpackage</w:t>
      </w:r>
      <w:r>
        <w:rPr>
          <w:rFonts w:ascii="Calibri" w:hAnsi="Calibri" w:cs="Calibri"/>
          <w:sz w:val="20"/>
          <w:szCs w:val="20"/>
        </w:rPr>
        <w:t xml:space="preserve">) :</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WP 1 : Coordination du projet, animation des instances de gouvernance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WP 2 : Développement de la plateforme de production (format des données, technologie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d’exploitation</w:t>
      </w:r>
      <w:r>
        <w:rPr>
          <w:rFonts w:ascii="Calibri" w:hAnsi="Calibri" w:cs="Calibri"/>
          <w:sz w:val="20"/>
          <w:szCs w:val="20"/>
        </w:rPr>
        <w:t xml:space="preserve"> des formats, solution logicielle de gestion des métadonnées).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WP3 : Développement du workflow de description des métadonnées (catalogage) et de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l’interface</w:t>
      </w:r>
      <w:r>
        <w:rPr>
          <w:rFonts w:ascii="Calibri" w:hAnsi="Calibri" w:cs="Calibri"/>
          <w:sz w:val="20"/>
          <w:szCs w:val="20"/>
        </w:rPr>
        <w:t xml:space="preserve"> de saisie.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WP4 : Mécanisme d’ingestion et d’export de métadonnées issus de systèmes tiers,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mécanismes</w:t>
      </w:r>
      <w:r>
        <w:rPr>
          <w:rFonts w:ascii="Calibri" w:hAnsi="Calibri" w:cs="Calibri"/>
          <w:sz w:val="20"/>
          <w:szCs w:val="20"/>
        </w:rPr>
        <w:t xml:space="preserve"> d’alignement des données avec des référentiels externes.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WP 5 : Production d’une ontologie propre au domaine, d’une liste d’autorités RAMEAU</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contrôlées</w:t>
      </w:r>
      <w:r>
        <w:rPr>
          <w:rFonts w:ascii="Calibri" w:hAnsi="Calibri" w:cs="Calibri"/>
          <w:sz w:val="20"/>
          <w:szCs w:val="20"/>
        </w:rPr>
        <w:t xml:space="preserve"> propre à la base, d’un vocabulaire uniterme contrôlé</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Un comité de pilotage sera mis en place avec les partenaires impliqués dans le </w:t>
      </w:r>
      <w:r>
        <w:rPr>
          <w:rFonts w:ascii="Calibri" w:hAnsi="Calibri" w:cs="Calibri"/>
          <w:sz w:val="20"/>
          <w:szCs w:val="20"/>
        </w:rPr>
        <w:t xml:space="preserve">sousprogramme</w:t>
      </w:r>
      <w:r>
        <w:rPr>
          <w:rFonts w:ascii="Calibri" w:hAnsi="Calibri" w:cs="Calibri"/>
          <w:sz w:val="20"/>
          <w:szCs w:val="20"/>
        </w:rPr>
        <w:t xml:space="preserv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Coût total sur 5 ans : 500 000 euros. </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Grands domaines : pilotage : 225 000 euros, développements : 275 000 euros.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r>
      <w:r>
        <w:rPr>
          <w:rFonts w:ascii="Calibri" w:hAnsi="Calibri" w:cs="Calibri"/>
          <w:sz w:val="20"/>
          <w:szCs w:val="20"/>
        </w:rPr>
      </w:r>
    </w:p>
    <w:p>
      <w:pPr>
        <w:pBdr/>
        <w:spacing w:after="0" w:line="240" w:lineRule="auto"/>
        <w:ind/>
        <w:rPr>
          <w:rFonts w:ascii="Calibri" w:hAnsi="Calibri" w:cs="Calibri"/>
          <w:sz w:val="24"/>
          <w:szCs w:val="20"/>
        </w:rPr>
      </w:pPr>
      <w:r>
        <w:rPr>
          <w:rFonts w:ascii="Calibri" w:hAnsi="Calibri" w:cs="Calibri"/>
          <w:sz w:val="24"/>
          <w:szCs w:val="20"/>
        </w:rPr>
        <w:t xml:space="preserve">Signalement : </w:t>
      </w:r>
      <w:r>
        <w:rPr>
          <w:rFonts w:ascii="Calibri" w:hAnsi="Calibri" w:cs="Calibri"/>
          <w:sz w:val="24"/>
          <w:szCs w:val="20"/>
        </w:rPr>
        <w:t xml:space="preserve">engjeu</w:t>
      </w:r>
      <w:r>
        <w:rPr>
          <w:rFonts w:ascii="Calibri" w:hAnsi="Calibri" w:cs="Calibri"/>
          <w:sz w:val="24"/>
          <w:szCs w:val="20"/>
        </w:rPr>
        <w:t xml:space="preserve"> majeur notam</w:t>
      </w:r>
      <w:r>
        <w:rPr>
          <w:rFonts w:ascii="Calibri" w:hAnsi="Calibri" w:cs="Calibri"/>
          <w:sz w:val="24"/>
          <w:szCs w:val="20"/>
        </w:rPr>
        <w:t xml:space="preserve">ment pour ceux où il n’y a aucun. Volonté : offrir un service de qualité aux utilisateurs.  Déficience pour la description fine des contenus : contributions des mélanges, les chapitres des ouvrages collectifs ou les références des articles dans les revues.</w:t>
      </w:r>
      <w:r>
        <w:rPr>
          <w:rFonts w:ascii="Calibri" w:hAnsi="Calibri" w:cs="Calibri"/>
          <w:sz w:val="24"/>
          <w:szCs w:val="20"/>
        </w:rPr>
      </w:r>
    </w:p>
    <w:p>
      <w:pPr>
        <w:pBdr/>
        <w:spacing w:after="0" w:line="240" w:lineRule="auto"/>
        <w:ind/>
        <w:rPr>
          <w:rFonts w:ascii="Calibri" w:hAnsi="Calibri" w:cs="Calibri"/>
          <w:sz w:val="24"/>
          <w:szCs w:val="20"/>
        </w:rPr>
      </w:pPr>
      <w:r>
        <w:rPr>
          <w:rFonts w:ascii="Calibri" w:hAnsi="Calibri" w:cs="Calibri"/>
          <w:sz w:val="24"/>
          <w:szCs w:val="20"/>
        </w:rPr>
        <w:t xml:space="preserve">Volonté d’améliorer l’identificati</w:t>
      </w:r>
      <w:r>
        <w:rPr>
          <w:rFonts w:ascii="Calibri" w:hAnsi="Calibri" w:cs="Calibri"/>
          <w:sz w:val="24"/>
          <w:szCs w:val="20"/>
        </w:rPr>
        <w:t xml:space="preserve">on des ressources, de lier ces ressources entre elles. Liens : établir des connaissances nouvelles = réseaux de sociabilité des chercheurs en sciences juridiques.</w:t>
      </w:r>
      <w:r>
        <w:rPr>
          <w:rFonts w:ascii="Calibri" w:hAnsi="Calibri" w:cs="Calibri"/>
          <w:sz w:val="24"/>
          <w:szCs w:val="20"/>
        </w:rPr>
      </w:r>
    </w:p>
    <w:p>
      <w:pPr>
        <w:pBdr/>
        <w:spacing w:after="0" w:line="240" w:lineRule="auto"/>
        <w:ind/>
        <w:rPr>
          <w:rFonts w:ascii="Calibri" w:hAnsi="Calibri" w:cs="Calibri"/>
          <w:sz w:val="24"/>
          <w:szCs w:val="20"/>
        </w:rPr>
      </w:pPr>
      <w:r>
        <w:rPr>
          <w:rFonts w:ascii="Calibri" w:hAnsi="Calibri" w:cs="Calibri"/>
          <w:sz w:val="24"/>
          <w:szCs w:val="20"/>
        </w:rPr>
      </w:r>
      <w:r>
        <w:rPr>
          <w:rFonts w:ascii="Calibri" w:hAnsi="Calibri" w:cs="Calibri"/>
          <w:sz w:val="24"/>
          <w:szCs w:val="20"/>
        </w:rPr>
      </w:r>
    </w:p>
    <w:p>
      <w:pPr>
        <w:pBdr/>
        <w:spacing w:after="0" w:line="240" w:lineRule="auto"/>
        <w:ind/>
        <w:rPr>
          <w:rFonts w:ascii="Calibri" w:hAnsi="Calibri" w:cs="Calibri"/>
          <w:sz w:val="24"/>
          <w:szCs w:val="20"/>
        </w:rPr>
      </w:pPr>
      <w:r>
        <w:rPr>
          <w:rFonts w:ascii="Calibri" w:hAnsi="Calibri" w:cs="Calibri"/>
          <w:sz w:val="24"/>
          <w:szCs w:val="20"/>
        </w:rPr>
        <w:t xml:space="preserve">3 projets envisagés : </w:t>
      </w:r>
      <w:r>
        <w:rPr>
          <w:rFonts w:ascii="Calibri" w:hAnsi="Calibri" w:cs="Calibri"/>
          <w:sz w:val="24"/>
          <w:szCs w:val="20"/>
        </w:rPr>
      </w:r>
    </w:p>
    <w:p>
      <w:pPr>
        <w:pStyle w:val="676"/>
        <w:numPr>
          <w:ilvl w:val="0"/>
          <w:numId w:val="3"/>
        </w:num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-MEL : création d’une base nationale des mélanges en sciences juridiques</w:t>
      </w:r>
      <w:r>
        <w:rPr>
          <w:rFonts w:ascii="Times New Roman" w:hAnsi="Times New Roman" w:cs="Times New Roman"/>
          <w:sz w:val="24"/>
        </w:rPr>
      </w:r>
    </w:p>
    <w:p>
      <w:pPr>
        <w:pStyle w:val="676"/>
        <w:numPr>
          <w:ilvl w:val="0"/>
          <w:numId w:val="3"/>
        </w:num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-TOC : la création d’un service de diffusion de </w:t>
      </w:r>
      <w:r>
        <w:rPr>
          <w:rFonts w:ascii="Times New Roman" w:hAnsi="Times New Roman" w:cs="Times New Roman"/>
          <w:sz w:val="24"/>
        </w:rPr>
        <w:t xml:space="preserve">tabledes</w:t>
      </w:r>
      <w:r>
        <w:rPr>
          <w:rFonts w:ascii="Times New Roman" w:hAnsi="Times New Roman" w:cs="Times New Roman"/>
          <w:sz w:val="24"/>
        </w:rPr>
        <w:t xml:space="preserve"> matières en droit</w:t>
      </w:r>
      <w:r>
        <w:rPr>
          <w:rFonts w:ascii="Times New Roman" w:hAnsi="Times New Roman" w:cs="Times New Roman"/>
          <w:sz w:val="24"/>
        </w:rPr>
      </w:r>
    </w:p>
    <w:p>
      <w:pPr>
        <w:pStyle w:val="676"/>
        <w:numPr>
          <w:ilvl w:val="0"/>
          <w:numId w:val="3"/>
        </w:num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-THESES : l’enrichissement du catalogage des microfiches de thèses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-MEL : description scientifique </w:t>
      </w:r>
      <w:r>
        <w:rPr>
          <w:rFonts w:ascii="Times New Roman" w:hAnsi="Times New Roman" w:cs="Times New Roman"/>
          <w:sz w:val="24"/>
        </w:rPr>
      </w:r>
    </w:p>
    <w:p>
      <w:pPr>
        <w:pBdr/>
        <w:spacing w:after="0" w:line="240" w:lineRule="auto"/>
        <w:ind/>
        <w:rPr>
          <w:rFonts w:ascii="Calibri" w:hAnsi="Calibri" w:cs="Calibri"/>
          <w:sz w:val="20"/>
          <w:szCs w:val="20"/>
        </w:rPr>
      </w:pPr>
      <w:r>
        <w:rPr>
          <w:rFonts w:ascii="Calibri" w:hAnsi="Calibri" w:cs="Calibri"/>
          <w:sz w:val="20"/>
          <w:szCs w:val="20"/>
        </w:rPr>
        <w:t xml:space="preserve">Les ouvrages collectifs et singulièrement les mélanges et hommage</w:t>
      </w:r>
      <w:r>
        <w:rPr>
          <w:rFonts w:ascii="Calibri" w:hAnsi="Calibri" w:cs="Calibri"/>
          <w:sz w:val="20"/>
          <w:szCs w:val="20"/>
        </w:rPr>
        <w:t xml:space="preserve">s constituent en sciences juridiques, un type de document particulièrement apprécié et utile pour l’activité de recherche. Le signalement des contributions dans ces ouvrages est actuellement particulièrement déficient. Les mélanges ne font pas l’objet d’un</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dépouillement</w:t>
      </w:r>
      <w:r>
        <w:rPr>
          <w:rFonts w:ascii="Calibri" w:hAnsi="Calibri" w:cs="Calibri"/>
          <w:sz w:val="20"/>
          <w:szCs w:val="20"/>
        </w:rPr>
        <w:t xml:space="preserve"> dans les outils de découverte communément utilisés par les services de documentation, comme Primo ou EDS. Les mélanges ne font pas davantage l’objet d’un dépouillement dans le catalogue collectif SUDOC qui n’est pas prévu pour signaler ce type </w:t>
      </w:r>
      <w:r>
        <w:rPr>
          <w:rFonts w:ascii="Calibri" w:hAnsi="Calibri" w:cs="Calibri"/>
          <w:sz w:val="20"/>
          <w:szCs w:val="20"/>
        </w:rPr>
        <w:t xml:space="preserve">de contenu. Des initiatives locales existent, trois établissements ayant développé des bases locales de dépouillement (SCD de Toulon et de Paris Panthéon Assas) ou de recension (Bibliothèque Cujas) ainsi que des publications réalisées par des juristes sous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forme</w:t>
      </w:r>
      <w:r>
        <w:rPr>
          <w:rFonts w:ascii="Calibri" w:hAnsi="Calibri" w:cs="Calibri"/>
          <w:sz w:val="20"/>
          <w:szCs w:val="20"/>
        </w:rPr>
        <w:t xml:space="preserve"> électronique ou imprimée, ou encore le</w:t>
      </w:r>
      <w:r>
        <w:rPr>
          <w:rFonts w:ascii="Calibri" w:hAnsi="Calibri" w:cs="Calibri"/>
          <w:sz w:val="20"/>
          <w:szCs w:val="20"/>
        </w:rPr>
        <w:t xml:space="preserve"> portail universitaire du droit qui signale les publications et leurs contenus sans pour autant constituer un catalogue au sens où les bibliothèques l’entendent. Les périodes couvertes et des périmètres analysés diffèrent en fonction des sources signalées.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Le programme proposé vise à développer une base nationale de signalement des </w:t>
      </w:r>
      <w:r>
        <w:rPr>
          <w:rFonts w:ascii="Calibri" w:hAnsi="Calibri" w:cs="Calibri"/>
          <w:sz w:val="20"/>
          <w:szCs w:val="20"/>
        </w:rPr>
        <w:t xml:space="preserve">mélanges alimentée par un réseau constitué de bibliothèques juridiques ou ayant une section juridique. Cette base pourra aussi être alimentée par des métadonnées fournies par les éditeurs eux-mêmes, si une collaboration de ce type peut se mettre en place. </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Cette base sera à la fois un portail et une plateforme, le portail vise à offrir un point d’accès public aux usagers sans aucune entrave, la plateforme v</w:t>
      </w:r>
      <w:r>
        <w:rPr>
          <w:rFonts w:ascii="Calibri" w:hAnsi="Calibri" w:cs="Calibri"/>
          <w:sz w:val="20"/>
          <w:szCs w:val="20"/>
        </w:rPr>
        <w:t xml:space="preserve">ise à diffuser les métadonnées à d’autres systèmes d’information documentaire (catalogues de bibliothèques, outils de découverte), aux fournisseurs d’outils de découverte, aux moteurs de recherche. La base de production intégrera des métadonnées produites </w:t>
      </w:r>
      <w:r>
        <w:rPr>
          <w:rFonts w:ascii="Calibri" w:hAnsi="Calibri" w:cs="Calibri"/>
          <w:sz w:val="20"/>
          <w:szCs w:val="20"/>
        </w:rPr>
        <w:t xml:space="preserve">parl’ABES</w:t>
      </w:r>
      <w:r>
        <w:rPr>
          <w:rFonts w:ascii="Calibri" w:hAnsi="Calibri" w:cs="Calibri"/>
          <w:sz w:val="20"/>
          <w:szCs w:val="20"/>
        </w:rPr>
        <w:t xml:space="preserve"> :</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 lien avec les notices SUDOC des mélanges et avec les localisations associées,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 utilisation du référentiel </w:t>
      </w:r>
      <w:r>
        <w:rPr>
          <w:rFonts w:ascii="Calibri" w:hAnsi="Calibri" w:cs="Calibri"/>
          <w:sz w:val="20"/>
          <w:szCs w:val="20"/>
        </w:rPr>
        <w:t xml:space="preserve">IdRef</w:t>
      </w:r>
      <w:r>
        <w:rPr>
          <w:rFonts w:ascii="Calibri" w:hAnsi="Calibri" w:cs="Calibri"/>
          <w:sz w:val="20"/>
          <w:szCs w:val="20"/>
        </w:rPr>
        <w:t xml:space="preserv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 reversement des contenus produits dans </w:t>
      </w:r>
      <w:r>
        <w:rPr>
          <w:rFonts w:ascii="Calibri,Italic" w:hAnsi="Calibri,Italic" w:cs="Calibri,Italic"/>
          <w:i/>
          <w:iCs/>
          <w:sz w:val="20"/>
          <w:szCs w:val="20"/>
        </w:rPr>
        <w:t xml:space="preserve">scienceplus</w:t>
      </w:r>
      <w:r>
        <w:rPr>
          <w:rFonts w:ascii="Calibri,Italic" w:hAnsi="Calibri,Italic" w:cs="Calibri,Italic"/>
          <w:i/>
          <w:iCs/>
          <w:sz w:val="20"/>
          <w:szCs w:val="20"/>
        </w:rPr>
        <w:t xml:space="preserve"> </w:t>
      </w:r>
      <w:r>
        <w:rPr>
          <w:rFonts w:ascii="Calibri" w:hAnsi="Calibri" w:cs="Calibri"/>
          <w:sz w:val="20"/>
          <w:szCs w:val="20"/>
        </w:rPr>
        <w:t xml:space="preserve">afin d’assurer la redistribution</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des</w:t>
      </w:r>
      <w:r>
        <w:rPr>
          <w:rFonts w:ascii="Calibri" w:hAnsi="Calibri" w:cs="Calibri"/>
          <w:sz w:val="20"/>
          <w:szCs w:val="20"/>
        </w:rPr>
        <w:t xml:space="preserve"> métadonnées vers d’autres systèmes d’information.</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La base des mélanges s’inscrit donc dans l’écosystème documentaire de l’ESR français et</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ne</w:t>
      </w:r>
      <w:r>
        <w:rPr>
          <w:rFonts w:ascii="Calibri" w:hAnsi="Calibri" w:cs="Calibri"/>
          <w:sz w:val="20"/>
          <w:szCs w:val="20"/>
        </w:rPr>
        <w:t xml:space="preserve"> constitue pas une entité propre déconnectée. Cet aspect est essentiel à l’intérêt du</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projet</w:t>
      </w:r>
      <w:r>
        <w:rPr>
          <w:rFonts w:ascii="Calibri" w:hAnsi="Calibri" w:cs="Calibri"/>
          <w:sz w:val="20"/>
          <w:szCs w:val="20"/>
        </w:rPr>
        <w:t xml:space="preserve">, à sa réussite et sa pérennité.</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L’initialisation de la base s’appuiera sur les différentes initiatives existantes, un premier</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état</w:t>
      </w:r>
      <w:r>
        <w:rPr>
          <w:rFonts w:ascii="Calibri" w:hAnsi="Calibri" w:cs="Calibri"/>
          <w:sz w:val="20"/>
          <w:szCs w:val="20"/>
        </w:rPr>
        <w:t xml:space="preserve"> des lieux donne à voir le potentiel de métadonnées déjà disponibles qui pourront</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être</w:t>
      </w:r>
      <w:r>
        <w:rPr>
          <w:rFonts w:ascii="Calibri" w:hAnsi="Calibri" w:cs="Calibri"/>
          <w:sz w:val="20"/>
          <w:szCs w:val="20"/>
        </w:rPr>
        <w:t xml:space="preserve"> chargées au démarrage dans la base, enrichies et liées. Ce potentiel est estimé entre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30 000 à 50 000 notices de dépouillement.</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Les métadonnées produites pourront être liées à d’autres métadonnées disponibles afin</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de</w:t>
      </w:r>
      <w:r>
        <w:rPr>
          <w:rFonts w:ascii="Calibri" w:hAnsi="Calibri" w:cs="Calibri"/>
          <w:sz w:val="20"/>
          <w:szCs w:val="20"/>
        </w:rPr>
        <w:t xml:space="preserve"> produire des outils de visualisation des liens de sociabilité de la communauté juridique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à</w:t>
      </w:r>
      <w:r>
        <w:rPr>
          <w:rFonts w:ascii="Calibri" w:hAnsi="Calibri" w:cs="Calibri"/>
          <w:sz w:val="20"/>
          <w:szCs w:val="20"/>
        </w:rPr>
        <w:t xml:space="preserve"> travers l’activité de publication. Progressivement pourront être associées des données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du</w:t>
      </w:r>
      <w:r>
        <w:rPr>
          <w:rFonts w:ascii="Calibri" w:hAnsi="Calibri" w:cs="Calibri"/>
          <w:sz w:val="20"/>
          <w:szCs w:val="20"/>
        </w:rPr>
        <w:t xml:space="preserve"> SUDOC, de thèses.fr, de HAL, d’</w:t>
      </w:r>
      <w:r>
        <w:rPr>
          <w:rFonts w:ascii="Calibri" w:hAnsi="Calibri" w:cs="Calibri"/>
          <w:sz w:val="20"/>
          <w:szCs w:val="20"/>
        </w:rPr>
        <w:t xml:space="preserve">IdRef</w:t>
      </w:r>
      <w:r>
        <w:rPr>
          <w:rFonts w:ascii="Calibri" w:hAnsi="Calibri" w:cs="Calibri"/>
          <w:sz w:val="20"/>
          <w:szCs w:val="20"/>
        </w:rPr>
        <w:t xml:space="preserve">… L’expérience de la bibliothèque Cujas dans la</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construction</w:t>
      </w:r>
      <w:r>
        <w:rPr>
          <w:rFonts w:ascii="Calibri" w:hAnsi="Calibri" w:cs="Calibri"/>
          <w:sz w:val="20"/>
          <w:szCs w:val="20"/>
        </w:rPr>
        <w:t xml:space="preserve"> de dispositifs d’analyse et de visualisation des relations entre des entités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documentaires</w:t>
      </w:r>
      <w:r>
        <w:rPr>
          <w:rFonts w:ascii="Calibri" w:hAnsi="Calibri" w:cs="Calibri"/>
          <w:sz w:val="20"/>
          <w:szCs w:val="20"/>
        </w:rPr>
        <w:t xml:space="preserve">, des personnes et des collectivités, mobilisées dans le cadre du projet</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HOPPE Droit, seront mises à profit.</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L’intérêt scientifique du projet est multiple :</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 identification et localisation de ressources documentaires essentielles actuellement</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peu</w:t>
      </w:r>
      <w:r>
        <w:rPr>
          <w:rFonts w:ascii="Calibri" w:hAnsi="Calibri" w:cs="Calibri"/>
          <w:sz w:val="20"/>
          <w:szCs w:val="20"/>
        </w:rPr>
        <w:t xml:space="preserve"> visibles,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 production de connaissances nouvelles permettant d’identifier les liens au sein de la</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communauté</w:t>
      </w:r>
      <w:r>
        <w:rPr>
          <w:rFonts w:ascii="Calibri" w:hAnsi="Calibri" w:cs="Calibri"/>
          <w:sz w:val="20"/>
          <w:szCs w:val="20"/>
        </w:rPr>
        <w:t xml:space="preserve"> juridique et entre les documents,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 développement d’outils de datamining et de visualisation</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L’ensemble des développements informatiques seront réalisés en open source afin de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permettre</w:t>
      </w:r>
      <w:r>
        <w:rPr>
          <w:rFonts w:ascii="Calibri" w:hAnsi="Calibri" w:cs="Calibri"/>
          <w:sz w:val="20"/>
          <w:szCs w:val="20"/>
        </w:rPr>
        <w:t xml:space="preserve"> une réutilisation et une reproduction du système mis en place dans d’autres</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t xml:space="preserve">domaines</w:t>
      </w:r>
      <w:r>
        <w:rPr>
          <w:rFonts w:ascii="Calibri" w:hAnsi="Calibri" w:cs="Calibri"/>
          <w:sz w:val="20"/>
          <w:szCs w:val="20"/>
        </w:rPr>
        <w:t xml:space="preserve"> disciplinaires dans une phase ultérieure.</w:t>
      </w:r>
      <w:r>
        <w:rPr>
          <w:rFonts w:ascii="Calibri" w:hAnsi="Calibri" w:cs="Calibri"/>
          <w:sz w:val="20"/>
          <w:szCs w:val="20"/>
        </w:rPr>
      </w:r>
    </w:p>
    <w:p>
      <w:pPr>
        <w:pBdr/>
        <w:spacing w:after="0" w:line="240" w:lineRule="auto"/>
        <w:ind/>
        <w:rPr>
          <w:rFonts w:ascii="Calibri" w:hAnsi="Calibri" w:cs="Calibri"/>
          <w:sz w:val="20"/>
          <w:szCs w:val="20"/>
        </w:rPr>
      </w:pPr>
      <w:r>
        <w:rPr>
          <w:rFonts w:ascii="Calibri" w:hAnsi="Calibri" w:cs="Calibri"/>
          <w:sz w:val="20"/>
          <w:szCs w:val="20"/>
        </w:rPr>
      </w:r>
      <w:r>
        <w:rPr>
          <w:rFonts w:ascii="Calibri" w:hAnsi="Calibri" w:cs="Calibri"/>
          <w:sz w:val="20"/>
          <w:szCs w:val="20"/>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-TOC : description scientifique du programme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projet consiste à collecter les métadonnées descriptives des contenus des revues en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sciences</w:t>
      </w:r>
      <w:r>
        <w:rPr>
          <w:rFonts w:ascii="Times New Roman" w:hAnsi="Times New Roman" w:cs="Times New Roman"/>
          <w:sz w:val="24"/>
        </w:rPr>
        <w:t xml:space="preserve"> juridiques afin de permettre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 Le signalement des articles de ces revues qui sont relativement peu ou pas présents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dans</w:t>
      </w:r>
      <w:r>
        <w:rPr>
          <w:rFonts w:ascii="Times New Roman" w:hAnsi="Times New Roman" w:cs="Times New Roman"/>
          <w:sz w:val="24"/>
        </w:rPr>
        <w:t xml:space="preserve"> les index des fournisseurs d’outils de découverte.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 Le développement d’un service de génération de tables des matières, permettant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d’offrir</w:t>
      </w:r>
      <w:r>
        <w:rPr>
          <w:rFonts w:ascii="Times New Roman" w:hAnsi="Times New Roman" w:cs="Times New Roman"/>
          <w:sz w:val="24"/>
        </w:rPr>
        <w:t xml:space="preserve"> un service d’alerte sur profil et une consultation aisée de la production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éditoriale</w:t>
      </w:r>
      <w:r>
        <w:rPr>
          <w:rFonts w:ascii="Times New Roman" w:hAnsi="Times New Roman" w:cs="Times New Roman"/>
          <w:sz w:val="24"/>
        </w:rPr>
        <w:t xml:space="preserve"> dans ces domines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projet vise à s’inspirer ou à s’associer avec le projet britannique développé</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initialement</w:t>
      </w:r>
      <w:r>
        <w:rPr>
          <w:rFonts w:ascii="Times New Roman" w:hAnsi="Times New Roman" w:cs="Times New Roman"/>
          <w:sz w:val="24"/>
        </w:rPr>
        <w:t xml:space="preserve"> par le JISC : </w:t>
      </w:r>
      <w:r>
        <w:rPr>
          <w:rFonts w:ascii="Times New Roman" w:hAnsi="Times New Roman" w:cs="Times New Roman"/>
          <w:sz w:val="24"/>
        </w:rPr>
        <w:t xml:space="preserve">JournalTOCs</w:t>
      </w:r>
      <w:r>
        <w:rPr>
          <w:rFonts w:ascii="Times New Roman" w:hAnsi="Times New Roman" w:cs="Times New Roman"/>
          <w:sz w:val="24"/>
        </w:rPr>
        <w:t xml:space="preserve"> (https://www.journaltocs.ac.uk/).</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projet doit associer les éditeurs juridiques ou les éditeurs généralistes ayant des titres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juridiques</w:t>
      </w:r>
      <w:r>
        <w:rPr>
          <w:rFonts w:ascii="Times New Roman" w:hAnsi="Times New Roman" w:cs="Times New Roman"/>
          <w:sz w:val="24"/>
        </w:rPr>
        <w:t xml:space="preserve"> dans leur portefeuille qui seront les fournisseurs des données primaires.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démarche</w:t>
      </w:r>
      <w:r>
        <w:rPr>
          <w:rFonts w:ascii="Times New Roman" w:hAnsi="Times New Roman" w:cs="Times New Roman"/>
          <w:sz w:val="24"/>
        </w:rPr>
        <w:t xml:space="preserve"> initiale pourra être réalisée sur un périmètre réduit, associant la plateforme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CAIRN qui dépose déjà ces métadonnées sur </w:t>
      </w:r>
      <w:r>
        <w:rPr>
          <w:rFonts w:ascii="Times New Roman" w:hAnsi="Times New Roman" w:cs="Times New Roman"/>
          <w:sz w:val="24"/>
        </w:rPr>
        <w:t xml:space="preserve">scienceplus</w:t>
      </w:r>
      <w:r>
        <w:rPr>
          <w:rFonts w:ascii="Times New Roman" w:hAnsi="Times New Roman" w:cs="Times New Roman"/>
          <w:sz w:val="24"/>
        </w:rPr>
        <w:t xml:space="preserve">, la plateforme d’</w:t>
      </w:r>
      <w:r>
        <w:rPr>
          <w:rFonts w:ascii="Times New Roman" w:hAnsi="Times New Roman" w:cs="Times New Roman"/>
          <w:sz w:val="24"/>
        </w:rPr>
        <w:t xml:space="preserve">OpenEdition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qui</w:t>
      </w:r>
      <w:r>
        <w:rPr>
          <w:rFonts w:ascii="Times New Roman" w:hAnsi="Times New Roman" w:cs="Times New Roman"/>
          <w:sz w:val="24"/>
        </w:rPr>
        <w:t xml:space="preserve"> s’associe volontiers avec les initiatives reposant sur une logique d’ouverture et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diffusion</w:t>
      </w:r>
      <w:r>
        <w:rPr>
          <w:rFonts w:ascii="Times New Roman" w:hAnsi="Times New Roman" w:cs="Times New Roman"/>
          <w:sz w:val="24"/>
        </w:rPr>
        <w:t xml:space="preserve"> des métadonnées, l’éditeur Dalloz qui a déjà ouvert ses métadonnées pour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alimenter</w:t>
      </w:r>
      <w:r>
        <w:rPr>
          <w:rFonts w:ascii="Times New Roman" w:hAnsi="Times New Roman" w:cs="Times New Roman"/>
          <w:sz w:val="24"/>
        </w:rPr>
        <w:t xml:space="preserve"> l’archive ouverte nationale HAL dans le cadre du projet Droit2Hal. D’autres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éditeurs</w:t>
      </w:r>
      <w:r>
        <w:rPr>
          <w:rFonts w:ascii="Times New Roman" w:hAnsi="Times New Roman" w:cs="Times New Roman"/>
          <w:sz w:val="24"/>
        </w:rPr>
        <w:t xml:space="preserve"> seront approchés, nous pensons notamment prioritairement à </w:t>
      </w:r>
      <w:r>
        <w:rPr>
          <w:rFonts w:ascii="Times New Roman" w:hAnsi="Times New Roman" w:cs="Times New Roman"/>
          <w:sz w:val="24"/>
        </w:rPr>
        <w:t xml:space="preserve">Lextenso</w:t>
      </w:r>
      <w:r>
        <w:rPr>
          <w:rFonts w:ascii="Times New Roman" w:hAnsi="Times New Roman" w:cs="Times New Roman"/>
          <w:sz w:val="24"/>
        </w:rPr>
        <w:t xml:space="preserve"> et à</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Lamy, mais aussi à des revues diffusées par des associations ou des institutions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académiques</w:t>
      </w:r>
      <w:r>
        <w:rPr>
          <w:rFonts w:ascii="Times New Roman" w:hAnsi="Times New Roman" w:cs="Times New Roman"/>
          <w:sz w:val="24"/>
        </w:rPr>
        <w:t xml:space="preserve">, non rattachées à un grand éditeur, qui trouveront à travers le service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proposé</w:t>
      </w:r>
      <w:r>
        <w:rPr>
          <w:rFonts w:ascii="Times New Roman" w:hAnsi="Times New Roman" w:cs="Times New Roman"/>
          <w:sz w:val="24"/>
        </w:rPr>
        <w:t xml:space="preserve"> un relais supplémentaire pour faire connaître leur publication.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-THESES : description scientifique du programme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Intégration et renforcement du projet national de numérisation rétrospective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Signalement des thèses </w:t>
      </w:r>
      <w:r>
        <w:rPr>
          <w:rFonts w:ascii="Times New Roman" w:hAnsi="Times New Roman" w:cs="Times New Roman"/>
          <w:sz w:val="24"/>
        </w:rPr>
        <w:t xml:space="preserve">microfichées</w:t>
      </w:r>
      <w:r>
        <w:rPr>
          <w:rFonts w:ascii="Times New Roman" w:hAnsi="Times New Roman" w:cs="Times New Roman"/>
          <w:sz w:val="24"/>
        </w:rPr>
        <w:t xml:space="preserve"> de la BIU Cujas dans le </w:t>
      </w:r>
      <w:r>
        <w:rPr>
          <w:rFonts w:ascii="Times New Roman" w:hAnsi="Times New Roman" w:cs="Times New Roman"/>
          <w:sz w:val="24"/>
        </w:rPr>
        <w:t xml:space="preserve">Sudoc</w:t>
      </w:r>
      <w:r>
        <w:rPr>
          <w:rFonts w:ascii="Times New Roman" w:hAnsi="Times New Roman" w:cs="Times New Roman"/>
          <w:sz w:val="24"/>
        </w:rPr>
        <w:t xml:space="preserve"> (phase 1), puis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w:t>
      </w:r>
      <w:r>
        <w:rPr>
          <w:rFonts w:ascii="Times New Roman" w:hAnsi="Times New Roman" w:cs="Times New Roman"/>
          <w:sz w:val="24"/>
        </w:rPr>
        <w:t xml:space="preserve"> thèses papier (phase 2).</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Depuis 2020, l’</w:t>
      </w:r>
      <w:r>
        <w:rPr>
          <w:rFonts w:ascii="Times New Roman" w:hAnsi="Times New Roman" w:cs="Times New Roman"/>
          <w:sz w:val="24"/>
        </w:rPr>
        <w:t xml:space="preserve">Abes</w:t>
      </w:r>
      <w:r>
        <w:rPr>
          <w:rFonts w:ascii="Times New Roman" w:hAnsi="Times New Roman" w:cs="Times New Roman"/>
          <w:sz w:val="24"/>
        </w:rPr>
        <w:t xml:space="preserve"> et l’ANRT (Université de Lille) mènent un chantier de numérisation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microfiches</w:t>
      </w:r>
      <w:r>
        <w:rPr>
          <w:rFonts w:ascii="Times New Roman" w:hAnsi="Times New Roman" w:cs="Times New Roman"/>
          <w:sz w:val="24"/>
        </w:rPr>
        <w:t xml:space="preserve"> de thèses. Ce chantier est la première phase d’un important projet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numérisation</w:t>
      </w:r>
      <w:r>
        <w:rPr>
          <w:rFonts w:ascii="Times New Roman" w:hAnsi="Times New Roman" w:cs="Times New Roman"/>
          <w:sz w:val="24"/>
        </w:rPr>
        <w:t xml:space="preserve"> rétrospective des thèses soutenues en France. La seconde phase du projet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prévoit</w:t>
      </w:r>
      <w:r>
        <w:rPr>
          <w:rFonts w:ascii="Times New Roman" w:hAnsi="Times New Roman" w:cs="Times New Roman"/>
          <w:sz w:val="24"/>
        </w:rPr>
        <w:t xml:space="preserve"> de numériser les thèses papier. L’ensemble du corpus des thèses </w:t>
      </w:r>
      <w:r>
        <w:rPr>
          <w:rFonts w:ascii="Times New Roman" w:hAnsi="Times New Roman" w:cs="Times New Roman"/>
          <w:sz w:val="24"/>
        </w:rPr>
        <w:t xml:space="preserve">microfichées</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papier</w:t>
      </w:r>
      <w:r>
        <w:rPr>
          <w:rFonts w:ascii="Times New Roman" w:hAnsi="Times New Roman" w:cs="Times New Roman"/>
          <w:sz w:val="24"/>
        </w:rPr>
        <w:t xml:space="preserve"> et électroniques pourra être consulté et exploité sur un portail dédié aux thèses.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L’objectif de la BIU est de s’intégrer au projet national en commençant par le traitement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w:t>
      </w:r>
      <w:r>
        <w:rPr>
          <w:rFonts w:ascii="Times New Roman" w:hAnsi="Times New Roman" w:cs="Times New Roman"/>
          <w:sz w:val="24"/>
        </w:rPr>
        <w:t xml:space="preserve"> thèses </w:t>
      </w:r>
      <w:r>
        <w:rPr>
          <w:rFonts w:ascii="Times New Roman" w:hAnsi="Times New Roman" w:cs="Times New Roman"/>
          <w:sz w:val="24"/>
        </w:rPr>
        <w:t xml:space="preserve">microfichées</w:t>
      </w:r>
      <w:r>
        <w:rPr>
          <w:rFonts w:ascii="Times New Roman" w:hAnsi="Times New Roman" w:cs="Times New Roman"/>
          <w:sz w:val="24"/>
        </w:rPr>
        <w:t xml:space="preserve"> qu’elle conserve. D’après le service Informatique documentaire,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w:t>
      </w:r>
      <w:r>
        <w:rPr>
          <w:rFonts w:ascii="Times New Roman" w:hAnsi="Times New Roman" w:cs="Times New Roman"/>
          <w:sz w:val="24"/>
        </w:rPr>
        <w:t xml:space="preserve"> BIU Cujas possède 25 840 microfiches. Dans ce lot, un grand nombre d’entre elles sont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w:t>
      </w:r>
      <w:r>
        <w:rPr>
          <w:rFonts w:ascii="Times New Roman" w:hAnsi="Times New Roman" w:cs="Times New Roman"/>
          <w:sz w:val="24"/>
        </w:rPr>
        <w:t xml:space="preserve"> thèses de droit </w:t>
      </w:r>
      <w:r>
        <w:rPr>
          <w:rFonts w:ascii="Times New Roman" w:hAnsi="Times New Roman" w:cs="Times New Roman"/>
          <w:sz w:val="24"/>
        </w:rPr>
        <w:t xml:space="preserve">microfichées</w:t>
      </w:r>
      <w:r>
        <w:rPr>
          <w:rFonts w:ascii="Times New Roman" w:hAnsi="Times New Roman" w:cs="Times New Roman"/>
          <w:sz w:val="24"/>
        </w:rPr>
        <w:t xml:space="preserve"> qui ne sont pas signalées dans le </w:t>
      </w:r>
      <w:r>
        <w:rPr>
          <w:rFonts w:ascii="Times New Roman" w:hAnsi="Times New Roman" w:cs="Times New Roman"/>
          <w:sz w:val="24"/>
        </w:rPr>
        <w:t xml:space="preserve">Sudoc</w:t>
      </w:r>
      <w:r>
        <w:rPr>
          <w:rFonts w:ascii="Times New Roman" w:hAnsi="Times New Roman" w:cs="Times New Roman"/>
          <w:sz w:val="24"/>
        </w:rPr>
        <w:t xml:space="preserve">. Une partie d’entre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elles</w:t>
      </w:r>
      <w:r>
        <w:rPr>
          <w:rFonts w:ascii="Times New Roman" w:hAnsi="Times New Roman" w:cs="Times New Roman"/>
          <w:sz w:val="24"/>
        </w:rPr>
        <w:t xml:space="preserve"> sont des </w:t>
      </w:r>
      <w:r>
        <w:rPr>
          <w:rFonts w:ascii="Times New Roman" w:hAnsi="Times New Roman" w:cs="Times New Roman"/>
          <w:sz w:val="24"/>
        </w:rPr>
        <w:t xml:space="preserve">unica</w:t>
      </w:r>
      <w:r>
        <w:rPr>
          <w:rFonts w:ascii="Times New Roman" w:hAnsi="Times New Roman" w:cs="Times New Roman"/>
          <w:sz w:val="24"/>
        </w:rPr>
        <w:t xml:space="preserve"> (la BIU est la seule à posséder sous ce support, voire le support papier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n’existe</w:t>
      </w:r>
      <w:r>
        <w:rPr>
          <w:rFonts w:ascii="Times New Roman" w:hAnsi="Times New Roman" w:cs="Times New Roman"/>
          <w:sz w:val="24"/>
        </w:rPr>
        <w:t xml:space="preserve"> plus).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Afin de valoriser ce segment documentaire et de faciliter son accessibilité, l’équipe du</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Traitement documentaire propose d’inventorier, d’évaluer l’état du fonds (récolement,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état</w:t>
      </w:r>
      <w:r>
        <w:rPr>
          <w:rFonts w:ascii="Times New Roman" w:hAnsi="Times New Roman" w:cs="Times New Roman"/>
          <w:sz w:val="24"/>
        </w:rPr>
        <w:t xml:space="preserve"> des microfiches), de localiser les notices des thèses </w:t>
      </w:r>
      <w:r>
        <w:rPr>
          <w:rFonts w:ascii="Times New Roman" w:hAnsi="Times New Roman" w:cs="Times New Roman"/>
          <w:sz w:val="24"/>
        </w:rPr>
        <w:t xml:space="preserve">microfichées</w:t>
      </w:r>
      <w:r>
        <w:rPr>
          <w:rFonts w:ascii="Times New Roman" w:hAnsi="Times New Roman" w:cs="Times New Roman"/>
          <w:sz w:val="24"/>
        </w:rPr>
        <w:t xml:space="preserve"> dans le </w:t>
      </w:r>
      <w:r>
        <w:rPr>
          <w:rFonts w:ascii="Times New Roman" w:hAnsi="Times New Roman" w:cs="Times New Roman"/>
          <w:sz w:val="24"/>
        </w:rPr>
        <w:t xml:space="preserve">Sudoc</w:t>
      </w:r>
      <w:r>
        <w:rPr>
          <w:rFonts w:ascii="Times New Roman" w:hAnsi="Times New Roman" w:cs="Times New Roman"/>
          <w:sz w:val="24"/>
        </w:rPr>
        <w:t xml:space="preserve"> et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signaler</w:t>
      </w:r>
      <w:r>
        <w:rPr>
          <w:rFonts w:ascii="Times New Roman" w:hAnsi="Times New Roman" w:cs="Times New Roman"/>
          <w:sz w:val="24"/>
        </w:rPr>
        <w:t xml:space="preserve"> les notices des </w:t>
      </w:r>
      <w:r>
        <w:rPr>
          <w:rFonts w:ascii="Times New Roman" w:hAnsi="Times New Roman" w:cs="Times New Roman"/>
          <w:sz w:val="24"/>
        </w:rPr>
        <w:t xml:space="preserve">unica</w:t>
      </w:r>
      <w:r>
        <w:rPr>
          <w:rFonts w:ascii="Times New Roman" w:hAnsi="Times New Roman" w:cs="Times New Roman"/>
          <w:sz w:val="24"/>
        </w:rPr>
        <w:t xml:space="preserve">. Une partie des données peuvent être demandées auprès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l’ABES</w:t>
      </w:r>
      <w:r>
        <w:rPr>
          <w:rFonts w:ascii="Times New Roman" w:hAnsi="Times New Roman" w:cs="Times New Roman"/>
          <w:sz w:val="24"/>
        </w:rPr>
        <w:t xml:space="preserve"> afin de vérifier la qualité des notices, les liens autorités, l’indexation matière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Rameau.</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 parallèle et avec l’appui du Service Patrimoine et numérisation, les thèses </w:t>
      </w:r>
      <w:r>
        <w:rPr>
          <w:rFonts w:ascii="Times New Roman" w:hAnsi="Times New Roman" w:cs="Times New Roman"/>
          <w:sz w:val="24"/>
        </w:rPr>
        <w:t xml:space="preserve">microfichées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peuvent</w:t>
      </w:r>
      <w:r>
        <w:rPr>
          <w:rFonts w:ascii="Times New Roman" w:hAnsi="Times New Roman" w:cs="Times New Roman"/>
          <w:sz w:val="24"/>
        </w:rPr>
        <w:t xml:space="preserve"> être numérisées et </w:t>
      </w:r>
      <w:r>
        <w:rPr>
          <w:rFonts w:ascii="Times New Roman" w:hAnsi="Times New Roman" w:cs="Times New Roman"/>
          <w:sz w:val="24"/>
        </w:rPr>
        <w:t xml:space="preserve">océrisées</w:t>
      </w:r>
      <w:r>
        <w:rPr>
          <w:rFonts w:ascii="Times New Roman" w:hAnsi="Times New Roman" w:cs="Times New Roman"/>
          <w:sz w:val="24"/>
        </w:rPr>
        <w:t xml:space="preserve"> afin de faciliter leur consultation en salle de lecture.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numérisation et l’</w:t>
      </w:r>
      <w:r>
        <w:rPr>
          <w:rFonts w:ascii="Times New Roman" w:hAnsi="Times New Roman" w:cs="Times New Roman"/>
          <w:sz w:val="24"/>
        </w:rPr>
        <w:t xml:space="preserve">océrisation</w:t>
      </w:r>
      <w:r>
        <w:rPr>
          <w:rFonts w:ascii="Times New Roman" w:hAnsi="Times New Roman" w:cs="Times New Roman"/>
          <w:sz w:val="24"/>
        </w:rPr>
        <w:t xml:space="preserve"> des thèses peut bénéficier du soutien logistique de l’ANRT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w:t>
      </w:r>
      <w:r>
        <w:rPr>
          <w:rFonts w:ascii="Times New Roman" w:hAnsi="Times New Roman" w:cs="Times New Roman"/>
          <w:sz w:val="24"/>
        </w:rPr>
        <w:t xml:space="preserve">une</w:t>
      </w:r>
      <w:r>
        <w:rPr>
          <w:rFonts w:ascii="Times New Roman" w:hAnsi="Times New Roman" w:cs="Times New Roman"/>
          <w:sz w:val="24"/>
        </w:rPr>
        <w:t xml:space="preserve"> grande partie des thèses est déjà numérisée).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 fonction de l’avancée du chantier et dans le souci de participer au projet national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numérisation</w:t>
      </w:r>
      <w:r>
        <w:rPr>
          <w:rFonts w:ascii="Times New Roman" w:hAnsi="Times New Roman" w:cs="Times New Roman"/>
          <w:sz w:val="24"/>
        </w:rPr>
        <w:t xml:space="preserve"> piloté par l’ABES, une seconde phase sera proposée. Elle portera sur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l’amélioration</w:t>
      </w:r>
      <w:r>
        <w:rPr>
          <w:rFonts w:ascii="Times New Roman" w:hAnsi="Times New Roman" w:cs="Times New Roman"/>
          <w:sz w:val="24"/>
        </w:rPr>
        <w:t xml:space="preserve"> des notices de thèses papier et leur numérisation-</w:t>
      </w:r>
      <w:r>
        <w:rPr>
          <w:rFonts w:ascii="Times New Roman" w:hAnsi="Times New Roman" w:cs="Times New Roman"/>
          <w:sz w:val="24"/>
        </w:rPr>
        <w:t xml:space="preserve">océrisation</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Axe de formation : volonté e </w:t>
      </w:r>
      <w:r>
        <w:rPr>
          <w:rFonts w:ascii="Times New Roman" w:hAnsi="Times New Roman" w:cs="Times New Roman"/>
          <w:sz w:val="24"/>
        </w:rPr>
        <w:t xml:space="preserve">contituer</w:t>
      </w:r>
      <w:r>
        <w:rPr>
          <w:rFonts w:ascii="Times New Roman" w:hAnsi="Times New Roman" w:cs="Times New Roman"/>
          <w:sz w:val="24"/>
        </w:rPr>
        <w:t xml:space="preserve"> à la fois un centre </w:t>
      </w:r>
      <w:r>
        <w:rPr>
          <w:rFonts w:ascii="Times New Roman" w:hAnsi="Times New Roman" w:cs="Times New Roman"/>
          <w:sz w:val="24"/>
        </w:rPr>
        <w:t xml:space="preserve">derecensement</w:t>
      </w:r>
      <w:r>
        <w:rPr>
          <w:rFonts w:ascii="Times New Roman" w:hAnsi="Times New Roman" w:cs="Times New Roman"/>
          <w:sz w:val="24"/>
        </w:rPr>
        <w:t xml:space="preserve"> des productions dans le </w:t>
      </w:r>
      <w:r>
        <w:rPr>
          <w:rFonts w:ascii="Times New Roman" w:hAnsi="Times New Roman" w:cs="Times New Roman"/>
          <w:sz w:val="24"/>
        </w:rPr>
        <w:t xml:space="preserve">domane</w:t>
      </w:r>
      <w:r>
        <w:rPr>
          <w:rFonts w:ascii="Times New Roman" w:hAnsi="Times New Roman" w:cs="Times New Roman"/>
          <w:sz w:val="24"/>
        </w:rPr>
        <w:t xml:space="preserve"> et un centre de production de formations en ligne sous différents formats. </w:t>
      </w:r>
      <w:r>
        <w:rPr>
          <w:rFonts w:ascii="Times New Roman" w:hAnsi="Times New Roman" w:cs="Times New Roman"/>
          <w:sz w:val="24"/>
        </w:rPr>
        <w:t xml:space="preserve">Développer l’enseignements en ligne de type MOOC, dispositif d’autoformation en ligne en accès libre, chaine </w:t>
      </w:r>
      <w:r>
        <w:rPr>
          <w:rFonts w:ascii="Times New Roman" w:hAnsi="Times New Roman" w:cs="Times New Roman"/>
          <w:sz w:val="24"/>
        </w:rPr>
        <w:t xml:space="preserve">video</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-PLUS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Nom : dispositif de signalement mutualisé d’objets non documentaires en science </w:t>
      </w:r>
      <w:r>
        <w:rPr>
          <w:rFonts w:ascii="Times New Roman" w:hAnsi="Times New Roman" w:cs="Times New Roman"/>
          <w:sz w:val="24"/>
        </w:rPr>
        <w:t xml:space="preserve">sjuridiques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Description scientifique du programme :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sous-programme vise à référencer dans une démarche collective et mutualisée,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un</w:t>
      </w:r>
      <w:r>
        <w:rPr>
          <w:rFonts w:ascii="Times New Roman" w:hAnsi="Times New Roman" w:cs="Times New Roman"/>
          <w:sz w:val="24"/>
        </w:rPr>
        <w:t xml:space="preserve"> ensemble d’objets non documentaires au sens strict, tout en les insérant dans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une</w:t>
      </w:r>
      <w:r>
        <w:rPr>
          <w:rFonts w:ascii="Times New Roman" w:hAnsi="Times New Roman" w:cs="Times New Roman"/>
          <w:sz w:val="24"/>
        </w:rPr>
        <w:t xml:space="preserve"> logique de traitement documentaire en termes de référencement et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d’enrichissement</w:t>
      </w:r>
      <w:r>
        <w:rPr>
          <w:rFonts w:ascii="Times New Roman" w:hAnsi="Times New Roman" w:cs="Times New Roman"/>
          <w:sz w:val="24"/>
        </w:rPr>
        <w:t xml:space="preserve"> des métadonnées.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Signalement de sites web (base sélective des signets en science juridique)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Créée au début des années 2000 et alimentée par la BIU Cujas, cette base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signets</w:t>
      </w:r>
      <w:r>
        <w:rPr>
          <w:rFonts w:ascii="Times New Roman" w:hAnsi="Times New Roman" w:cs="Times New Roman"/>
          <w:sz w:val="24"/>
        </w:rPr>
        <w:t xml:space="preserve"> – ou annuaire des sites - a beaucoup évolué depuis. Il a été décidé de se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concentrer</w:t>
      </w:r>
      <w:r>
        <w:rPr>
          <w:rFonts w:ascii="Times New Roman" w:hAnsi="Times New Roman" w:cs="Times New Roman"/>
          <w:sz w:val="24"/>
        </w:rPr>
        <w:t xml:space="preserve"> essentiellement sur le domaine international (environ 2000 signets sur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w:t>
      </w:r>
      <w:r>
        <w:rPr>
          <w:rFonts w:ascii="Times New Roman" w:hAnsi="Times New Roman" w:cs="Times New Roman"/>
          <w:sz w:val="24"/>
        </w:rPr>
        <w:t xml:space="preserve"> 3187 que comprenait la base en décembre 2021) permettant ainsi l’accès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gratuit</w:t>
      </w:r>
      <w:r>
        <w:rPr>
          <w:rFonts w:ascii="Times New Roman" w:hAnsi="Times New Roman" w:cs="Times New Roman"/>
          <w:sz w:val="24"/>
        </w:rPr>
        <w:t xml:space="preserve"> à des informations sur les systèmes juridiques de pays souvent peu</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documentés</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L’objectif est de mettre à disposition du public visé (étudiants, chercheurs, mais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aussi</w:t>
      </w:r>
      <w:r>
        <w:rPr>
          <w:rFonts w:ascii="Times New Roman" w:hAnsi="Times New Roman" w:cs="Times New Roman"/>
          <w:sz w:val="24"/>
        </w:rPr>
        <w:t xml:space="preserve"> professionnels des bibliothèques, grand public) un annuaire régulièrement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actualisé</w:t>
      </w:r>
      <w:r>
        <w:rPr>
          <w:rFonts w:ascii="Times New Roman" w:hAnsi="Times New Roman" w:cs="Times New Roman"/>
          <w:sz w:val="24"/>
        </w:rPr>
        <w:t xml:space="preserve"> de signets gratuits dans le domaine des sciences juridiques sur un mode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collaboratif</w:t>
      </w:r>
      <w:r>
        <w:rPr>
          <w:rFonts w:ascii="Times New Roman" w:hAnsi="Times New Roman" w:cs="Times New Roman"/>
          <w:sz w:val="24"/>
        </w:rPr>
        <w:t xml:space="preserve"> avec des notices intégrables dans les systèmes d’information et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rebonds</w:t>
      </w:r>
      <w:r>
        <w:rPr>
          <w:rFonts w:ascii="Times New Roman" w:hAnsi="Times New Roman" w:cs="Times New Roman"/>
          <w:sz w:val="24"/>
        </w:rPr>
        <w:t xml:space="preserve"> possibles vers d’autres ressources (ex : </w:t>
      </w:r>
      <w:r>
        <w:rPr>
          <w:rFonts w:ascii="Times New Roman" w:hAnsi="Times New Roman" w:cs="Times New Roman"/>
          <w:sz w:val="24"/>
        </w:rPr>
        <w:t xml:space="preserve">Jurisguide</w:t>
      </w:r>
      <w:r>
        <w:rPr>
          <w:rFonts w:ascii="Times New Roman" w:hAnsi="Times New Roman" w:cs="Times New Roman"/>
          <w:sz w:val="24"/>
        </w:rPr>
        <w:t xml:space="preserve"> ; </w:t>
      </w:r>
      <w:r>
        <w:rPr>
          <w:rFonts w:ascii="Times New Roman" w:hAnsi="Times New Roman" w:cs="Times New Roman"/>
          <w:sz w:val="24"/>
        </w:rPr>
        <w:t xml:space="preserve">Moocs</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travail est réalisé en mode collaboratif en interne à la BIU Cujas et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éventuellement</w:t>
      </w:r>
      <w:r>
        <w:rPr>
          <w:rFonts w:ascii="Times New Roman" w:hAnsi="Times New Roman" w:cs="Times New Roman"/>
          <w:sz w:val="24"/>
        </w:rPr>
        <w:t xml:space="preserve"> en externe afin d’alimenter un corpus préalablement défini.</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partenaires potentiels pour développer une démarche mutualisée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d’alimentation</w:t>
      </w:r>
      <w:r>
        <w:rPr>
          <w:rFonts w:ascii="Times New Roman" w:hAnsi="Times New Roman" w:cs="Times New Roman"/>
          <w:sz w:val="24"/>
        </w:rPr>
        <w:t xml:space="preserve"> seraient ceux qui sont déjà mobilisés dans le réseau </w:t>
      </w:r>
      <w:r>
        <w:rPr>
          <w:rFonts w:ascii="Times New Roman" w:hAnsi="Times New Roman" w:cs="Times New Roman"/>
          <w:sz w:val="24"/>
        </w:rPr>
        <w:t xml:space="preserve">Jurisguide</w:t>
      </w:r>
      <w:r>
        <w:rPr>
          <w:rFonts w:ascii="Times New Roman" w:hAnsi="Times New Roman" w:cs="Times New Roman"/>
          <w:sz w:val="24"/>
        </w:rPr>
        <w:t xml:space="preserve"> (le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réseau</w:t>
      </w:r>
      <w:r>
        <w:rPr>
          <w:rFonts w:ascii="Times New Roman" w:hAnsi="Times New Roman" w:cs="Times New Roman"/>
          <w:sz w:val="24"/>
        </w:rPr>
        <w:t xml:space="preserve"> </w:t>
      </w:r>
      <w:r>
        <w:rPr>
          <w:rFonts w:ascii="Times New Roman" w:hAnsi="Times New Roman" w:cs="Times New Roman"/>
          <w:sz w:val="24"/>
        </w:rPr>
        <w:t xml:space="preserve">Jurisguide</w:t>
      </w:r>
      <w:r>
        <w:rPr>
          <w:rFonts w:ascii="Times New Roman" w:hAnsi="Times New Roman" w:cs="Times New Roman"/>
          <w:sz w:val="24"/>
        </w:rPr>
        <w:t xml:space="preserve"> regroupe la BIU Cujas, les SCD de Lille, Lyon 3, Paris 1, Paris 2,</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Paris Ouest, Paris 13, Toulouse 1, Tours, Nice-Sophia Antipolis, Aix-Marseille, le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service</w:t>
      </w:r>
      <w:r>
        <w:rPr>
          <w:rFonts w:ascii="Times New Roman" w:hAnsi="Times New Roman" w:cs="Times New Roman"/>
          <w:sz w:val="24"/>
        </w:rPr>
        <w:t xml:space="preserve"> de la documentation et de l’édition de l’Université de Lorraine,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Documentation de la Faculté de droit et de sciences sociales de Poitiers, BAPSO</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(Bibliothèques et </w:t>
      </w:r>
      <w:r>
        <w:rPr>
          <w:rFonts w:ascii="Times New Roman" w:hAnsi="Times New Roman" w:cs="Times New Roman"/>
          <w:sz w:val="24"/>
        </w:rPr>
        <w:t xml:space="preserve">APpui</w:t>
      </w:r>
      <w:r>
        <w:rPr>
          <w:rFonts w:ascii="Times New Roman" w:hAnsi="Times New Roman" w:cs="Times New Roman"/>
          <w:sz w:val="24"/>
        </w:rPr>
        <w:t xml:space="preserve"> à la Science Ouverte) - Grenoble-Alpes).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réseau pourrait éventuellement élargi à d’autres établissements, notamment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w:t>
      </w:r>
      <w:r>
        <w:rPr>
          <w:rFonts w:ascii="Times New Roman" w:hAnsi="Times New Roman" w:cs="Times New Roman"/>
          <w:sz w:val="24"/>
        </w:rPr>
        <w:t xml:space="preserve"> services documentaires des universités de Bordeaux, Angers, Brest, Nantes…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w:t>
      </w:r>
      <w:r>
        <w:rPr>
          <w:rFonts w:ascii="Times New Roman" w:hAnsi="Times New Roman" w:cs="Times New Roman"/>
          <w:sz w:val="24"/>
        </w:rPr>
        <w:t xml:space="preserve">environ</w:t>
      </w:r>
      <w:r>
        <w:rPr>
          <w:rFonts w:ascii="Times New Roman" w:hAnsi="Times New Roman" w:cs="Times New Roman"/>
          <w:sz w:val="24"/>
        </w:rPr>
        <w:t xml:space="preserve"> 60 établissements dans le domaine juridique).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actions de ce chantier consisteraient en un volet organisationnel et un volet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technique</w:t>
      </w:r>
      <w:r>
        <w:rPr>
          <w:rFonts w:ascii="Times New Roman" w:hAnsi="Times New Roman" w:cs="Times New Roman"/>
          <w:sz w:val="24"/>
        </w:rPr>
        <w:t xml:space="preserve">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 Mettre en place un réseau de veille partagée dans le domaine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juridique</w:t>
      </w:r>
      <w:r>
        <w:rPr>
          <w:rFonts w:ascii="Times New Roman" w:hAnsi="Times New Roman" w:cs="Times New Roman"/>
          <w:sz w:val="24"/>
        </w:rPr>
        <w:t xml:space="preserve">, avec une spécialisation sur des thématiques précises. Il s’agit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w:t>
      </w:r>
      <w:r>
        <w:rPr>
          <w:rFonts w:ascii="Times New Roman" w:hAnsi="Times New Roman" w:cs="Times New Roman"/>
          <w:sz w:val="24"/>
        </w:rPr>
        <w:t xml:space="preserve"> formaliser la ligne éditoriale de la base.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 Mise en place d’un outil informatique permettant la saisie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collaborative</w:t>
      </w:r>
      <w:r>
        <w:rPr>
          <w:rFonts w:ascii="Times New Roman" w:hAnsi="Times New Roman" w:cs="Times New Roman"/>
          <w:sz w:val="24"/>
        </w:rPr>
        <w:t xml:space="preserve">, le signalement et la sauvegarde de la base de signets.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base</w:t>
      </w:r>
      <w:r>
        <w:rPr>
          <w:rFonts w:ascii="Times New Roman" w:hAnsi="Times New Roman" w:cs="Times New Roman"/>
          <w:sz w:val="24"/>
        </w:rPr>
        <w:t xml:space="preserve"> des signets pourrait alors avantageusement rejoindre le </w:t>
      </w:r>
      <w:r>
        <w:rPr>
          <w:rFonts w:ascii="Times New Roman" w:hAnsi="Times New Roman" w:cs="Times New Roman"/>
          <w:sz w:val="24"/>
        </w:rPr>
        <w:t xml:space="preserve">Jurisguide</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w:t>
      </w:r>
      <w:r>
        <w:rPr>
          <w:rFonts w:ascii="Times New Roman" w:hAnsi="Times New Roman" w:cs="Times New Roman"/>
          <w:sz w:val="24"/>
        </w:rPr>
        <w:t xml:space="preserve"> apportant un volet supplémentaire de recueil d’information. La base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constituant</w:t>
      </w:r>
      <w:r>
        <w:rPr>
          <w:rFonts w:ascii="Times New Roman" w:hAnsi="Times New Roman" w:cs="Times New Roman"/>
          <w:sz w:val="24"/>
        </w:rPr>
        <w:t xml:space="preserve"> un nouveau gisement de métadonnées qui seront ensuite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liées</w:t>
      </w:r>
      <w:r>
        <w:rPr>
          <w:rFonts w:ascii="Times New Roman" w:hAnsi="Times New Roman" w:cs="Times New Roman"/>
          <w:sz w:val="24"/>
        </w:rPr>
        <w:t xml:space="preserve"> à d’autres gisements.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Alimentation du </w:t>
      </w:r>
      <w:r>
        <w:rPr>
          <w:rFonts w:ascii="Times New Roman" w:hAnsi="Times New Roman" w:cs="Times New Roman"/>
          <w:sz w:val="24"/>
        </w:rPr>
        <w:t xml:space="preserve">Jurisguide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site est destiné aux étudiants en sciences juridiques et aux formateurs aux</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méthodologies</w:t>
      </w:r>
      <w:r>
        <w:rPr>
          <w:rFonts w:ascii="Times New Roman" w:hAnsi="Times New Roman" w:cs="Times New Roman"/>
          <w:sz w:val="24"/>
        </w:rPr>
        <w:t xml:space="preserve"> de recherche d’information juridique. Il propose un panorama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ressources</w:t>
      </w:r>
      <w:r>
        <w:rPr>
          <w:rFonts w:ascii="Times New Roman" w:hAnsi="Times New Roman" w:cs="Times New Roman"/>
          <w:sz w:val="24"/>
        </w:rPr>
        <w:t xml:space="preserve"> documentaires disponibles dans le domaine du droit, des guides pour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pratiquer</w:t>
      </w:r>
      <w:r>
        <w:rPr>
          <w:rFonts w:ascii="Times New Roman" w:hAnsi="Times New Roman" w:cs="Times New Roman"/>
          <w:sz w:val="24"/>
        </w:rPr>
        <w:t xml:space="preserve"> une recherche d’informations efficace, des outils et des supports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formation</w:t>
      </w:r>
      <w:r>
        <w:rPr>
          <w:rFonts w:ascii="Times New Roman" w:hAnsi="Times New Roman" w:cs="Times New Roman"/>
          <w:sz w:val="24"/>
        </w:rPr>
        <w:t xml:space="preserve"> pour accompagner la réalisation de cours.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Deux types de ressources sont proposées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 des fiches sur des ressources documentaires : 163 fiches descriptives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revues</w:t>
      </w:r>
      <w:r>
        <w:rPr>
          <w:rFonts w:ascii="Times New Roman" w:hAnsi="Times New Roman" w:cs="Times New Roman"/>
          <w:sz w:val="24"/>
        </w:rPr>
        <w:t xml:space="preserve">, encyclopédies, dictionnaires, banques de données,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 des fiches sur des ressources pédagogiques : 102 guides et supports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pédagogiques</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Mise en place à l’initiative du Ministère de l’Education Nationale, la première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version</w:t>
      </w:r>
      <w:r>
        <w:rPr>
          <w:rFonts w:ascii="Times New Roman" w:hAnsi="Times New Roman" w:cs="Times New Roman"/>
          <w:sz w:val="24"/>
        </w:rPr>
        <w:t xml:space="preserve"> du </w:t>
      </w:r>
      <w:r>
        <w:rPr>
          <w:rFonts w:ascii="Times New Roman" w:hAnsi="Times New Roman" w:cs="Times New Roman"/>
          <w:sz w:val="24"/>
        </w:rPr>
        <w:t xml:space="preserve">Jurisguide</w:t>
      </w:r>
      <w:r>
        <w:rPr>
          <w:rFonts w:ascii="Times New Roman" w:hAnsi="Times New Roman" w:cs="Times New Roman"/>
          <w:sz w:val="24"/>
        </w:rPr>
        <w:t xml:space="preserve"> a été réalisée en juin 2000 par l’URFIST de Paris en étroite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collaboration</w:t>
      </w:r>
      <w:r>
        <w:rPr>
          <w:rFonts w:ascii="Times New Roman" w:hAnsi="Times New Roman" w:cs="Times New Roman"/>
          <w:sz w:val="24"/>
        </w:rPr>
        <w:t xml:space="preserve"> avec la bibliothèque interuniversitaire Cujas. Il a été entièrement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refondu</w:t>
      </w:r>
      <w:r>
        <w:rPr>
          <w:rFonts w:ascii="Times New Roman" w:hAnsi="Times New Roman" w:cs="Times New Roman"/>
          <w:sz w:val="24"/>
        </w:rPr>
        <w:t xml:space="preserve"> sous la coordination de Cujas en 2008, puis en 2016.</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Aujourd’hui, la bibliothèque Cujas coordonne les évolutions et l’actualisation du</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site</w:t>
      </w:r>
      <w:r>
        <w:rPr>
          <w:rFonts w:ascii="Times New Roman" w:hAnsi="Times New Roman" w:cs="Times New Roman"/>
          <w:sz w:val="24"/>
        </w:rPr>
        <w:t xml:space="preserve"> en partenariat avec 14 bibliothèques universitaires associées à son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développement</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Objectifs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1-Enrichir le site actuel par des capsules vidéos.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Partenaires : services de documentation du réseau des partenaires (pour les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contenus</w:t>
      </w:r>
      <w:r>
        <w:rPr>
          <w:rFonts w:ascii="Times New Roman" w:hAnsi="Times New Roman" w:cs="Times New Roman"/>
          <w:sz w:val="24"/>
        </w:rPr>
        <w:t xml:space="preserve">), services de communication et d’ingénierie pédagogique ou</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prestataires</w:t>
      </w:r>
      <w:r>
        <w:rPr>
          <w:rFonts w:ascii="Times New Roman" w:hAnsi="Times New Roman" w:cs="Times New Roman"/>
          <w:sz w:val="24"/>
        </w:rPr>
        <w:t xml:space="preserve"> privés (pour la réalisation)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2-Rendre le site plus largement accessible par le biais de la traduction.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Partenaires : organismes spécialisés en traduction dans le domaine juridique.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Signalement des manifestations académiques (</w:t>
      </w:r>
      <w:r>
        <w:rPr>
          <w:rFonts w:ascii="Times New Roman" w:hAnsi="Times New Roman" w:cs="Times New Roman"/>
          <w:sz w:val="24"/>
        </w:rPr>
        <w:t xml:space="preserve">Calenda</w:t>
      </w:r>
      <w:r>
        <w:rPr>
          <w:rFonts w:ascii="Times New Roman" w:hAnsi="Times New Roman" w:cs="Times New Roman"/>
          <w:sz w:val="24"/>
        </w:rPr>
        <w:t xml:space="preserve"> Droit) et des expositions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w:t>
      </w:r>
      <w:r>
        <w:rPr>
          <w:rFonts w:ascii="Times New Roman" w:hAnsi="Times New Roman" w:cs="Times New Roman"/>
          <w:sz w:val="24"/>
        </w:rPr>
        <w:t xml:space="preserve">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Assurer le recensement et l’annonce des manifestations organisées par les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enseignants</w:t>
      </w:r>
      <w:r>
        <w:rPr>
          <w:rFonts w:ascii="Times New Roman" w:hAnsi="Times New Roman" w:cs="Times New Roman"/>
          <w:sz w:val="24"/>
        </w:rPr>
        <w:t xml:space="preserve"> en sciences juridiques (conférences, colloques, journées d’étude), sur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w:t>
      </w:r>
      <w:r>
        <w:rPr>
          <w:rFonts w:ascii="Times New Roman" w:hAnsi="Times New Roman" w:cs="Times New Roman"/>
          <w:sz w:val="24"/>
        </w:rPr>
        <w:t xml:space="preserve"> modèle du service </w:t>
      </w:r>
      <w:r>
        <w:rPr>
          <w:rFonts w:ascii="Times New Roman" w:hAnsi="Times New Roman" w:cs="Times New Roman"/>
          <w:sz w:val="24"/>
        </w:rPr>
        <w:t xml:space="preserve">Calenda</w:t>
      </w:r>
      <w:r>
        <w:rPr>
          <w:rFonts w:ascii="Times New Roman" w:hAnsi="Times New Roman" w:cs="Times New Roman"/>
          <w:sz w:val="24"/>
        </w:rPr>
        <w:t xml:space="preserve"> développé par </w:t>
      </w:r>
      <w:r>
        <w:rPr>
          <w:rFonts w:ascii="Times New Roman" w:hAnsi="Times New Roman" w:cs="Times New Roman"/>
          <w:sz w:val="24"/>
        </w:rPr>
        <w:t xml:space="preserve">OpenEdition</w:t>
      </w:r>
      <w:r>
        <w:rPr>
          <w:rFonts w:ascii="Times New Roman" w:hAnsi="Times New Roman" w:cs="Times New Roman"/>
          <w:sz w:val="24"/>
        </w:rPr>
        <w:t xml:space="preserve"> mais avec une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réutilisation</w:t>
      </w:r>
      <w:r>
        <w:rPr>
          <w:rFonts w:ascii="Times New Roman" w:hAnsi="Times New Roman" w:cs="Times New Roman"/>
          <w:sz w:val="24"/>
        </w:rPr>
        <w:t xml:space="preserve"> plus importante des données collectées à des fins d’informations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précises</w:t>
      </w:r>
      <w:r>
        <w:rPr>
          <w:rFonts w:ascii="Times New Roman" w:hAnsi="Times New Roman" w:cs="Times New Roman"/>
          <w:sz w:val="24"/>
        </w:rPr>
        <w:t xml:space="preserve"> sur les contributions et d’analyse des réseaux de sociabilité. Ce projet 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pourra</w:t>
      </w:r>
      <w:r>
        <w:rPr>
          <w:rFonts w:ascii="Times New Roman" w:hAnsi="Times New Roman" w:cs="Times New Roman"/>
          <w:sz w:val="24"/>
        </w:rPr>
        <w:t xml:space="preserve"> pas se faire sans une complète collaboration avec le portail universitaire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du</w:t>
      </w:r>
      <w:r>
        <w:rPr>
          <w:rFonts w:ascii="Times New Roman" w:hAnsi="Times New Roman" w:cs="Times New Roman"/>
          <w:sz w:val="24"/>
        </w:rPr>
        <w:t xml:space="preserve"> droit qui collecte déjà ce type d’information. Il s’agira donc d’unir nos efforts,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w:t>
      </w:r>
      <w:r>
        <w:rPr>
          <w:rFonts w:ascii="Times New Roman" w:hAnsi="Times New Roman" w:cs="Times New Roman"/>
          <w:sz w:val="24"/>
        </w:rPr>
        <w:t xml:space="preserve"> bibliothèque Cujas apportant une dimension notamment technique permettant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une</w:t>
      </w:r>
      <w:r>
        <w:rPr>
          <w:rFonts w:ascii="Times New Roman" w:hAnsi="Times New Roman" w:cs="Times New Roman"/>
          <w:sz w:val="24"/>
        </w:rPr>
        <w:t xml:space="preserve"> meilleure réutilisation des informations collectées et diffusées.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expositions en ligne réalisées par la bibliothèque Cujas ou d’autres expositions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inscrites</w:t>
      </w:r>
      <w:r>
        <w:rPr>
          <w:rFonts w:ascii="Times New Roman" w:hAnsi="Times New Roman" w:cs="Times New Roman"/>
          <w:sz w:val="24"/>
        </w:rPr>
        <w:t xml:space="preserve"> dans le domaine juridique pourront trouver un espace commun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22</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signalement</w:t>
      </w:r>
      <w:r>
        <w:rPr>
          <w:rFonts w:ascii="Times New Roman" w:hAnsi="Times New Roman" w:cs="Times New Roman"/>
          <w:sz w:val="24"/>
        </w:rPr>
        <w:t xml:space="preserve">. Elles trouveront avec </w:t>
      </w:r>
      <w:r>
        <w:rPr>
          <w:rFonts w:ascii="Times New Roman" w:hAnsi="Times New Roman" w:cs="Times New Roman"/>
          <w:sz w:val="24"/>
        </w:rPr>
        <w:t xml:space="preserve">Juridissima</w:t>
      </w:r>
      <w:r>
        <w:rPr>
          <w:rFonts w:ascii="Times New Roman" w:hAnsi="Times New Roman" w:cs="Times New Roman"/>
          <w:sz w:val="24"/>
        </w:rPr>
        <w:t xml:space="preserve"> un relais supplémentaire pour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signaler</w:t>
      </w:r>
      <w:r>
        <w:rPr>
          <w:rFonts w:ascii="Times New Roman" w:hAnsi="Times New Roman" w:cs="Times New Roman"/>
          <w:sz w:val="24"/>
        </w:rPr>
        <w:t xml:space="preserve"> leurs réalisations de façon pérenne.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Signalement des formations documentaires en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chantier consiste à recenser avec une approche participative tous les dispositifs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w:t>
      </w:r>
      <w:r>
        <w:rPr>
          <w:rFonts w:ascii="Times New Roman" w:hAnsi="Times New Roman" w:cs="Times New Roman"/>
          <w:sz w:val="24"/>
        </w:rPr>
        <w:t xml:space="preserve"> formation librement accessibles ou non, proposés par les acteurs publics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l’ESR</w:t>
      </w:r>
      <w:r>
        <w:rPr>
          <w:rFonts w:ascii="Times New Roman" w:hAnsi="Times New Roman" w:cs="Times New Roman"/>
          <w:sz w:val="24"/>
        </w:rPr>
        <w:t xml:space="preserve"> en sciences juridiques, afin de faciliter l’accès à ces formations.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-SO :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Nom : programme de renforcement des dispositifs de science ouverte en science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Description scientifique du programme :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sous-programme aborde la science ouverte sous l’angle disciplinaire avec trois volets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 L’ouverture des écrits scientifiques, sachant que les publications du secteur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juridique</w:t>
      </w:r>
      <w:r>
        <w:rPr>
          <w:rFonts w:ascii="Times New Roman" w:hAnsi="Times New Roman" w:cs="Times New Roman"/>
          <w:sz w:val="24"/>
        </w:rPr>
        <w:t xml:space="preserve"> sont spécifiques et ne répondent pas aux mêmes règles et usages que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w:t>
      </w:r>
      <w:r>
        <w:rPr>
          <w:rFonts w:ascii="Times New Roman" w:hAnsi="Times New Roman" w:cs="Times New Roman"/>
          <w:sz w:val="24"/>
        </w:rPr>
        <w:t xml:space="preserve"> autres domaines scientifiques, la majorité des auteurs étant rémunérés par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w:t>
      </w:r>
      <w:r>
        <w:rPr>
          <w:rFonts w:ascii="Times New Roman" w:hAnsi="Times New Roman" w:cs="Times New Roman"/>
          <w:sz w:val="24"/>
        </w:rPr>
        <w:t xml:space="preserve"> éditeurs pour leur activité de publication.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24</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 Les données de la recherche, là encore le secteur juridique est particulier et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partage</w:t>
      </w:r>
      <w:r>
        <w:rPr>
          <w:rFonts w:ascii="Times New Roman" w:hAnsi="Times New Roman" w:cs="Times New Roman"/>
          <w:sz w:val="24"/>
        </w:rPr>
        <w:t xml:space="preserve"> des points communs avec une partie des humanités. Les données de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recherche</w:t>
      </w:r>
      <w:r>
        <w:rPr>
          <w:rFonts w:ascii="Times New Roman" w:hAnsi="Times New Roman" w:cs="Times New Roman"/>
          <w:sz w:val="24"/>
        </w:rPr>
        <w:t xml:space="preserve"> sont en très grande partie des corpus de documents, édités ou pas.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 L’édition juridique ouverte possède aussi un fort volant de spécificités. L’édition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juridique</w:t>
      </w:r>
      <w:r>
        <w:rPr>
          <w:rFonts w:ascii="Times New Roman" w:hAnsi="Times New Roman" w:cs="Times New Roman"/>
          <w:sz w:val="24"/>
        </w:rPr>
        <w:t xml:space="preserve"> pouvant être de nature académique et adopter les canons d’autres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publications</w:t>
      </w:r>
      <w:r>
        <w:rPr>
          <w:rFonts w:ascii="Times New Roman" w:hAnsi="Times New Roman" w:cs="Times New Roman"/>
          <w:sz w:val="24"/>
        </w:rPr>
        <w:t xml:space="preserve"> en sciences humaines et sociales, soit de nature professionnelle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avec</w:t>
      </w:r>
      <w:r>
        <w:rPr>
          <w:rFonts w:ascii="Times New Roman" w:hAnsi="Times New Roman" w:cs="Times New Roman"/>
          <w:sz w:val="24"/>
        </w:rPr>
        <w:t xml:space="preserve"> une double dimension et de ce fait un double univers d’irrigation, le monde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académique</w:t>
      </w:r>
      <w:r>
        <w:rPr>
          <w:rFonts w:ascii="Times New Roman" w:hAnsi="Times New Roman" w:cs="Times New Roman"/>
          <w:sz w:val="24"/>
        </w:rPr>
        <w:t xml:space="preserve"> et le monde des professionnels du droit.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Création d’une collection HAL Droit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archives ouvertes institutionnelles des établissements sont dans leur grande majorité</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adossées</w:t>
      </w:r>
      <w:r>
        <w:rPr>
          <w:rFonts w:ascii="Times New Roman" w:hAnsi="Times New Roman" w:cs="Times New Roman"/>
          <w:sz w:val="24"/>
        </w:rPr>
        <w:t xml:space="preserve"> à la plateforme nationale HAL administrée par le CCSD dont elles constituent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un</w:t>
      </w:r>
      <w:r>
        <w:rPr>
          <w:rFonts w:ascii="Times New Roman" w:hAnsi="Times New Roman" w:cs="Times New Roman"/>
          <w:sz w:val="24"/>
        </w:rPr>
        <w:t xml:space="preserve"> sous-ensemble avec une vue institutionnelle. Il existe par ailleurs quelques collections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thématiques</w:t>
      </w:r>
      <w:r>
        <w:rPr>
          <w:rFonts w:ascii="Times New Roman" w:hAnsi="Times New Roman" w:cs="Times New Roman"/>
          <w:sz w:val="24"/>
        </w:rPr>
        <w:t xml:space="preserve"> dont la collection HAL SHS qui référence tous les écrits scientifiques en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sciences</w:t>
      </w:r>
      <w:r>
        <w:rPr>
          <w:rFonts w:ascii="Times New Roman" w:hAnsi="Times New Roman" w:cs="Times New Roman"/>
          <w:sz w:val="24"/>
        </w:rPr>
        <w:t xml:space="preserve"> humaines et sociales avec un spectre large qui inclut les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bibliothèque Cujas se prose de créer une collection spécifique aux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et</w:t>
      </w:r>
      <w:r>
        <w:rPr>
          <w:rFonts w:ascii="Times New Roman" w:hAnsi="Times New Roman" w:cs="Times New Roman"/>
          <w:sz w:val="24"/>
        </w:rPr>
        <w:t xml:space="preserve"> de créer ainsi une collection HAL Droit pour permettre une vue limitée à ce champ</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disciplinaire</w:t>
      </w:r>
      <w:r>
        <w:rPr>
          <w:rFonts w:ascii="Times New Roman" w:hAnsi="Times New Roman" w:cs="Times New Roman"/>
          <w:sz w:val="24"/>
        </w:rPr>
        <w:t xml:space="preserve">. L’intérêt est de donner à voir ce large champ disciplinaire et de construire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w:t>
      </w:r>
      <w:r>
        <w:rPr>
          <w:rFonts w:ascii="Times New Roman" w:hAnsi="Times New Roman" w:cs="Times New Roman"/>
          <w:sz w:val="24"/>
        </w:rPr>
        <w:t xml:space="preserve"> services adossés à ce champ (par exemple l’analyse des collaborations). Nous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proposons</w:t>
      </w:r>
      <w:r>
        <w:rPr>
          <w:rFonts w:ascii="Times New Roman" w:hAnsi="Times New Roman" w:cs="Times New Roman"/>
          <w:sz w:val="24"/>
        </w:rPr>
        <w:t xml:space="preserve"> de mettre en relation ces données avec le travail de recensement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laboratoires</w:t>
      </w:r>
      <w:r>
        <w:rPr>
          <w:rFonts w:ascii="Times New Roman" w:hAnsi="Times New Roman" w:cs="Times New Roman"/>
          <w:sz w:val="24"/>
        </w:rPr>
        <w:t xml:space="preserve"> (effectué notamment par le portail universitaire du droit) et d’engager une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opération</w:t>
      </w:r>
      <w:r>
        <w:rPr>
          <w:rFonts w:ascii="Times New Roman" w:hAnsi="Times New Roman" w:cs="Times New Roman"/>
          <w:sz w:val="24"/>
        </w:rPr>
        <w:t xml:space="preserve"> de fiabilisation des données d’affiliation permettant d’avoir une approche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dynamique</w:t>
      </w:r>
      <w:r>
        <w:rPr>
          <w:rFonts w:ascii="Times New Roman" w:hAnsi="Times New Roman" w:cs="Times New Roman"/>
          <w:sz w:val="24"/>
        </w:rPr>
        <w:t xml:space="preserve"> intégrant les évolutions de rattachement dans la carrière des </w:t>
      </w:r>
      <w:r>
        <w:rPr>
          <w:rFonts w:ascii="Times New Roman" w:hAnsi="Times New Roman" w:cs="Times New Roman"/>
          <w:sz w:val="24"/>
        </w:rPr>
        <w:t xml:space="preserve">enseignantschercheurs</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travail sur les affiliations, sur les structures de recherche sera mis à profit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et</w:t>
      </w:r>
      <w:r>
        <w:rPr>
          <w:rFonts w:ascii="Times New Roman" w:hAnsi="Times New Roman" w:cs="Times New Roman"/>
          <w:sz w:val="24"/>
        </w:rPr>
        <w:t xml:space="preserve"> réutilisable au sein d’autres chantiers exposés dans </w:t>
      </w:r>
      <w:r>
        <w:rPr>
          <w:rFonts w:ascii="Times New Roman" w:hAnsi="Times New Roman" w:cs="Times New Roman"/>
          <w:sz w:val="24"/>
        </w:rPr>
        <w:t xml:space="preserve">Juridissima</w:t>
      </w:r>
      <w:r>
        <w:rPr>
          <w:rFonts w:ascii="Times New Roman" w:hAnsi="Times New Roman" w:cs="Times New Roman"/>
          <w:sz w:val="24"/>
        </w:rPr>
        <w:t xml:space="preserve"> (base des mélanges,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dépouillement</w:t>
      </w:r>
      <w:r>
        <w:rPr>
          <w:rFonts w:ascii="Times New Roman" w:hAnsi="Times New Roman" w:cs="Times New Roman"/>
          <w:sz w:val="24"/>
        </w:rPr>
        <w:t xml:space="preserve"> de revues…). Il s’agit bien évidemment d’une démarche concertée qui</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sera</w:t>
      </w:r>
      <w:r>
        <w:rPr>
          <w:rFonts w:ascii="Times New Roman" w:hAnsi="Times New Roman" w:cs="Times New Roman"/>
          <w:sz w:val="24"/>
        </w:rPr>
        <w:t xml:space="preserve"> réalisée avec l’ensemble des services documentaires volontaires dont l’université</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assure</w:t>
      </w:r>
      <w:r>
        <w:rPr>
          <w:rFonts w:ascii="Times New Roman" w:hAnsi="Times New Roman" w:cs="Times New Roman"/>
          <w:sz w:val="24"/>
        </w:rPr>
        <w:t xml:space="preserve"> des enseignements et de la recherche en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Service d’accompagnement à la gestion des données de la recherche en sciences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L’objectif de cette action est d’engager un travail de définition de ce que recouvre un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plan</w:t>
      </w:r>
      <w:r>
        <w:rPr>
          <w:rFonts w:ascii="Times New Roman" w:hAnsi="Times New Roman" w:cs="Times New Roman"/>
          <w:sz w:val="24"/>
        </w:rPr>
        <w:t xml:space="preserve"> de gestion des données en sciences juridiques, quelle est la nature des données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utilisées</w:t>
      </w:r>
      <w:r>
        <w:rPr>
          <w:rFonts w:ascii="Times New Roman" w:hAnsi="Times New Roman" w:cs="Times New Roman"/>
          <w:sz w:val="24"/>
        </w:rPr>
        <w:t xml:space="preserve">, comment les décrire, comment constituer un jeu de données associées à un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travail</w:t>
      </w:r>
      <w:r>
        <w:rPr>
          <w:rFonts w:ascii="Times New Roman" w:hAnsi="Times New Roman" w:cs="Times New Roman"/>
          <w:sz w:val="24"/>
        </w:rPr>
        <w:t xml:space="preserve"> de recherche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matériau utilisé est généralement essentiellement composé de publications (articles,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contributions</w:t>
      </w:r>
      <w:r>
        <w:rPr>
          <w:rFonts w:ascii="Times New Roman" w:hAnsi="Times New Roman" w:cs="Times New Roman"/>
          <w:sz w:val="24"/>
        </w:rPr>
        <w:t xml:space="preserve">, ouvrages, commentaires…) et de sources primaires émanant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juridictions</w:t>
      </w:r>
      <w:r>
        <w:rPr>
          <w:rFonts w:ascii="Times New Roman" w:hAnsi="Times New Roman" w:cs="Times New Roman"/>
          <w:sz w:val="24"/>
        </w:rPr>
        <w:t xml:space="preserve"> ou encore de l’ensemble de la production législative et réglementaire, amis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d’autres</w:t>
      </w:r>
      <w:r>
        <w:rPr>
          <w:rFonts w:ascii="Times New Roman" w:hAnsi="Times New Roman" w:cs="Times New Roman"/>
          <w:sz w:val="24"/>
        </w:rPr>
        <w:t xml:space="preserve"> documents peuvent aussi être mobilisés.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Un important travail de catégorisation de ces documents est à réaliser, prenant en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compte</w:t>
      </w:r>
      <w:r>
        <w:rPr>
          <w:rFonts w:ascii="Times New Roman" w:hAnsi="Times New Roman" w:cs="Times New Roman"/>
          <w:sz w:val="24"/>
        </w:rPr>
        <w:t xml:space="preserve"> les règles de diffusion associées et les régimes juridiques qui leur sont attachés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et</w:t>
      </w:r>
      <w:r>
        <w:rPr>
          <w:rFonts w:ascii="Times New Roman" w:hAnsi="Times New Roman" w:cs="Times New Roman"/>
          <w:sz w:val="24"/>
        </w:rPr>
        <w:t xml:space="preserve"> qui déterminent la possibilité ou non de les diffuser librement. La question de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description</w:t>
      </w:r>
      <w:r>
        <w:rPr>
          <w:rFonts w:ascii="Times New Roman" w:hAnsi="Times New Roman" w:cs="Times New Roman"/>
          <w:sz w:val="24"/>
        </w:rPr>
        <w:t xml:space="preserve"> et de la citation se pose aussi.</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démarche de clarification de la notion de données de la recherche en sciences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juridiques</w:t>
      </w:r>
      <w:r>
        <w:rPr>
          <w:rFonts w:ascii="Times New Roman" w:hAnsi="Times New Roman" w:cs="Times New Roman"/>
          <w:sz w:val="24"/>
        </w:rPr>
        <w:t xml:space="preserve"> est nécessaire pour accompagner les communautés de recherche qui seront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amenées</w:t>
      </w:r>
      <w:r>
        <w:rPr>
          <w:rFonts w:ascii="Times New Roman" w:hAnsi="Times New Roman" w:cs="Times New Roman"/>
          <w:sz w:val="24"/>
        </w:rPr>
        <w:t xml:space="preserve"> à déposer des plans de gestion des données de la recherche dans le cadre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notamment</w:t>
      </w:r>
      <w:r>
        <w:rPr>
          <w:rFonts w:ascii="Times New Roman" w:hAnsi="Times New Roman" w:cs="Times New Roman"/>
          <w:sz w:val="24"/>
        </w:rPr>
        <w:t xml:space="preserve"> d’appels à projet de l’ANR ou de l’ERC.</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Développement de revues en sciences juridiques en accès ouvert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Dans le cadre du partenariat avec le Pôle éditorial Lyon Saint-Étienne de soutien aux</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revues</w:t>
      </w:r>
      <w:r>
        <w:rPr>
          <w:rFonts w:ascii="Times New Roman" w:hAnsi="Times New Roman" w:cs="Times New Roman"/>
          <w:sz w:val="24"/>
        </w:rPr>
        <w:t xml:space="preserve"> de sciences humaines et sociales en accès ouvert (qui regroupe les universités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Lumière Lyon 2, Jean Moulin Lyon 3 et la MSH Lyon Saint-Étienne), la bibliothèque Cujas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w:t>
      </w:r>
      <w:r>
        <w:rPr>
          <w:rFonts w:ascii="Times New Roman" w:hAnsi="Times New Roman" w:cs="Times New Roman"/>
          <w:sz w:val="24"/>
        </w:rPr>
        <w:t xml:space="preserve"> développé la diffusion de la revue </w:t>
      </w:r>
      <w:r>
        <w:rPr>
          <w:rFonts w:ascii="Times New Roman" w:hAnsi="Times New Roman" w:cs="Times New Roman"/>
          <w:sz w:val="24"/>
        </w:rPr>
        <w:t xml:space="preserve">clio@themis</w:t>
      </w:r>
      <w:r>
        <w:rPr>
          <w:rFonts w:ascii="Times New Roman" w:hAnsi="Times New Roman" w:cs="Times New Roman"/>
          <w:sz w:val="24"/>
        </w:rPr>
        <w:t xml:space="preserve">. Nous souhaitons engager une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démarche</w:t>
      </w:r>
      <w:r>
        <w:rPr>
          <w:rFonts w:ascii="Times New Roman" w:hAnsi="Times New Roman" w:cs="Times New Roman"/>
          <w:sz w:val="24"/>
        </w:rPr>
        <w:t xml:space="preserve"> </w:t>
      </w:r>
      <w:r>
        <w:rPr>
          <w:rFonts w:ascii="Times New Roman" w:hAnsi="Times New Roman" w:cs="Times New Roman"/>
          <w:sz w:val="24"/>
        </w:rPr>
        <w:t xml:space="preserve">pro-active</w:t>
      </w:r>
      <w:r>
        <w:rPr>
          <w:rFonts w:ascii="Times New Roman" w:hAnsi="Times New Roman" w:cs="Times New Roman"/>
          <w:sz w:val="24"/>
        </w:rPr>
        <w:t xml:space="preserve"> d’identification de nouvelles revues qui pourraient s’engager dans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25</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une</w:t>
      </w:r>
      <w:r>
        <w:rPr>
          <w:rFonts w:ascii="Times New Roman" w:hAnsi="Times New Roman" w:cs="Times New Roman"/>
          <w:sz w:val="24"/>
        </w:rPr>
        <w:t xml:space="preserve"> démarche similaire de diffusion électronique ouverte, intégré à la pépinière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revues</w:t>
      </w:r>
      <w:r>
        <w:rPr>
          <w:rFonts w:ascii="Times New Roman" w:hAnsi="Times New Roman" w:cs="Times New Roman"/>
          <w:sz w:val="24"/>
        </w:rPr>
        <w:t xml:space="preserve"> Prairial.</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Pour cela, un recensement préalable des publications susceptibles de rejoindre le projet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doit</w:t>
      </w:r>
      <w:r>
        <w:rPr>
          <w:rFonts w:ascii="Times New Roman" w:hAnsi="Times New Roman" w:cs="Times New Roman"/>
          <w:sz w:val="24"/>
        </w:rPr>
        <w:t xml:space="preserve"> être effectué, plus largement la bibliothèque Cujas se propose de faire un état de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publication</w:t>
      </w:r>
      <w:r>
        <w:rPr>
          <w:rFonts w:ascii="Times New Roman" w:hAnsi="Times New Roman" w:cs="Times New Roman"/>
          <w:sz w:val="24"/>
        </w:rPr>
        <w:t xml:space="preserve"> des revues françaises en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L’objectif est de pouvoir accueillir 3 nouvelles revues sur la plateforme </w:t>
      </w:r>
      <w:r>
        <w:rPr>
          <w:rFonts w:ascii="Times New Roman" w:hAnsi="Times New Roman" w:cs="Times New Roman"/>
          <w:sz w:val="24"/>
        </w:rPr>
        <w:t xml:space="preserve">Pairial</w:t>
      </w:r>
      <w:r>
        <w:rPr>
          <w:rFonts w:ascii="Times New Roman" w:hAnsi="Times New Roman" w:cs="Times New Roman"/>
          <w:sz w:val="24"/>
        </w:rPr>
        <w:t xml:space="preserve"> en 5 ans.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Juris</w:t>
      </w:r>
      <w:r>
        <w:rPr>
          <w:rFonts w:ascii="Times New Roman" w:hAnsi="Times New Roman" w:cs="Times New Roman"/>
          <w:sz w:val="24"/>
        </w:rPr>
        <w:t xml:space="preserve">-PAT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Nom : programme de numérisation, de structuration et d’exploration de corpus juridiques patrimoniaux</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Description scientifique du programme :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sous-programme du programme </w:t>
      </w:r>
      <w:r>
        <w:rPr>
          <w:rFonts w:ascii="Times New Roman" w:hAnsi="Times New Roman" w:cs="Times New Roman"/>
          <w:sz w:val="24"/>
        </w:rPr>
        <w:t xml:space="preserve">Juridissima</w:t>
      </w:r>
      <w:r>
        <w:rPr>
          <w:rFonts w:ascii="Times New Roman" w:hAnsi="Times New Roman" w:cs="Times New Roman"/>
          <w:sz w:val="24"/>
        </w:rPr>
        <w:t xml:space="preserve"> concerne l’axe patrimoine.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patrimoine documentaire juridique repose sur plusieurs gisements documentaires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publics</w:t>
      </w:r>
      <w:r>
        <w:rPr>
          <w:rFonts w:ascii="Times New Roman" w:hAnsi="Times New Roman" w:cs="Times New Roman"/>
          <w:sz w:val="24"/>
        </w:rPr>
        <w:t xml:space="preserve">, en France les deux principaux sont la bibliothèque Cujas et la Bibliothèque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nationale</w:t>
      </w:r>
      <w:r>
        <w:rPr>
          <w:rFonts w:ascii="Times New Roman" w:hAnsi="Times New Roman" w:cs="Times New Roman"/>
          <w:sz w:val="24"/>
        </w:rPr>
        <w:t xml:space="preserve"> de France (</w:t>
      </w:r>
      <w:r>
        <w:rPr>
          <w:rFonts w:ascii="Times New Roman" w:hAnsi="Times New Roman" w:cs="Times New Roman"/>
          <w:sz w:val="24"/>
        </w:rPr>
        <w:t xml:space="preserve">BnF</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Création d’une base de signalement des ressources patrimoniales en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Certains documents qui composent ces collections ont fait l’objet d’une numérisation, dans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w:t>
      </w:r>
      <w:r>
        <w:rPr>
          <w:rFonts w:ascii="Times New Roman" w:hAnsi="Times New Roman" w:cs="Times New Roman"/>
          <w:sz w:val="24"/>
        </w:rPr>
        <w:t xml:space="preserve"> cadre de programmes de numérisation, dont beaucoup résultent de partenariats avec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BnF</w:t>
      </w:r>
      <w:r>
        <w:rPr>
          <w:rFonts w:ascii="Times New Roman" w:hAnsi="Times New Roman" w:cs="Times New Roman"/>
          <w:sz w:val="24"/>
        </w:rPr>
        <w:t xml:space="preserve"> mais pas exclusivement. Des gisements existent aussi à l’étranger (principalement aux</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USA), y compris pour des ressources éditées en France.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volonté de </w:t>
      </w:r>
      <w:r>
        <w:rPr>
          <w:rFonts w:ascii="Times New Roman" w:hAnsi="Times New Roman" w:cs="Times New Roman"/>
          <w:sz w:val="24"/>
        </w:rPr>
        <w:t xml:space="preserve">Juridissima</w:t>
      </w:r>
      <w:r>
        <w:rPr>
          <w:rFonts w:ascii="Times New Roman" w:hAnsi="Times New Roman" w:cs="Times New Roman"/>
          <w:sz w:val="24"/>
        </w:rPr>
        <w:t xml:space="preserve"> est la fois de permettre l’émergence d’un point d’accès unique,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assurant</w:t>
      </w:r>
      <w:r>
        <w:rPr>
          <w:rFonts w:ascii="Times New Roman" w:hAnsi="Times New Roman" w:cs="Times New Roman"/>
          <w:sz w:val="24"/>
        </w:rPr>
        <w:t xml:space="preserve"> un signalement visant l’exhaustivité des collections patrimoniales numérisées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détenues</w:t>
      </w:r>
      <w:r>
        <w:rPr>
          <w:rFonts w:ascii="Times New Roman" w:hAnsi="Times New Roman" w:cs="Times New Roman"/>
          <w:sz w:val="24"/>
        </w:rPr>
        <w:t xml:space="preserve"> par les bibliothèques françaises ou des contenus en langue française détenues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par</w:t>
      </w:r>
      <w:r>
        <w:rPr>
          <w:rFonts w:ascii="Times New Roman" w:hAnsi="Times New Roman" w:cs="Times New Roman"/>
          <w:sz w:val="24"/>
        </w:rPr>
        <w:t xml:space="preserve"> des bibliothèques à l’étranger. Le périmètre sera affiné avec le concours de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communauté</w:t>
      </w:r>
      <w:r>
        <w:rPr>
          <w:rFonts w:ascii="Times New Roman" w:hAnsi="Times New Roman" w:cs="Times New Roman"/>
          <w:sz w:val="24"/>
        </w:rPr>
        <w:t xml:space="preserve"> des historiens du droit, pour adapter les efforts à réaliser aux besoins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cette</w:t>
      </w:r>
      <w:r>
        <w:rPr>
          <w:rFonts w:ascii="Times New Roman" w:hAnsi="Times New Roman" w:cs="Times New Roman"/>
          <w:sz w:val="24"/>
        </w:rPr>
        <w:t xml:space="preserve"> active communauté de recherche, qui constitue un public privilégié de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bibliothèque</w:t>
      </w:r>
      <w:r>
        <w:rPr>
          <w:rFonts w:ascii="Times New Roman" w:hAnsi="Times New Roman" w:cs="Times New Roman"/>
          <w:sz w:val="24"/>
        </w:rPr>
        <w:t xml:space="preserve"> Cujas.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sous-programme doit se déployer également dans deux directions : la production de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nouveaux</w:t>
      </w:r>
      <w:r>
        <w:rPr>
          <w:rFonts w:ascii="Times New Roman" w:hAnsi="Times New Roman" w:cs="Times New Roman"/>
          <w:sz w:val="24"/>
        </w:rPr>
        <w:t xml:space="preserve"> corpus numérisés et structurés, et le développement de services d’exploration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des</w:t>
      </w:r>
      <w:r>
        <w:rPr>
          <w:rFonts w:ascii="Times New Roman" w:hAnsi="Times New Roman" w:cs="Times New Roman"/>
          <w:sz w:val="24"/>
        </w:rPr>
        <w:t xml:space="preserve"> corpus.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Corpus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démarche vise à faire vivre et valoriser le patrimoine juridique de l'enseignement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supérieur</w:t>
      </w:r>
      <w:r>
        <w:rPr>
          <w:rFonts w:ascii="Times New Roman" w:hAnsi="Times New Roman" w:cs="Times New Roman"/>
          <w:sz w:val="24"/>
        </w:rPr>
        <w:t xml:space="preserve">, collections physiques et collections numérisées, en partenariat avec les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chercheurs</w:t>
      </w:r>
      <w:r>
        <w:rPr>
          <w:rFonts w:ascii="Times New Roman" w:hAnsi="Times New Roman" w:cs="Times New Roman"/>
          <w:sz w:val="24"/>
        </w:rPr>
        <w:t xml:space="preserve">, à travers la création de points d'accès mutualisés, le développement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w:t>
      </w:r>
      <w:r>
        <w:rPr>
          <w:rFonts w:ascii="Times New Roman" w:hAnsi="Times New Roman" w:cs="Times New Roman"/>
          <w:sz w:val="24"/>
        </w:rPr>
        <w:t xml:space="preserve">’'outillages de corpus, l’élaboration des services de </w:t>
      </w:r>
      <w:r>
        <w:rPr>
          <w:rFonts w:ascii="Times New Roman" w:hAnsi="Times New Roman" w:cs="Times New Roman"/>
          <w:sz w:val="24"/>
        </w:rPr>
        <w:t xml:space="preserve">co</w:t>
      </w:r>
      <w:r>
        <w:rPr>
          <w:rFonts w:ascii="Times New Roman" w:hAnsi="Times New Roman" w:cs="Times New Roman"/>
          <w:sz w:val="24"/>
        </w:rPr>
        <w:t xml:space="preserve">-création et d’accompagnement à</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w:t>
      </w:r>
      <w:r>
        <w:rPr>
          <w:rFonts w:ascii="Times New Roman" w:hAnsi="Times New Roman" w:cs="Times New Roman"/>
          <w:sz w:val="24"/>
        </w:rPr>
        <w:t xml:space="preserve"> recherche.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Cinq corpus sont jugés comme prioritaires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Moniteur universel de 1789 à 1871</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collection est déjà partiellement numérisée, le projet consiste en un chantier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de</w:t>
      </w:r>
      <w:r>
        <w:rPr>
          <w:rFonts w:ascii="Times New Roman" w:hAnsi="Times New Roman" w:cs="Times New Roman"/>
          <w:sz w:val="24"/>
        </w:rPr>
        <w:t xml:space="preserve"> numérisation et de structuration des documents, il sera réalisé en partenariat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avec</w:t>
      </w:r>
      <w:r>
        <w:rPr>
          <w:rFonts w:ascii="Times New Roman" w:hAnsi="Times New Roman" w:cs="Times New Roman"/>
          <w:sz w:val="24"/>
        </w:rPr>
        <w:t xml:space="preserve"> des chercheurs, permettant une jonction avec les collections déjà</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numérisées</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Cours de la faculté de droit de Paris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corpus constitué essentiellement à partir du milieu des années 1920 n’est pas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numérisé</w:t>
      </w:r>
      <w:r>
        <w:rPr>
          <w:rFonts w:ascii="Times New Roman" w:hAnsi="Times New Roman" w:cs="Times New Roman"/>
          <w:sz w:val="24"/>
        </w:rPr>
        <w:t xml:space="preserve">. L’objectif est d’engager la numérisation, l’</w:t>
      </w:r>
      <w:r>
        <w:rPr>
          <w:rFonts w:ascii="Times New Roman" w:hAnsi="Times New Roman" w:cs="Times New Roman"/>
          <w:sz w:val="24"/>
        </w:rPr>
        <w:t xml:space="preserve">océrisation</w:t>
      </w:r>
      <w:r>
        <w:rPr>
          <w:rFonts w:ascii="Times New Roman" w:hAnsi="Times New Roman" w:cs="Times New Roman"/>
          <w:sz w:val="24"/>
        </w:rPr>
        <w:t xml:space="preserve"> et la structuration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du</w:t>
      </w:r>
      <w:r>
        <w:rPr>
          <w:rFonts w:ascii="Times New Roman" w:hAnsi="Times New Roman" w:cs="Times New Roman"/>
          <w:sz w:val="24"/>
        </w:rPr>
        <w:t xml:space="preserve"> corpus.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fonds de "Thèses" allemandes d'Ancien Régime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Ce fonds est composé de thèses de doctorat, de licence et d’écrits académiques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du</w:t>
      </w:r>
      <w:r>
        <w:rPr>
          <w:rFonts w:ascii="Times New Roman" w:hAnsi="Times New Roman" w:cs="Times New Roman"/>
          <w:sz w:val="24"/>
        </w:rPr>
        <w:t xml:space="preserve"> 16e au 18e siècle. Il comporte environ 9000 pièces. Il s’agit d’un fonds acquis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w:t>
      </w:r>
      <w:r>
        <w:rPr>
          <w:rFonts w:ascii="Times New Roman" w:hAnsi="Times New Roman" w:cs="Times New Roman"/>
          <w:sz w:val="24"/>
        </w:rPr>
        <w:t xml:space="preserve"> Allemagne par le professeur Pardessus au tout début du 19e siècle, donné à la</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bibliothèque</w:t>
      </w:r>
      <w:r>
        <w:rPr>
          <w:rFonts w:ascii="Times New Roman" w:hAnsi="Times New Roman" w:cs="Times New Roman"/>
          <w:sz w:val="24"/>
        </w:rPr>
        <w:t xml:space="preserve"> par le professeur de </w:t>
      </w:r>
      <w:r>
        <w:rPr>
          <w:rFonts w:ascii="Times New Roman" w:hAnsi="Times New Roman" w:cs="Times New Roman"/>
          <w:sz w:val="24"/>
        </w:rPr>
        <w:t xml:space="preserve">Rozières</w:t>
      </w:r>
      <w:r>
        <w:rPr>
          <w:rFonts w:ascii="Times New Roman" w:hAnsi="Times New Roman" w:cs="Times New Roman"/>
          <w:sz w:val="24"/>
        </w:rPr>
        <w:t xml:space="preserve"> à la fin du 19e siècle. Les travaux à</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réaliser</w:t>
      </w:r>
      <w:r>
        <w:rPr>
          <w:rFonts w:ascii="Times New Roman" w:hAnsi="Times New Roman" w:cs="Times New Roman"/>
          <w:sz w:val="24"/>
        </w:rPr>
        <w:t xml:space="preserve"> portent sur leur signalement et leur numérisation. Cette collection est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potentiellement</w:t>
      </w:r>
      <w:r>
        <w:rPr>
          <w:rFonts w:ascii="Times New Roman" w:hAnsi="Times New Roman" w:cs="Times New Roman"/>
          <w:sz w:val="24"/>
        </w:rPr>
        <w:t xml:space="preserve"> unique en Europe, un partenariat est envisageable avec l’Institut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Max Planck.</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jurisprudence d’Ancien régime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28</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bibliothèque Cujas souhaite engager un travail de numérisation (en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complément</w:t>
      </w:r>
      <w:r>
        <w:rPr>
          <w:rFonts w:ascii="Times New Roman" w:hAnsi="Times New Roman" w:cs="Times New Roman"/>
          <w:sz w:val="24"/>
        </w:rPr>
        <w:t xml:space="preserve"> des corpus existants) et de structuration de la jurisprudence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ancienne</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archives parlementaires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BIS, l’IHMC et Persée ont travaillé de concert à partir de 2011 pour proposer un</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outil</w:t>
      </w:r>
      <w:r>
        <w:rPr>
          <w:rFonts w:ascii="Times New Roman" w:hAnsi="Times New Roman" w:cs="Times New Roman"/>
          <w:sz w:val="24"/>
        </w:rPr>
        <w:t xml:space="preserve"> d’exploration de ce corpus. De 2011 à 2018, la BIS a porté sur ses ressources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propres</w:t>
      </w:r>
      <w:r>
        <w:rPr>
          <w:rFonts w:ascii="Times New Roman" w:hAnsi="Times New Roman" w:cs="Times New Roman"/>
          <w:sz w:val="24"/>
        </w:rPr>
        <w:t xml:space="preserve"> l’indexation et le balisage des premiers volumes. Un AAP </w:t>
      </w:r>
      <w:r>
        <w:rPr>
          <w:rFonts w:ascii="Times New Roman" w:hAnsi="Times New Roman" w:cs="Times New Roman"/>
          <w:sz w:val="24"/>
        </w:rPr>
        <w:t xml:space="preserve">CollEx</w:t>
      </w:r>
      <w:r>
        <w:rPr>
          <w:rFonts w:ascii="Times New Roman" w:hAnsi="Times New Roman" w:cs="Times New Roman"/>
          <w:sz w:val="24"/>
        </w:rPr>
        <w:t xml:space="preserve"> a permis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w:t>
      </w:r>
      <w:r>
        <w:rPr>
          <w:rFonts w:ascii="Times New Roman" w:hAnsi="Times New Roman" w:cs="Times New Roman"/>
          <w:sz w:val="24"/>
        </w:rPr>
        <w:t xml:space="preserve"> 2018 d’accélérer le traitement qui inclut désormais aussi les volumes récents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et</w:t>
      </w:r>
      <w:r>
        <w:rPr>
          <w:rFonts w:ascii="Times New Roman" w:hAnsi="Times New Roman" w:cs="Times New Roman"/>
          <w:sz w:val="24"/>
        </w:rPr>
        <w:t xml:space="preserve"> sous droits (vol. 83 -102). Aujourd’hui plus de 40 volumes sont parus sur les 102</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que</w:t>
      </w:r>
      <w:r>
        <w:rPr>
          <w:rFonts w:ascii="Times New Roman" w:hAnsi="Times New Roman" w:cs="Times New Roman"/>
          <w:sz w:val="24"/>
        </w:rPr>
        <w:t xml:space="preserve"> compte le corpus. Ils sont accessibles dans une Perséide : https://archivesparlementaires.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persee.fr/</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 Sénat a soutenu le projet en 2021 et l’Assemblée nationale envisage de le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rejoindre</w:t>
      </w:r>
      <w:r>
        <w:rPr>
          <w:rFonts w:ascii="Times New Roman" w:hAnsi="Times New Roman" w:cs="Times New Roman"/>
          <w:sz w:val="24"/>
        </w:rPr>
        <w:t xml:space="preserve"> en 2022-2023.</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bibliothèque Cujas est également favorable à rejoindre la BIS et l’IHMC dans ce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projet</w:t>
      </w:r>
      <w:r>
        <w:rPr>
          <w:rFonts w:ascii="Times New Roman" w:hAnsi="Times New Roman" w:cs="Times New Roman"/>
          <w:sz w:val="24"/>
        </w:rPr>
        <w:t xml:space="preserve"> afin de poursuivre le travail d’outillage de la version numérisée de ce «</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colossal</w:t>
      </w:r>
      <w:r>
        <w:rPr>
          <w:rFonts w:ascii="Times New Roman" w:hAnsi="Times New Roman" w:cs="Times New Roman"/>
          <w:sz w:val="24"/>
        </w:rPr>
        <w:t xml:space="preserve"> » corpus.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Services d’exploration des corpus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La bibliothèque Cujas a développé dans le cadre du projet HOPPE Droit (Hypothèses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d'Observation</w:t>
      </w:r>
      <w:r>
        <w:rPr>
          <w:rFonts w:ascii="Times New Roman" w:hAnsi="Times New Roman" w:cs="Times New Roman"/>
          <w:sz w:val="24"/>
        </w:rPr>
        <w:t xml:space="preserve"> des Productions Pédagogiques Éditées en Droit), soutenu par le GIS </w:t>
      </w:r>
      <w:r>
        <w:rPr>
          <w:rFonts w:ascii="Times New Roman" w:hAnsi="Times New Roman" w:cs="Times New Roman"/>
          <w:sz w:val="24"/>
        </w:rPr>
        <w:t xml:space="preserve">CollEX</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en</w:t>
      </w:r>
      <w:r>
        <w:rPr>
          <w:rFonts w:ascii="Times New Roman" w:hAnsi="Times New Roman" w:cs="Times New Roman"/>
          <w:sz w:val="24"/>
        </w:rPr>
        <w:t xml:space="preserve"> 2018-2019, des outils d’exploration, de visualisation et de navigation dans le corpus 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productions</w:t>
      </w:r>
      <w:r>
        <w:rPr>
          <w:rFonts w:ascii="Times New Roman" w:hAnsi="Times New Roman" w:cs="Times New Roman"/>
          <w:sz w:val="24"/>
        </w:rPr>
        <w:t xml:space="preserve"> pédagogiques en droit, éditées de 1804 à 1950.</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Les outils développés sont pleinement transférables et adaptables à d’autres corpus. Il est</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donc</w:t>
      </w:r>
      <w:r>
        <w:rPr>
          <w:rFonts w:ascii="Times New Roman" w:hAnsi="Times New Roman" w:cs="Times New Roman"/>
          <w:sz w:val="24"/>
        </w:rPr>
        <w:t xml:space="preserve"> essentiel de poursuivre la démarche engagée et de déployer les outils et les méthodes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conçues</w:t>
      </w:r>
      <w:r>
        <w:rPr>
          <w:rFonts w:ascii="Times New Roman" w:hAnsi="Times New Roman" w:cs="Times New Roman"/>
          <w:sz w:val="24"/>
        </w:rPr>
        <w:t xml:space="preserve"> dans le cadre de ce projet, et de produire de nouveaux services avec la même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logique</w:t>
      </w:r>
      <w:r>
        <w:rPr>
          <w:rFonts w:ascii="Times New Roman" w:hAnsi="Times New Roman" w:cs="Times New Roman"/>
          <w:sz w:val="24"/>
        </w:rPr>
        <w:t xml:space="preserve"> d’ouverture et d’interopérabilité, assurant la transférabilité des programmes.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Activité d’animation de réseaux et de veille informationnelle dans le domaine juridique =&gt; vecteur pour diffuser l’ensemble des actions et des initiatives proposées par </w:t>
      </w:r>
      <w:r>
        <w:rPr>
          <w:rFonts w:ascii="Times New Roman" w:hAnsi="Times New Roman" w:cs="Times New Roman"/>
          <w:sz w:val="24"/>
        </w:rPr>
        <w:t xml:space="preserve">Juridissima</w:t>
      </w:r>
      <w:r>
        <w:rPr>
          <w:rFonts w:ascii="Times New Roman" w:hAnsi="Times New Roman" w:cs="Times New Roman"/>
          <w:sz w:val="24"/>
        </w:rPr>
        <w:t xml:space="preserve">.</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Création du carnet de recherche </w:t>
      </w:r>
      <w:r>
        <w:rPr>
          <w:rFonts w:ascii="Times New Roman" w:hAnsi="Times New Roman" w:cs="Times New Roman"/>
          <w:sz w:val="24"/>
        </w:rPr>
        <w:t xml:space="preserve">JurIST</w:t>
      </w:r>
      <w:r>
        <w:rPr>
          <w:rFonts w:ascii="Times New Roman" w:hAnsi="Times New Roman" w:cs="Times New Roman"/>
          <w:sz w:val="24"/>
        </w:rPr>
        <w:t xml:space="preserve"> hébergé par la plateforme Hypothèses. </w:t>
      </w:r>
      <w:r>
        <w:rPr>
          <w:rFonts w:ascii="Times New Roman" w:hAnsi="Times New Roman" w:cs="Times New Roman"/>
          <w:sz w:val="24"/>
        </w:rPr>
        <w:t xml:space="preserve">Sujets : thématiques de science ouverte, d’identité et de visibilité numériques des chercheurs en sciences juridiques.</w:t>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after="0" w:line="240" w:lineRule="auto"/>
        <w:ind/>
        <w:rPr>
          <w:rFonts w:ascii="Times New Roman" w:hAnsi="Times New Roman" w:cs="Times New Roman"/>
          <w:sz w:val="24"/>
        </w:rPr>
      </w:pPr>
      <w:r>
        <w:rPr>
          <w:rFonts w:ascii="Times New Roman" w:hAnsi="Times New Roman" w:cs="Times New Roman"/>
          <w:sz w:val="24"/>
        </w:rPr>
        <w:t xml:space="preserve">Acquisition (deux volets) : </w:t>
      </w:r>
      <w:r>
        <w:rPr>
          <w:rFonts w:ascii="Times New Roman" w:hAnsi="Times New Roman" w:cs="Times New Roman"/>
          <w:sz w:val="24"/>
        </w:rPr>
      </w:r>
    </w:p>
    <w:p>
      <w:pPr>
        <w:pStyle w:val="676"/>
        <w:numPr>
          <w:ilvl w:val="0"/>
          <w:numId w:val="3"/>
        </w:numPr>
        <w:pBdr/>
        <w:spacing w:after="0" w:line="240" w:lineRule="auto"/>
        <w:ind/>
        <w:rPr>
          <w:rFonts w:ascii="Times New Roman" w:hAnsi="Times New Roman" w:cs="Times New Roman"/>
          <w:sz w:val="24"/>
        </w:rPr>
      </w:pPr>
      <w:r>
        <w:rPr>
          <w:rFonts w:ascii="Times New Roman" w:hAnsi="Times New Roman" w:cs="Times New Roman"/>
          <w:sz w:val="24"/>
        </w:rPr>
        <w:t xml:space="preserve">Ressources imprimées avec une forte proportion de revues et les monographies </w:t>
      </w:r>
      <w:r>
        <w:rPr>
          <w:rFonts w:ascii="Times New Roman" w:hAnsi="Times New Roman" w:cs="Times New Roman"/>
          <w:sz w:val="24"/>
        </w:rPr>
      </w:r>
    </w:p>
    <w:p>
      <w:pPr>
        <w:pStyle w:val="676"/>
        <w:numPr>
          <w:ilvl w:val="0"/>
          <w:numId w:val="3"/>
        </w:numPr>
        <w:pBdr/>
        <w:spacing w:after="0" w:line="240" w:lineRule="auto"/>
        <w:ind/>
        <w:rPr>
          <w:rFonts w:ascii="Times New Roman" w:hAnsi="Times New Roman" w:cs="Times New Roman"/>
          <w:sz w:val="24"/>
        </w:rPr>
      </w:pPr>
      <w:r>
        <w:rPr>
          <w:rFonts w:ascii="Times New Roman" w:hAnsi="Times New Roman" w:cs="Times New Roman"/>
          <w:sz w:val="24"/>
        </w:rPr>
        <w:t xml:space="preserve">Ressources électroniques spécialisées : objet d’une politique d’acquisition en licence nationale dans le cadre du programme d’acquisitions </w:t>
      </w:r>
      <w:r>
        <w:rPr>
          <w:rFonts w:ascii="Times New Roman" w:hAnsi="Times New Roman" w:cs="Times New Roman"/>
          <w:sz w:val="24"/>
        </w:rPr>
        <w:t xml:space="preserve">Coll</w:t>
      </w:r>
      <w:r>
        <w:rPr>
          <w:rFonts w:ascii="Times New Roman" w:hAnsi="Times New Roman" w:cs="Times New Roman"/>
          <w:sz w:val="24"/>
        </w:rPr>
        <w:t xml:space="preserve"> Ex.</w:t>
      </w:r>
      <w:r>
        <w:rPr>
          <w:rFonts w:ascii="Times New Roman" w:hAnsi="Times New Roman" w:cs="Times New Roman"/>
          <w:sz w:val="24"/>
        </w:rPr>
      </w:r>
    </w:p>
    <w:p>
      <w:pPr>
        <w:pBdr/>
        <w:spacing w:after="0" w:line="240" w:lineRule="auto"/>
        <w:ind/>
        <w:rPr>
          <w:rFonts w:ascii="Times New Roman" w:hAnsi="Times New Roman" w:cs="Times New Roman"/>
          <w:sz w:val="24"/>
        </w:rPr>
      </w:pPr>
      <w:r/>
      <w:bookmarkStart w:id="0" w:name="_GoBack"/>
      <w:r/>
      <w:bookmarkEnd w:id="0"/>
      <w:r/>
      <w:r>
        <w:rPr>
          <w:rFonts w:ascii="Times New Roman" w:hAnsi="Times New Roman" w:cs="Times New Roman"/>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Italic">
    <w:panose1 w:val="020B0603030804020204"/>
  </w:font>
  <w:font w:name="Calibri,Bold">
    <w:panose1 w:val="020B0603030804020204"/>
  </w:font>
  <w:font w:name="Times New Roman">
    <w:panose1 w:val="02020603050405020304"/>
  </w:font>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4356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34D62E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61C0084"/>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D0464EE"/>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2"/>
    <w:next w:val="67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2"/>
    <w:next w:val="67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2"/>
    <w:next w:val="67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2"/>
    <w:next w:val="67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2"/>
    <w:next w:val="67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2"/>
    <w:next w:val="67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2"/>
    <w:next w:val="67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2"/>
    <w:next w:val="67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2"/>
    <w:next w:val="67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142"/>
    <w:uiPriority w:val="9"/>
    <w:pPr>
      <w:pBdr/>
      <w:spacing/>
      <w:ind/>
    </w:pPr>
    <w:rPr>
      <w:rFonts w:ascii="Arial" w:hAnsi="Arial" w:eastAsia="Arial" w:cs="Arial"/>
      <w:i/>
      <w:iCs/>
      <w:color w:val="0f4761" w:themeColor="accent1" w:themeShade="BF"/>
    </w:rPr>
  </w:style>
  <w:style w:type="character" w:styleId="154">
    <w:name w:val="Heading 5 Char"/>
    <w:basedOn w:val="673"/>
    <w:link w:val="143"/>
    <w:uiPriority w:val="9"/>
    <w:pPr>
      <w:pBdr/>
      <w:spacing/>
      <w:ind/>
    </w:pPr>
    <w:rPr>
      <w:rFonts w:ascii="Arial" w:hAnsi="Arial" w:eastAsia="Arial" w:cs="Arial"/>
      <w:color w:val="0f4761" w:themeColor="accent1" w:themeShade="BF"/>
    </w:rPr>
  </w:style>
  <w:style w:type="character" w:styleId="155">
    <w:name w:val="Heading 6 Char"/>
    <w:basedOn w:val="673"/>
    <w:link w:val="144"/>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paragraph" w:styleId="159">
    <w:name w:val="Title"/>
    <w:basedOn w:val="672"/>
    <w:next w:val="67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3"/>
    <w:link w:val="159"/>
    <w:uiPriority w:val="10"/>
    <w:pPr>
      <w:pBdr/>
      <w:spacing/>
      <w:ind/>
    </w:pPr>
    <w:rPr>
      <w:rFonts w:ascii="Arial" w:hAnsi="Arial" w:eastAsia="Arial" w:cs="Arial"/>
      <w:spacing w:val="-10"/>
      <w:sz w:val="56"/>
      <w:szCs w:val="56"/>
    </w:rPr>
  </w:style>
  <w:style w:type="paragraph" w:styleId="161">
    <w:name w:val="Subtitle"/>
    <w:basedOn w:val="672"/>
    <w:next w:val="672"/>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72"/>
    <w:next w:val="672"/>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72"/>
    <w:next w:val="67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72"/>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3">
    <w:name w:val="Strong"/>
    <w:basedOn w:val="673"/>
    <w:uiPriority w:val="22"/>
    <w:qFormat/>
    <w:pPr>
      <w:pBdr/>
      <w:spacing/>
      <w:ind/>
    </w:pPr>
    <w:rPr>
      <w:b/>
      <w:b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72"/>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72"/>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72"/>
    <w:next w:val="672"/>
    <w:uiPriority w:val="35"/>
    <w:unhideWhenUsed/>
    <w:qFormat/>
    <w:pPr>
      <w:pBdr/>
      <w:spacing w:after="200" w:line="240" w:lineRule="auto"/>
      <w:ind/>
    </w:pPr>
    <w:rPr>
      <w:i/>
      <w:iCs/>
      <w:color w:val="0e2841" w:themeColor="text2"/>
      <w:sz w:val="18"/>
      <w:szCs w:val="18"/>
    </w:rPr>
  </w:style>
  <w:style w:type="paragraph" w:styleId="181">
    <w:name w:val="footnote text"/>
    <w:basedOn w:val="672"/>
    <w:link w:val="182"/>
    <w:uiPriority w:val="99"/>
    <w:semiHidden/>
    <w:unhideWhenUsed/>
    <w:pPr>
      <w:pBdr/>
      <w:spacing w:after="0" w:line="240" w:lineRule="auto"/>
      <w:ind/>
    </w:pPr>
    <w:rPr>
      <w:sz w:val="20"/>
      <w:szCs w:val="20"/>
    </w:rPr>
  </w:style>
  <w:style w:type="character" w:styleId="182">
    <w:name w:val="Footnote Text Char"/>
    <w:basedOn w:val="673"/>
    <w:link w:val="181"/>
    <w:uiPriority w:val="99"/>
    <w:semiHidden/>
    <w:pPr>
      <w:pBdr/>
      <w:spacing/>
      <w:ind/>
    </w:pPr>
    <w:rPr>
      <w:sz w:val="20"/>
      <w:szCs w:val="20"/>
    </w:rPr>
  </w:style>
  <w:style w:type="character" w:styleId="183">
    <w:name w:val="footnote reference"/>
    <w:basedOn w:val="673"/>
    <w:uiPriority w:val="99"/>
    <w:semiHidden/>
    <w:unhideWhenUsed/>
    <w:pPr>
      <w:pBdr/>
      <w:spacing/>
      <w:ind/>
    </w:pPr>
    <w:rPr>
      <w:vertAlign w:val="superscript"/>
    </w:rPr>
  </w:style>
  <w:style w:type="paragraph" w:styleId="184">
    <w:name w:val="endnote text"/>
    <w:basedOn w:val="672"/>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7">
    <w:name w:val="Hyperlink"/>
    <w:basedOn w:val="673"/>
    <w:uiPriority w:val="99"/>
    <w:unhideWhenUsed/>
    <w:pPr>
      <w:pBdr/>
      <w:spacing/>
      <w:ind/>
    </w:pPr>
    <w:rPr>
      <w:color w:val="0563c1" w:themeColor="hyperlink"/>
      <w:u w:val="single"/>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72"/>
    <w:next w:val="672"/>
    <w:uiPriority w:val="39"/>
    <w:unhideWhenUsed/>
    <w:pPr>
      <w:pBdr/>
      <w:spacing w:after="100"/>
      <w:ind/>
    </w:pPr>
  </w:style>
  <w:style w:type="paragraph" w:styleId="190">
    <w:name w:val="toc 2"/>
    <w:basedOn w:val="672"/>
    <w:next w:val="672"/>
    <w:uiPriority w:val="39"/>
    <w:unhideWhenUsed/>
    <w:pPr>
      <w:pBdr/>
      <w:spacing w:after="100"/>
      <w:ind w:left="220"/>
    </w:pPr>
  </w:style>
  <w:style w:type="paragraph" w:styleId="191">
    <w:name w:val="toc 3"/>
    <w:basedOn w:val="672"/>
    <w:next w:val="672"/>
    <w:uiPriority w:val="39"/>
    <w:unhideWhenUsed/>
    <w:pPr>
      <w:pBdr/>
      <w:spacing w:after="100"/>
      <w:ind w:left="440"/>
    </w:pPr>
  </w:style>
  <w:style w:type="paragraph" w:styleId="192">
    <w:name w:val="toc 4"/>
    <w:basedOn w:val="672"/>
    <w:next w:val="672"/>
    <w:uiPriority w:val="39"/>
    <w:unhideWhenUsed/>
    <w:pPr>
      <w:pBdr/>
      <w:spacing w:after="100"/>
      <w:ind w:left="660"/>
    </w:pPr>
  </w:style>
  <w:style w:type="paragraph" w:styleId="193">
    <w:name w:val="toc 5"/>
    <w:basedOn w:val="672"/>
    <w:next w:val="672"/>
    <w:uiPriority w:val="39"/>
    <w:unhideWhenUsed/>
    <w:pPr>
      <w:pBdr/>
      <w:spacing w:after="100"/>
      <w:ind w:left="880"/>
    </w:pPr>
  </w:style>
  <w:style w:type="paragraph" w:styleId="194">
    <w:name w:val="toc 6"/>
    <w:basedOn w:val="672"/>
    <w:next w:val="672"/>
    <w:uiPriority w:val="39"/>
    <w:unhideWhenUsed/>
    <w:pPr>
      <w:pBdr/>
      <w:spacing w:after="100"/>
      <w:ind w:left="1100"/>
    </w:pPr>
  </w:style>
  <w:style w:type="paragraph" w:styleId="195">
    <w:name w:val="toc 7"/>
    <w:basedOn w:val="672"/>
    <w:next w:val="672"/>
    <w:uiPriority w:val="39"/>
    <w:unhideWhenUsed/>
    <w:pPr>
      <w:pBdr/>
      <w:spacing w:after="100"/>
      <w:ind w:left="1320"/>
    </w:pPr>
  </w:style>
  <w:style w:type="paragraph" w:styleId="196">
    <w:name w:val="toc 8"/>
    <w:basedOn w:val="672"/>
    <w:next w:val="672"/>
    <w:uiPriority w:val="39"/>
    <w:unhideWhenUsed/>
    <w:pPr>
      <w:pBdr/>
      <w:spacing w:after="100"/>
      <w:ind w:left="1540"/>
    </w:pPr>
  </w:style>
  <w:style w:type="paragraph" w:styleId="197">
    <w:name w:val="toc 9"/>
    <w:basedOn w:val="672"/>
    <w:next w:val="672"/>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2"/>
    <w:next w:val="672"/>
    <w:uiPriority w:val="99"/>
    <w:unhideWhenUsed/>
    <w:pPr>
      <w:pBdr/>
      <w:spacing w:after="0" w:afterAutospacing="0"/>
      <w:ind/>
    </w:pPr>
  </w:style>
  <w:style w:type="paragraph" w:styleId="672" w:default="1">
    <w:name w:val="Normal"/>
    <w:qFormat/>
    <w:pPr>
      <w:pBdr/>
      <w:spacing/>
      <w:ind/>
    </w:p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paragraph" w:styleId="676">
    <w:name w:val="List Paragraph"/>
    <w:basedOn w:val="67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media1.svg"/><Relationship Id="rId11" Type="http://schemas.openxmlformats.org/officeDocument/2006/relationships/image" Target="media/image2.png"/><Relationship Id="rId12" Type="http://schemas.openxmlformats.org/officeDocument/2006/relationships/image" Target="media/media2.sv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20</cp:revision>
  <dcterms:created xsi:type="dcterms:W3CDTF">2026-04-02T12:13:00Z</dcterms:created>
  <dcterms:modified xsi:type="dcterms:W3CDTF">2026-07-30T20:39:48Z</dcterms:modified>
</cp:coreProperties>
</file>