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color w:val="ff0000"/>
          <w:sz w:val="24"/>
          <w:szCs w:val="24"/>
          <w:lang w:eastAsia="fr-FR"/>
        </w:rPr>
      </w:pPr>
      <w:r>
        <w:rPr>
          <w:rFonts w:ascii="Times New Roman" w:hAnsi="Times New Roman" w:cs="Times New Roman"/>
          <w:color w:val="ff0000"/>
          <w:sz w:val="24"/>
          <w:szCs w:val="24"/>
          <w:lang w:eastAsia="fr-FR"/>
        </w:rPr>
        <w:fldChar w:fldCharType="begin"/>
      </w:r>
      <w:r>
        <w:rPr>
          <w:rFonts w:ascii="Times New Roman" w:hAnsi="Times New Roman" w:cs="Times New Roman"/>
          <w:color w:val="ff0000"/>
          <w:sz w:val="24"/>
          <w:szCs w:val="24"/>
          <w:lang w:eastAsia="fr-FR"/>
        </w:rPr>
        <w:instrText xml:space="preserve"> HYPERLINK "https://publications-prairial.fr/arabesques/index.php?id=3502" </w:instrText>
      </w:r>
      <w:r>
        <w:rPr>
          <w:rFonts w:ascii="Times New Roman" w:hAnsi="Times New Roman" w:cs="Times New Roman"/>
          <w:color w:val="ff0000"/>
          <w:sz w:val="24"/>
          <w:szCs w:val="24"/>
          <w:lang w:eastAsia="fr-FR"/>
        </w:rPr>
        <w:fldChar w:fldCharType="separate"/>
      </w:r>
      <w:r>
        <w:rPr>
          <w:rFonts w:ascii="Times New Roman" w:hAnsi="Times New Roman" w:cs="Times New Roman"/>
          <w:color w:val="ff0000"/>
          <w:sz w:val="24"/>
          <w:szCs w:val="24"/>
          <w:u w:val="single"/>
          <w:lang w:eastAsia="fr-FR"/>
        </w:rPr>
        <w:t xml:space="preserve">110 | 2023Archives scientifiques</w:t>
      </w:r>
      <w:r>
        <w:rPr>
          <w:rFonts w:ascii="Times New Roman" w:hAnsi="Times New Roman" w:cs="Times New Roman"/>
          <w:color w:val="ff0000"/>
          <w:sz w:val="24"/>
          <w:szCs w:val="24"/>
          <w:lang w:eastAsia="fr-FR"/>
        </w:rPr>
        <w:fldChar w:fldCharType="end"/>
      </w:r>
      <w:r>
        <w:rPr>
          <w:rFonts w:ascii="Times New Roman" w:hAnsi="Times New Roman" w:cs="Times New Roman"/>
          <w:color w:val="ff0000"/>
          <w:sz w:val="24"/>
          <w:szCs w:val="24"/>
          <w:lang w:eastAsia="fr-FR"/>
        </w:rPr>
        <w:t xml:space="preserve"> : </w:t>
      </w:r>
      <w:r>
        <w:rPr>
          <w:rFonts w:ascii="Times New Roman" w:hAnsi="Times New Roman" w:cs="Times New Roman"/>
          <w:color w:val="ff0000"/>
          <w:sz w:val="24"/>
          <w:szCs w:val="24"/>
          <w:lang w:eastAsia="fr-FR"/>
        </w:rPr>
        <w:t xml:space="preserve">Bibliothécaires et archivistes relèvent le défi</w:t>
      </w:r>
      <w:r>
        <w:rPr>
          <w:rFonts w:ascii="Times New Roman" w:hAnsi="Times New Roman" w:cs="Times New Roman"/>
          <w:color w:val="ff0000"/>
          <w:sz w:val="24"/>
          <w:szCs w:val="24"/>
          <w:lang w:eastAsia="fr-FR"/>
        </w:rPr>
      </w:r>
    </w:p>
    <w:p>
      <w:pPr>
        <w:pBdr/>
        <w:spacing/>
        <w:ind/>
        <w:jc w:val="center"/>
        <w:rPr>
          <w:rFonts w:ascii="Times New Roman" w:hAnsi="Times New Roman" w:cs="Times New Roman"/>
          <w:sz w:val="24"/>
          <w:szCs w:val="24"/>
          <w:lang w:eastAsia="fr-FR"/>
        </w:rPr>
      </w:pPr>
      <w:r>
        <w:rPr>
          <w:rFonts w:ascii="Times New Roman" w:hAnsi="Times New Roman" w:cs="Times New Roman"/>
          <w:sz w:val="24"/>
          <w:szCs w:val="24"/>
          <w:lang w:eastAsia="fr-FR"/>
        </w:rPr>
      </w:r>
      <w:r>
        <w:rPr>
          <w:rFonts w:ascii="Times New Roman" w:hAnsi="Times New Roman" w:cs="Times New Roman"/>
          <w:sz w:val="24"/>
          <w:szCs w:val="24"/>
          <w:lang w:eastAsia="fr-FR"/>
        </w:rPr>
      </w:r>
    </w:p>
    <w:p>
      <w:pPr>
        <w:pBdr/>
        <w:spacing/>
        <w:ind/>
        <w:jc w:val="both"/>
        <w:rPr>
          <w:rFonts w:ascii="Times New Roman" w:hAnsi="Times New Roman"/>
          <w:sz w:val="24"/>
        </w:rPr>
      </w:pPr>
      <w:r>
        <w:rPr>
          <w:rFonts w:ascii="Times New Roman" w:hAnsi="Times New Roman"/>
          <w:sz w:val="24"/>
        </w:rPr>
        <w:t xml:space="preserve">Article : Les archives scientifiques, cet objet insaisissable pourtant si convoité…</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Par Cyprien Henry (p.6-7).</w:t>
      </w:r>
      <w:r>
        <w:rPr>
          <w:rFonts w:ascii="Times New Roman" w:hAnsi="Times New Roman"/>
          <w:sz w:val="24"/>
        </w:rPr>
      </w:r>
    </w:p>
    <w:p>
      <w:pPr>
        <w:pStyle w:val="680"/>
        <w:numPr>
          <w:ilvl w:val="0"/>
          <w:numId w:val="1"/>
        </w:numPr>
        <w:pBdr/>
        <w:spacing/>
        <w:ind/>
        <w:jc w:val="both"/>
        <w:rPr>
          <w:rFonts w:ascii="Times New Roman" w:hAnsi="Times New Roman"/>
          <w:sz w:val="24"/>
        </w:rPr>
      </w:pPr>
      <w:r>
        <w:rPr>
          <w:rFonts w:ascii="Times New Roman" w:hAnsi="Times New Roman"/>
          <w:sz w:val="24"/>
        </w:rPr>
        <w:t xml:space="preserve">Plan :</w:t>
      </w:r>
      <w:r>
        <w:rPr>
          <w:rFonts w:ascii="Times New Roman" w:hAnsi="Times New Roman"/>
          <w:sz w:val="24"/>
        </w:rPr>
      </w:r>
    </w:p>
    <w:p>
      <w:pPr>
        <w:pStyle w:val="680"/>
        <w:numPr>
          <w:ilvl w:val="1"/>
          <w:numId w:val="1"/>
        </w:numPr>
        <w:pBdr/>
        <w:spacing/>
        <w:ind/>
        <w:jc w:val="both"/>
        <w:rPr>
          <w:rFonts w:ascii="Times New Roman" w:hAnsi="Times New Roman"/>
          <w:sz w:val="24"/>
        </w:rPr>
      </w:pPr>
      <w:r>
        <w:rPr>
          <w:rFonts w:ascii="Times New Roman" w:hAnsi="Times New Roman"/>
          <w:sz w:val="24"/>
        </w:rPr>
        <w:t xml:space="preserve">Sous la définition réglementaire, une réalité d’une grande diversité</w:t>
      </w:r>
      <w:r>
        <w:rPr>
          <w:rFonts w:ascii="Times New Roman" w:hAnsi="Times New Roman"/>
          <w:sz w:val="24"/>
        </w:rPr>
      </w:r>
    </w:p>
    <w:p>
      <w:pPr>
        <w:pStyle w:val="680"/>
        <w:numPr>
          <w:ilvl w:val="1"/>
          <w:numId w:val="1"/>
        </w:numPr>
        <w:pBdr/>
        <w:spacing/>
        <w:ind/>
        <w:jc w:val="both"/>
        <w:rPr>
          <w:rFonts w:ascii="Times New Roman" w:hAnsi="Times New Roman"/>
          <w:sz w:val="24"/>
        </w:rPr>
      </w:pPr>
      <w:r>
        <w:rPr>
          <w:rFonts w:ascii="Times New Roman" w:hAnsi="Times New Roman"/>
          <w:sz w:val="24"/>
        </w:rPr>
        <w:t xml:space="preserve">Un objet en mutation</w:t>
      </w:r>
      <w:r>
        <w:rPr>
          <w:rFonts w:ascii="Times New Roman" w:hAnsi="Times New Roman"/>
          <w:sz w:val="24"/>
        </w:rPr>
      </w:r>
    </w:p>
    <w:p>
      <w:pPr>
        <w:pStyle w:val="680"/>
        <w:numPr>
          <w:ilvl w:val="1"/>
          <w:numId w:val="1"/>
        </w:numPr>
        <w:pBdr/>
        <w:spacing/>
        <w:ind/>
        <w:jc w:val="both"/>
        <w:rPr>
          <w:rFonts w:ascii="Times New Roman" w:hAnsi="Times New Roman"/>
          <w:sz w:val="24"/>
        </w:rPr>
      </w:pPr>
      <w:r>
        <w:rPr>
          <w:rFonts w:ascii="Times New Roman" w:hAnsi="Times New Roman"/>
          <w:sz w:val="24"/>
        </w:rPr>
        <w:t xml:space="preserve">Sensibiliser aux enjeux d’un archivage maîtrisé</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 </w:t>
      </w:r>
      <w:r>
        <w:rPr>
          <w:rFonts w:ascii="Times New Roman" w:hAnsi="Times New Roman"/>
          <w:sz w:val="24"/>
        </w:rPr>
        <w:t xml:space="preserve">archives</w:t>
      </w:r>
      <w:r>
        <w:rPr>
          <w:rFonts w:ascii="Times New Roman" w:hAnsi="Times New Roman"/>
          <w:sz w:val="24"/>
        </w:rPr>
        <w:t xml:space="preserve"> scientifiques » de quoi parle-t-on ?</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Arrivée dans les années 1960, de la notion « d’archives scientifiques et techniques ». </w:t>
      </w:r>
      <w:r>
        <w:rPr>
          <w:rFonts w:ascii="Times New Roman" w:hAnsi="Times New Roman"/>
          <w:sz w:val="24"/>
        </w:rPr>
        <w:t xml:space="preserve">l’expression</w:t>
      </w:r>
      <w:r>
        <w:rPr>
          <w:rFonts w:ascii="Times New Roman" w:hAnsi="Times New Roman"/>
          <w:sz w:val="24"/>
        </w:rPr>
        <w:t xml:space="preserve"> « d’archives des sci</w:t>
      </w:r>
      <w:r>
        <w:rPr>
          <w:rFonts w:ascii="Times New Roman" w:hAnsi="Times New Roman"/>
          <w:sz w:val="24"/>
        </w:rPr>
        <w:t xml:space="preserve">ences », terme englobant articulé entre « d’archives des tutelles », « archives des établissements de recherche » et « archives des scientifiques », dans une vision très archivistique qui favorise la définition par le producteur plus que par la typologie. </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Plus récemment s’est imposé la notion de « données de la recherche » sous l’influence des politiques d’ouverture des données publiques, et plus singulièrement de la science ouverte.</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Toutes ces définitions rendent compte de la grande difficulté à cerner cet objet et qui demande un effort de clarification dès que l’on veut s’y intéresser pour savoir de quoi l’on parle exactement.</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Sous la définition réglementaire, une réalité d’une grande diversité</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Pdv</w:t>
      </w:r>
      <w:r>
        <w:rPr>
          <w:rFonts w:ascii="Times New Roman" w:hAnsi="Times New Roman"/>
          <w:sz w:val="24"/>
        </w:rPr>
        <w:t xml:space="preserve"> archivistique en s’appuyant sur le code du patrimoine (article L.211-1), les archives sont donc l’ensemble des</w:t>
      </w:r>
      <w:r>
        <w:rPr>
          <w:rFonts w:ascii="Times New Roman" w:hAnsi="Times New Roman"/>
          <w:sz w:val="24"/>
        </w:rPr>
        <w:t xml:space="preserve"> documents, y compris les données, quels que soient leur date, leur lieu de conservation, leur forme et leur support, produits ou reçus par toute personne physique ou morale et par tout service ou organisme public ou privé dans l’exercice de leur activité.</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Un objet en mutation </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Cette évolution a eu pour corollaire la recomposition, largement en cours aujourd’hui, de l’écosystème de production, de conservation et de diffusion des données de recherche, et dans une moindre mesure, des archives scientifiques dans leur ensemble. </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Sensibiliser aux enjeux d’un archivage maîtrisé</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Missions des professionnels de l’information : assurer de bonnes conditions de production des données</w:t>
      </w:r>
      <w:r>
        <w:rPr>
          <w:rFonts w:ascii="Times New Roman" w:hAnsi="Times New Roman"/>
          <w:sz w:val="24"/>
        </w:rPr>
        <w:t xml:space="preserve">, leur diffusion au niveau adéquat en fonction des différents droits applicables, leur sélection et leur pérennisation dans une visée patrimoniale.</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Archiver au-delà des archives : l’archive scientifique des sciences humaines et sociales à l’</w:t>
      </w:r>
      <w:r>
        <w:rPr>
          <w:rFonts w:ascii="Times New Roman" w:hAnsi="Times New Roman"/>
          <w:sz w:val="24"/>
        </w:rPr>
        <w:t xml:space="preserve">Humathèque</w:t>
      </w:r>
      <w:r>
        <w:rPr>
          <w:rFonts w:ascii="Times New Roman" w:hAnsi="Times New Roman"/>
          <w:sz w:val="24"/>
        </w:rPr>
        <w:t xml:space="preserve"> Condorcet de Julie </w:t>
      </w:r>
      <w:r>
        <w:rPr>
          <w:rFonts w:ascii="Times New Roman" w:hAnsi="Times New Roman"/>
          <w:sz w:val="24"/>
        </w:rPr>
        <w:t xml:space="preserve">Lauvernier</w:t>
      </w:r>
      <w:r>
        <w:rPr>
          <w:rFonts w:ascii="Times New Roman" w:hAnsi="Times New Roman"/>
          <w:sz w:val="24"/>
        </w:rPr>
        <w:t xml:space="preserve"> p.14-15.</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Plan : </w:t>
      </w:r>
      <w:r>
        <w:rPr>
          <w:rFonts w:ascii="Times New Roman" w:hAnsi="Times New Roman"/>
          <w:sz w:val="24"/>
        </w:rPr>
      </w:r>
    </w:p>
    <w:p>
      <w:pPr>
        <w:pStyle w:val="680"/>
        <w:numPr>
          <w:ilvl w:val="0"/>
          <w:numId w:val="3"/>
        </w:numPr>
        <w:pBdr/>
        <w:spacing/>
        <w:ind/>
        <w:jc w:val="both"/>
        <w:rPr>
          <w:rFonts w:ascii="Times New Roman" w:hAnsi="Times New Roman"/>
          <w:sz w:val="24"/>
        </w:rPr>
      </w:pPr>
      <w:r>
        <w:rPr>
          <w:rFonts w:ascii="Times New Roman" w:hAnsi="Times New Roman"/>
          <w:sz w:val="24"/>
        </w:rPr>
        <w:t xml:space="preserve">Les frontières des archives scientifiques à l’</w:t>
      </w:r>
      <w:r>
        <w:rPr>
          <w:rFonts w:ascii="Times New Roman" w:hAnsi="Times New Roman"/>
          <w:sz w:val="24"/>
        </w:rPr>
        <w:t xml:space="preserve">Humathèque</w:t>
      </w:r>
      <w:r>
        <w:rPr>
          <w:rFonts w:ascii="Times New Roman" w:hAnsi="Times New Roman"/>
          <w:sz w:val="24"/>
        </w:rPr>
      </w:r>
    </w:p>
    <w:p>
      <w:pPr>
        <w:pStyle w:val="680"/>
        <w:numPr>
          <w:ilvl w:val="0"/>
          <w:numId w:val="3"/>
        </w:numPr>
        <w:pBdr/>
        <w:spacing/>
        <w:ind/>
        <w:jc w:val="both"/>
        <w:rPr>
          <w:rFonts w:ascii="Times New Roman" w:hAnsi="Times New Roman"/>
          <w:sz w:val="24"/>
        </w:rPr>
      </w:pPr>
      <w:r>
        <w:rPr>
          <w:rFonts w:ascii="Times New Roman" w:hAnsi="Times New Roman"/>
          <w:sz w:val="24"/>
        </w:rPr>
        <w:t xml:space="preserve">De la logique d’usage du chercheur : fragmentation, auto-archivage, usages documentaires</w:t>
      </w:r>
      <w:r>
        <w:rPr>
          <w:rFonts w:ascii="Times New Roman" w:hAnsi="Times New Roman"/>
          <w:sz w:val="24"/>
        </w:rPr>
      </w:r>
    </w:p>
    <w:p>
      <w:pPr>
        <w:pStyle w:val="680"/>
        <w:numPr>
          <w:ilvl w:val="0"/>
          <w:numId w:val="3"/>
        </w:numPr>
        <w:pBdr/>
        <w:spacing/>
        <w:ind/>
        <w:jc w:val="both"/>
        <w:rPr>
          <w:rFonts w:ascii="Times New Roman" w:hAnsi="Times New Roman"/>
          <w:sz w:val="24"/>
        </w:rPr>
      </w:pPr>
      <w:r>
        <w:rPr>
          <w:rFonts w:ascii="Times New Roman" w:hAnsi="Times New Roman"/>
          <w:sz w:val="24"/>
        </w:rPr>
        <w:t xml:space="preserve">Archiver des objets archivistiques complexes et penser les écosystèmes de recherche</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Les frontières des archives scientifiques à l’</w:t>
      </w:r>
      <w:r>
        <w:rPr>
          <w:rFonts w:ascii="Times New Roman" w:hAnsi="Times New Roman"/>
          <w:sz w:val="24"/>
        </w:rPr>
        <w:t xml:space="preserve">Humathèque</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En considérant les sciences sociales com</w:t>
      </w:r>
      <w:r>
        <w:rPr>
          <w:rFonts w:ascii="Times New Roman" w:hAnsi="Times New Roman"/>
          <w:sz w:val="24"/>
        </w:rPr>
        <w:t xml:space="preserve">me une « institution », le projet Condorcet a réussi à rassembler le fruit des activités scientifiques institutionnalisées dans les établissements de recherche spécialisés ou les universités pluridisciplinaires de sciences humaines et sociales parisiennes.</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Les ensembles documentaires collectés recouvrent les activités des trav</w:t>
      </w:r>
      <w:r>
        <w:rPr>
          <w:rFonts w:ascii="Times New Roman" w:hAnsi="Times New Roman"/>
          <w:sz w:val="24"/>
        </w:rPr>
        <w:t xml:space="preserve">aux, personnels et collectifs, des chercheurs, les matériaux de la recherche, les données, les projets de recherche et leurs précipités physiques ou numériques, les collections d’archives collectées dans un but de recherche ou de documentation historique. </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De la logique d’usage du chercheur : fragmentation, auto-archivage, usages documentaires</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Si le rapproch</w:t>
      </w:r>
      <w:r>
        <w:rPr>
          <w:rFonts w:ascii="Times New Roman" w:hAnsi="Times New Roman"/>
          <w:sz w:val="24"/>
        </w:rPr>
        <w:t xml:space="preserve">ement des fonds collectés par les établissements fondateurs en un lieu unique tend à rompre cette vision, ces ensembles documentaires sont des objets singuliers où la multiplicité des modes opératoires de l’inscription du travail de la recherche s’adjoint </w:t>
      </w:r>
      <w:r>
        <w:rPr>
          <w:rFonts w:ascii="Times New Roman" w:hAnsi="Times New Roman"/>
          <w:sz w:val="24"/>
        </w:rPr>
        <w:t xml:space="preserve">les différents espaces de leur consignation (domestique, laboratoire, institutionnels). Les logiques d’usage ou d’utilité très répandu du « legs » dessinent des archives sci</w:t>
      </w:r>
      <w:r>
        <w:rPr>
          <w:rFonts w:ascii="Times New Roman" w:hAnsi="Times New Roman"/>
          <w:sz w:val="24"/>
        </w:rPr>
        <w:t xml:space="preserve">entifiques souvent collectives conservées au sein des laboratoires, des archives ordinaires de la recherche ayant phagocyté l’espace domestique et de bibliothèques patiemment constituées et rendues, en quelque sorte, aux espaces de consultation collectifs.</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Les archives scientifiques dans Calames : un signalement à poursuivre de Brigitte Michel et Etienne </w:t>
      </w:r>
      <w:r>
        <w:rPr>
          <w:rFonts w:ascii="Times New Roman" w:hAnsi="Times New Roman"/>
          <w:sz w:val="24"/>
        </w:rPr>
        <w:t xml:space="preserve">Naddeo</w:t>
      </w:r>
      <w:r>
        <w:rPr>
          <w:rFonts w:ascii="Times New Roman" w:hAnsi="Times New Roman"/>
          <w:sz w:val="24"/>
        </w:rPr>
        <w:t xml:space="preserve"> p.22-23.</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Plan :</w:t>
      </w:r>
      <w:r>
        <w:rPr>
          <w:rFonts w:ascii="Times New Roman" w:hAnsi="Times New Roman"/>
          <w:sz w:val="24"/>
        </w:rPr>
      </w:r>
    </w:p>
    <w:p>
      <w:pPr>
        <w:pStyle w:val="680"/>
        <w:numPr>
          <w:ilvl w:val="0"/>
          <w:numId w:val="1"/>
        </w:numPr>
        <w:pBdr/>
        <w:spacing/>
        <w:ind/>
        <w:jc w:val="both"/>
        <w:rPr>
          <w:rFonts w:ascii="Times New Roman" w:hAnsi="Times New Roman"/>
          <w:sz w:val="24"/>
        </w:rPr>
      </w:pPr>
      <w:r>
        <w:rPr>
          <w:rFonts w:ascii="Times New Roman" w:hAnsi="Times New Roman"/>
          <w:sz w:val="24"/>
        </w:rPr>
        <w:t xml:space="preserve">Des fonds signalés dans Calames</w:t>
      </w:r>
      <w:r>
        <w:rPr>
          <w:rFonts w:ascii="Times New Roman" w:hAnsi="Times New Roman"/>
          <w:sz w:val="24"/>
        </w:rPr>
      </w:r>
    </w:p>
    <w:p>
      <w:pPr>
        <w:pStyle w:val="680"/>
        <w:numPr>
          <w:ilvl w:val="0"/>
          <w:numId w:val="1"/>
        </w:numPr>
        <w:pBdr/>
        <w:spacing/>
        <w:ind/>
        <w:jc w:val="both"/>
        <w:rPr>
          <w:rFonts w:ascii="Times New Roman" w:hAnsi="Times New Roman"/>
          <w:sz w:val="24"/>
        </w:rPr>
      </w:pPr>
      <w:r>
        <w:rPr>
          <w:rFonts w:ascii="Times New Roman" w:hAnsi="Times New Roman"/>
          <w:sz w:val="24"/>
        </w:rPr>
        <w:t xml:space="preserve">L’adaptation des recommandations de signalement des documents présents dans ses bases, une mission centrale de l’</w:t>
      </w:r>
      <w:r>
        <w:rPr>
          <w:rFonts w:ascii="Times New Roman" w:hAnsi="Times New Roman"/>
          <w:sz w:val="24"/>
        </w:rPr>
        <w:t xml:space="preserve">abes</w:t>
      </w:r>
      <w:r>
        <w:rPr>
          <w:rFonts w:ascii="Times New Roman" w:hAnsi="Times New Roman"/>
          <w:sz w:val="24"/>
        </w:rPr>
      </w:r>
    </w:p>
    <w:p>
      <w:pPr>
        <w:pStyle w:val="680"/>
        <w:numPr>
          <w:ilvl w:val="0"/>
          <w:numId w:val="1"/>
        </w:numPr>
        <w:pBdr/>
        <w:spacing/>
        <w:ind/>
        <w:jc w:val="both"/>
        <w:rPr>
          <w:rFonts w:ascii="Times New Roman" w:hAnsi="Times New Roman"/>
          <w:sz w:val="24"/>
        </w:rPr>
      </w:pPr>
      <w:r>
        <w:rPr>
          <w:rFonts w:ascii="Times New Roman" w:hAnsi="Times New Roman"/>
          <w:sz w:val="24"/>
        </w:rPr>
        <w:t xml:space="preserve">Calames aujourd’hui, un outil solide mais avec des limites</w:t>
      </w:r>
      <w:r>
        <w:rPr>
          <w:rFonts w:ascii="Times New Roman" w:hAnsi="Times New Roman"/>
          <w:sz w:val="24"/>
        </w:rPr>
      </w:r>
    </w:p>
    <w:p>
      <w:pPr>
        <w:pStyle w:val="680"/>
        <w:numPr>
          <w:ilvl w:val="0"/>
          <w:numId w:val="1"/>
        </w:numPr>
        <w:pBdr/>
        <w:spacing/>
        <w:ind/>
        <w:jc w:val="both"/>
        <w:rPr>
          <w:rFonts w:ascii="Times New Roman" w:hAnsi="Times New Roman"/>
          <w:sz w:val="24"/>
        </w:rPr>
      </w:pPr>
      <w:r>
        <w:rPr>
          <w:rFonts w:ascii="Times New Roman" w:hAnsi="Times New Roman"/>
          <w:sz w:val="24"/>
        </w:rPr>
        <w:t xml:space="preserve">Des attentes qui se font jour</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Journées </w:t>
      </w:r>
      <w:r>
        <w:rPr>
          <w:rFonts w:ascii="Times New Roman" w:hAnsi="Times New Roman"/>
          <w:sz w:val="24"/>
        </w:rPr>
        <w:t xml:space="preserve">Abes</w:t>
      </w:r>
      <w:r>
        <w:rPr>
          <w:rFonts w:ascii="Times New Roman" w:hAnsi="Times New Roman"/>
          <w:sz w:val="24"/>
        </w:rPr>
        <w:t xml:space="preserve"> 2019, affichage claire « Calames, au service d’une politique de valorisation des archives des chercheurs ». </w:t>
      </w:r>
      <w:r>
        <w:rPr>
          <w:rFonts w:ascii="Times New Roman" w:hAnsi="Times New Roman"/>
          <w:sz w:val="24"/>
        </w:rPr>
        <w:t xml:space="preserve">chacun</w:t>
      </w:r>
      <w:r>
        <w:rPr>
          <w:rFonts w:ascii="Times New Roman" w:hAnsi="Times New Roman"/>
          <w:sz w:val="24"/>
        </w:rPr>
        <w:t xml:space="preserve"> avait pu témoigner des tensions conceptu</w:t>
      </w:r>
      <w:r>
        <w:rPr>
          <w:rFonts w:ascii="Times New Roman" w:hAnsi="Times New Roman"/>
          <w:sz w:val="24"/>
        </w:rPr>
        <w:t xml:space="preserve">elles autour de l’objet « archives scientifiques » qui présente une frontière brouillée avec les archives administratives, se situe à la croisée de statuts juridiques divergents et de regards professionnels hétérogènes entre archivistes et bibliothécaires.</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Des fonds signalés dans Calames :</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Calames ne pose pas de définition a priori et accepte toutes les archives, indépendamment de leur ancienneté, de leur support ou de leur statut</w:t>
      </w:r>
      <w:r>
        <w:rPr>
          <w:rFonts w:ascii="Times New Roman" w:hAnsi="Times New Roman"/>
          <w:sz w:val="24"/>
        </w:rPr>
        <w:t xml:space="preserve">, publiques et privées, administratives et scientifiques, de laboratoires et de chercheurs, d’individus et de collectifs privés, dans la mesure où elles sont conservées dans un établissement membre du réseau et où leur signalement est jugé utile au public.</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Calames : né de la partie des collections du Catalogue général des manuscrits possédés par les établissements de l’ESR</w:t>
      </w:r>
      <w:r>
        <w:rPr>
          <w:rFonts w:ascii="Times New Roman" w:hAnsi="Times New Roman"/>
          <w:sz w:val="24"/>
        </w:rPr>
        <w:t xml:space="preserve">, la moitié des unités documentaires signalées dans Calames concerne des </w:t>
      </w:r>
      <w:r>
        <w:rPr>
          <w:rFonts w:ascii="Times New Roman" w:hAnsi="Times New Roman"/>
          <w:sz w:val="24"/>
        </w:rPr>
        <w:t xml:space="preserve">archives</w:t>
      </w:r>
      <w:r>
        <w:rPr>
          <w:rFonts w:ascii="Times New Roman" w:hAnsi="Times New Roman"/>
          <w:sz w:val="24"/>
        </w:rPr>
        <w:t xml:space="preserve"> de quatre ordres :</w:t>
      </w:r>
      <w:r>
        <w:rPr>
          <w:rFonts w:ascii="Times New Roman" w:hAnsi="Times New Roman"/>
          <w:sz w:val="24"/>
        </w:rPr>
      </w:r>
    </w:p>
    <w:p>
      <w:pPr>
        <w:pStyle w:val="680"/>
        <w:numPr>
          <w:ilvl w:val="0"/>
          <w:numId w:val="2"/>
        </w:numPr>
        <w:pBdr/>
        <w:spacing/>
        <w:ind/>
        <w:jc w:val="both"/>
        <w:rPr>
          <w:rFonts w:ascii="Times New Roman" w:hAnsi="Times New Roman"/>
          <w:sz w:val="24"/>
        </w:rPr>
      </w:pPr>
      <w:r>
        <w:rPr>
          <w:rFonts w:ascii="Times New Roman" w:hAnsi="Times New Roman"/>
          <w:sz w:val="24"/>
        </w:rPr>
        <w:t xml:space="preserve">Archives institutionnelles (relevant des services centraux) pour quelques établissements dont l’organisation associe service d’archives et service documentaire</w:t>
      </w:r>
      <w:r>
        <w:rPr>
          <w:rFonts w:ascii="Times New Roman" w:hAnsi="Times New Roman"/>
          <w:sz w:val="24"/>
        </w:rPr>
      </w:r>
    </w:p>
    <w:p>
      <w:pPr>
        <w:pStyle w:val="680"/>
        <w:numPr>
          <w:ilvl w:val="0"/>
          <w:numId w:val="2"/>
        </w:numPr>
        <w:pBdr/>
        <w:spacing/>
        <w:ind/>
        <w:jc w:val="both"/>
        <w:rPr>
          <w:rFonts w:ascii="Times New Roman" w:hAnsi="Times New Roman"/>
          <w:sz w:val="24"/>
        </w:rPr>
      </w:pPr>
      <w:r>
        <w:rPr>
          <w:rFonts w:ascii="Times New Roman" w:hAnsi="Times New Roman"/>
          <w:sz w:val="24"/>
        </w:rPr>
        <w:t xml:space="preserve">Archives associatives ou militantes, pour des établissements dont c’est une spécificité </w:t>
      </w:r>
      <w:r>
        <w:rPr>
          <w:rFonts w:ascii="Times New Roman" w:hAnsi="Times New Roman"/>
          <w:sz w:val="24"/>
        </w:rPr>
      </w:r>
    </w:p>
    <w:p>
      <w:pPr>
        <w:pStyle w:val="680"/>
        <w:numPr>
          <w:ilvl w:val="0"/>
          <w:numId w:val="2"/>
        </w:numPr>
        <w:pBdr/>
        <w:spacing/>
        <w:ind/>
        <w:jc w:val="both"/>
        <w:rPr>
          <w:rFonts w:ascii="Times New Roman" w:hAnsi="Times New Roman"/>
          <w:sz w:val="24"/>
        </w:rPr>
      </w:pPr>
      <w:r>
        <w:rPr>
          <w:rFonts w:ascii="Times New Roman" w:hAnsi="Times New Roman"/>
          <w:sz w:val="24"/>
        </w:rPr>
        <w:t xml:space="preserve">Archives littéraires ou artistiques</w:t>
      </w:r>
      <w:r>
        <w:rPr>
          <w:rFonts w:ascii="Times New Roman" w:hAnsi="Times New Roman"/>
          <w:sz w:val="24"/>
        </w:rPr>
      </w:r>
    </w:p>
    <w:p>
      <w:pPr>
        <w:pStyle w:val="680"/>
        <w:numPr>
          <w:ilvl w:val="0"/>
          <w:numId w:val="2"/>
        </w:numPr>
        <w:pBdr/>
        <w:spacing/>
        <w:ind/>
        <w:jc w:val="both"/>
        <w:rPr>
          <w:rFonts w:ascii="Times New Roman" w:hAnsi="Times New Roman"/>
          <w:sz w:val="24"/>
        </w:rPr>
      </w:pPr>
      <w:r>
        <w:rPr>
          <w:rFonts w:ascii="Times New Roman" w:hAnsi="Times New Roman"/>
          <w:sz w:val="24"/>
        </w:rPr>
        <w:t xml:space="preserve">Archives scientifiques, ce qui couvre une grande variété de supports : au-delà de la prédominance des archives papier, sont aussi signalés des fonds iconographiques ou audiovisuels.</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L’adaptation des recommandations de signalement des documents présents dans ses bases, une mission centrale de l’</w:t>
      </w:r>
      <w:r>
        <w:rPr>
          <w:rFonts w:ascii="Times New Roman" w:hAnsi="Times New Roman"/>
          <w:sz w:val="24"/>
        </w:rPr>
        <w:t xml:space="preserve">abes</w:t>
      </w:r>
      <w:r>
        <w:rPr>
          <w:rFonts w:ascii="Times New Roman" w:hAnsi="Times New Roman"/>
          <w:sz w:val="24"/>
        </w:rPr>
        <w:t xml:space="preserve"> :</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L’application Calames a fait le ch</w:t>
      </w:r>
      <w:r>
        <w:rPr>
          <w:rFonts w:ascii="Times New Roman" w:hAnsi="Times New Roman"/>
          <w:sz w:val="24"/>
        </w:rPr>
        <w:t xml:space="preserve">oix du format XML-EAD, qui offre à la fois un respect des principes archivistiques (description du général au particulier, héritage des informations entre les différents niveaux de description) et la garantie d’une description intellectuellement cohérente.</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Si la culture du signalement initialement partagée pousse à la précision jusqu’à la pièce, l’</w:t>
      </w:r>
      <w:r>
        <w:rPr>
          <w:rFonts w:ascii="Times New Roman" w:hAnsi="Times New Roman"/>
          <w:sz w:val="24"/>
        </w:rPr>
        <w:t xml:space="preserve">Abes</w:t>
      </w:r>
      <w:r>
        <w:rPr>
          <w:rFonts w:ascii="Times New Roman" w:hAnsi="Times New Roman"/>
          <w:sz w:val="24"/>
        </w:rPr>
        <w:t xml:space="preserve"> réaffirme à l’occasion de la mise à jour de ses r</w:t>
      </w:r>
      <w:r>
        <w:rPr>
          <w:rFonts w:ascii="Times New Roman" w:hAnsi="Times New Roman"/>
          <w:sz w:val="24"/>
        </w:rPr>
        <w:t xml:space="preserve">ègles de catalogage que Calames permet la description synthétique d’ensembles à condition de respecter les indexations attendues. La granularité de la description dépend, en effet, de la politique documentaire et des moyens humains de chaque établissement.</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Le groupe de travail interministériel « EAD en bibliothèque » mène une révision du Guide des bonnes pratiques visant à tenir compte de l’expérience acquise af</w:t>
      </w:r>
      <w:r>
        <w:rPr>
          <w:rFonts w:ascii="Times New Roman" w:hAnsi="Times New Roman"/>
          <w:sz w:val="24"/>
        </w:rPr>
        <w:t xml:space="preserve">in de décrire au mieux la diversité typologique importante des archives, y compris scientifiques, présentes dans Calames, et de répondre aux attentes de plus en plus manifestes de consignes cohérentes pour le signalement de documents nativement numériques.</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Comme pour d’autres types de données gérées par l’</w:t>
      </w:r>
      <w:r>
        <w:rPr>
          <w:rFonts w:ascii="Times New Roman" w:hAnsi="Times New Roman"/>
          <w:sz w:val="24"/>
        </w:rPr>
        <w:t xml:space="preserve">Abes</w:t>
      </w:r>
      <w:r>
        <w:rPr>
          <w:rFonts w:ascii="Times New Roman" w:hAnsi="Times New Roman"/>
          <w:sz w:val="24"/>
        </w:rPr>
        <w:t xml:space="preserve">, les membres du réseau Calames posent régulièrement la question d’un élargissement des référentiels exploitables : référentiels plus spécifiques au monde des archives ; référentiels thématiques scientifiques </w:t>
      </w:r>
      <w:r>
        <w:rPr>
          <w:rFonts w:ascii="Times New Roman" w:hAnsi="Times New Roman"/>
          <w:sz w:val="24"/>
        </w:rPr>
        <w:t xml:space="preserve">spécialisés, l’encyclopédisme de Rameau ne répondant pas à la finesse attendue ; ou encore référentiels propres au pilotage de la recherche comme, par exemple, les référentiels des projets ANR.</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Calames aujourd’hui, un outil solide mais avec des limites </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Solidité de Calames et ses index adaptés à la nature hiérarchique de l’EAD garantissant une exploitation poussée de l’indexation.</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Calames garantit une visibilité aux données des établissements en veillant à la qualité du référencement dans Google et en améliorant la diffusion des données Calames dans les catalogues nationaux et internationaux. </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Toutes les données Calames, archives comme manuscrits, sont récupérées par le </w:t>
      </w:r>
      <w:r>
        <w:rPr>
          <w:rFonts w:ascii="Times New Roman" w:hAnsi="Times New Roman"/>
          <w:sz w:val="24"/>
        </w:rPr>
        <w:t xml:space="preserve">CCFr</w:t>
      </w:r>
      <w:r>
        <w:rPr>
          <w:rFonts w:ascii="Times New Roman" w:hAnsi="Times New Roman"/>
          <w:sz w:val="24"/>
        </w:rPr>
        <w:t xml:space="preserve">.</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Calames, dans son fonctionnement actuel, ne permet pas la saisie par formulaire et impose la maîtrise d’EAD pour produire des instruments de recherche, ce qui rend difficile, voire impossible, le signalement direct de leurs archives par les chercheurs.</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 Calames : ni une bibliothèque numérique, ni un système d’archivage électronique (SAE), ni un outil de gestion archivistique.</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L’amélioration des fonctionnalités et des formats d’export, à laquelle travaille l’</w:t>
      </w:r>
      <w:r>
        <w:rPr>
          <w:rFonts w:ascii="Times New Roman" w:hAnsi="Times New Roman"/>
          <w:sz w:val="24"/>
        </w:rPr>
        <w:t xml:space="preserve">Abes</w:t>
      </w:r>
      <w:r>
        <w:rPr>
          <w:rFonts w:ascii="Times New Roman" w:hAnsi="Times New Roman"/>
          <w:sz w:val="24"/>
        </w:rPr>
        <w:t xml:space="preserve">, peut faciliter les échanges de données ou les rebonds ciblés entre Calames et ces différentes briques qu’elles soient locales, à l’échelle d’un établissement, ou nationales et implantées dans l’ESR français (</w:t>
      </w:r>
      <w:r>
        <w:rPr>
          <w:rFonts w:ascii="Times New Roman" w:hAnsi="Times New Roman"/>
          <w:sz w:val="24"/>
        </w:rPr>
        <w:t xml:space="preserve">Nakala</w:t>
      </w:r>
      <w:r>
        <w:rPr>
          <w:rFonts w:ascii="Times New Roman" w:hAnsi="Times New Roman"/>
          <w:sz w:val="24"/>
        </w:rPr>
        <w:t xml:space="preserve">, </w:t>
      </w:r>
      <w:r>
        <w:rPr>
          <w:rFonts w:ascii="Times New Roman" w:hAnsi="Times New Roman"/>
          <w:sz w:val="24"/>
        </w:rPr>
        <w:t xml:space="preserve">MediHal</w:t>
      </w:r>
      <w:r>
        <w:rPr>
          <w:rFonts w:ascii="Times New Roman" w:hAnsi="Times New Roman"/>
          <w:sz w:val="24"/>
        </w:rPr>
        <w:t xml:space="preserve">,…</w:t>
      </w:r>
      <w:r>
        <w:rPr>
          <w:rFonts w:ascii="Times New Roman" w:hAnsi="Times New Roman"/>
          <w:sz w:val="24"/>
        </w:rPr>
        <w:t xml:space="preserve">).</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Des attentes qui se font jour </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Les archives nativement numériques posent, de façon bien plus cruciale que pour les archives papier, la problématique de </w:t>
      </w:r>
      <w:r>
        <w:rPr>
          <w:rFonts w:ascii="Times New Roman" w:hAnsi="Times New Roman"/>
          <w:sz w:val="24"/>
        </w:rPr>
        <w:t xml:space="preserve">l’intégration d’un service de signalement tel que </w:t>
      </w:r>
      <w:r>
        <w:rPr>
          <w:rFonts w:ascii="Times New Roman" w:hAnsi="Times New Roman"/>
          <w:sz w:val="24"/>
        </w:rPr>
        <w:t xml:space="preserve">Calames au sein d’un écosystème, soit complet – avec un système d’archivage électronique (SAE) allant jusqu’à prendre en charge les documents numériques dès leur production, soit composé de services aux périmètres plus ciblés, tels que l’archivage pérenne.</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Du fait de la jeunesse relative des services d’archives au sein des établissements de l’ESR, de l’importance des enjeux organisationnels pour une politique cohérente relative aux archives numériques scientifiques, de la co</w:t>
      </w:r>
      <w:r>
        <w:rPr>
          <w:rFonts w:ascii="Times New Roman" w:hAnsi="Times New Roman"/>
          <w:sz w:val="24"/>
        </w:rPr>
        <w:t xml:space="preserve">mplexité des enjeux techniques en cette période de transition entre la production papier et la production nativement numérique, les attentes exprimées par les établissements de l’ESR s’avèrent très hétérogènes, dans leur périmètre comme dans leur ambition.</w:t>
      </w:r>
      <w:r>
        <w:rPr>
          <w:rFonts w:ascii="Times New Roman" w:hAnsi="Times New Roman"/>
          <w:sz w:val="24"/>
        </w:rPr>
      </w:r>
    </w:p>
    <w:p>
      <w:pPr>
        <w:pBdr/>
        <w:spacing/>
        <w:ind/>
        <w:jc w:val="both"/>
        <w:rPr>
          <w:rFonts w:ascii="Times New Roman" w:hAnsi="Times New Roman"/>
          <w:sz w:val="24"/>
        </w:rPr>
      </w:pPr>
      <w:r>
        <w:rPr>
          <w:rFonts w:ascii="Times New Roman" w:hAnsi="Times New Roman"/>
          <w:sz w:val="24"/>
        </w:rPr>
        <w:t xml:space="preserve">2</w:t>
      </w:r>
      <w:r>
        <w:rPr>
          <w:rFonts w:ascii="Times New Roman" w:hAnsi="Times New Roman"/>
          <w:sz w:val="24"/>
          <w:vertAlign w:val="superscript"/>
        </w:rPr>
        <w:t xml:space="preserve">nd</w:t>
      </w:r>
      <w:r>
        <w:rPr>
          <w:rFonts w:ascii="Times New Roman" w:hAnsi="Times New Roman"/>
          <w:sz w:val="24"/>
        </w:rPr>
        <w:t xml:space="preserve"> attente émane des chercheurs et services </w:t>
      </w:r>
      <w:r>
        <w:rPr>
          <w:rFonts w:ascii="Times New Roman" w:hAnsi="Times New Roman"/>
          <w:sz w:val="24"/>
        </w:rPr>
        <w:t xml:space="preserve">à la recherche développés</w:t>
      </w:r>
      <w:r>
        <w:rPr>
          <w:rFonts w:ascii="Times New Roman" w:hAnsi="Times New Roman"/>
          <w:sz w:val="24"/>
        </w:rPr>
        <w:t xml:space="preserve"> par les structures documentaires des établissements de l’ESR : disposer d’un outil </w:t>
      </w:r>
      <w:r>
        <w:rPr>
          <w:rFonts w:ascii="Times New Roman" w:hAnsi="Times New Roman"/>
          <w:sz w:val="24"/>
        </w:rPr>
        <w:t xml:space="preserve">qui permette le signalement de corp</w:t>
      </w:r>
      <w:r>
        <w:rPr>
          <w:rFonts w:ascii="Times New Roman" w:hAnsi="Times New Roman"/>
          <w:sz w:val="24"/>
        </w:rPr>
        <w:t xml:space="preserve">us en réponse à une problématique scientifique, indépendamment des lieux de production et de conservation. Cette demande interroge la logique institutionnelle de signalement par établissement de conservation, sur laquelle s’appuie Calames depuis l’origine.</w:t>
      </w:r>
      <w:r>
        <w:rPr>
          <w:rFonts w:ascii="Times New Roman" w:hAnsi="Times New Roman"/>
          <w:sz w:val="24"/>
        </w:rPr>
      </w:r>
    </w:p>
    <w:p>
      <w:pPr>
        <w:pBdr/>
        <w:spacing/>
        <w:ind/>
        <w:jc w:val="both"/>
        <w:rPr>
          <w:rFonts w:ascii="Times New Roman" w:hAnsi="Times New Roman" w:cs="Times New Roman"/>
          <w:color w:val="ff0000"/>
          <w:sz w:val="24"/>
          <w:szCs w:val="24"/>
          <w:lang w:eastAsia="fr-FR"/>
        </w:rPr>
      </w:pPr>
      <w:r/>
      <w:hyperlink r:id="rId9" w:tooltip="https://publications-prairial.fr/arabesques/index.php?id=4463" w:history="1">
        <w:r>
          <w:rPr>
            <w:rFonts w:ascii="Times New Roman" w:hAnsi="Times New Roman" w:cs="Times New Roman"/>
            <w:color w:val="ff0000"/>
            <w:sz w:val="24"/>
            <w:szCs w:val="24"/>
            <w:u w:val="single"/>
            <w:lang w:eastAsia="fr-FR"/>
          </w:rPr>
          <w:t xml:space="preserve">119 | 2026Des données ouvertes pour une science ouverte</w:t>
        </w:r>
      </w:hyperlink>
      <w:r>
        <w:rPr>
          <w:rFonts w:ascii="Times New Roman" w:hAnsi="Times New Roman" w:cs="Times New Roman"/>
          <w:color w:val="ff0000"/>
          <w:sz w:val="24"/>
          <w:szCs w:val="24"/>
          <w:lang w:eastAsia="fr-FR"/>
        </w:rPr>
        <w:t xml:space="preserve"> : </w:t>
      </w:r>
      <w:r>
        <w:rPr>
          <w:rFonts w:ascii="Times New Roman" w:hAnsi="Times New Roman" w:cs="Times New Roman"/>
          <w:color w:val="ff0000"/>
          <w:sz w:val="24"/>
          <w:szCs w:val="24"/>
          <w:lang w:eastAsia="fr-FR"/>
        </w:rPr>
        <w:t xml:space="preserve">Fertiliser l’écosystème de la recherche</w:t>
      </w:r>
      <w:r>
        <w:rPr>
          <w:rFonts w:ascii="Times New Roman" w:hAnsi="Times New Roman" w:cs="Times New Roman"/>
          <w:color w:val="ff0000"/>
          <w:sz w:val="24"/>
          <w:szCs w:val="24"/>
          <w:lang w:eastAsia="fr-FR"/>
        </w:rPr>
      </w:r>
    </w:p>
    <w:p>
      <w:p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Le DSIM : l’ingénierie technique et documentaire au cœur de la refonte du Système d’Information de Stéphane </w:t>
      </w:r>
      <w:r>
        <w:rPr>
          <w:rFonts w:ascii="Times New Roman" w:hAnsi="Times New Roman" w:cs="Times New Roman"/>
          <w:sz w:val="24"/>
          <w:szCs w:val="24"/>
          <w:lang w:eastAsia="fr-FR"/>
        </w:rPr>
        <w:t xml:space="preserve">Gully</w:t>
      </w:r>
      <w:r>
        <w:rPr>
          <w:rFonts w:ascii="Times New Roman" w:hAnsi="Times New Roman" w:cs="Times New Roman"/>
          <w:sz w:val="24"/>
          <w:szCs w:val="24"/>
          <w:lang w:eastAsia="fr-FR"/>
        </w:rPr>
        <w:t xml:space="preserve"> et Sébastien Peyrard p.4.</w:t>
      </w:r>
      <w:r>
        <w:rPr>
          <w:rFonts w:ascii="Times New Roman" w:hAnsi="Times New Roman" w:cs="Times New Roman"/>
          <w:sz w:val="24"/>
          <w:szCs w:val="24"/>
          <w:lang w:eastAsia="fr-FR"/>
        </w:rPr>
      </w:r>
    </w:p>
    <w:p>
      <w:p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Plan : </w:t>
      </w:r>
      <w:r>
        <w:rPr>
          <w:rFonts w:ascii="Times New Roman" w:hAnsi="Times New Roman" w:cs="Times New Roman"/>
          <w:sz w:val="24"/>
          <w:szCs w:val="24"/>
          <w:lang w:eastAsia="fr-FR"/>
        </w:rPr>
      </w:r>
    </w:p>
    <w:p>
      <w:pPr>
        <w:pStyle w:val="680"/>
        <w:numPr>
          <w:ilvl w:val="0"/>
          <w:numId w:val="2"/>
        </w:num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Un contexte exigeant, une ambition claire</w:t>
      </w:r>
      <w:r>
        <w:rPr>
          <w:rFonts w:ascii="Times New Roman" w:hAnsi="Times New Roman" w:cs="Times New Roman"/>
          <w:sz w:val="24"/>
          <w:szCs w:val="24"/>
          <w:lang w:eastAsia="fr-FR"/>
        </w:rPr>
      </w:r>
    </w:p>
    <w:p>
      <w:pPr>
        <w:pStyle w:val="680"/>
        <w:numPr>
          <w:ilvl w:val="0"/>
          <w:numId w:val="2"/>
        </w:num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Cinq services pour une approche standard</w:t>
      </w:r>
      <w:r>
        <w:rPr>
          <w:rFonts w:ascii="Times New Roman" w:hAnsi="Times New Roman" w:cs="Times New Roman"/>
          <w:sz w:val="24"/>
          <w:szCs w:val="24"/>
          <w:lang w:eastAsia="fr-FR"/>
        </w:rPr>
      </w:r>
    </w:p>
    <w:p>
      <w:pPr>
        <w:pStyle w:val="680"/>
        <w:numPr>
          <w:ilvl w:val="0"/>
          <w:numId w:val="2"/>
        </w:num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Garantir l’existant, préparer l’avenir</w:t>
      </w:r>
      <w:r>
        <w:rPr>
          <w:rFonts w:ascii="Times New Roman" w:hAnsi="Times New Roman" w:cs="Times New Roman"/>
          <w:sz w:val="24"/>
          <w:szCs w:val="24"/>
          <w:lang w:eastAsia="fr-FR"/>
        </w:rPr>
      </w:r>
    </w:p>
    <w:p>
      <w:p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DSIM = Département Systèmes d’information et métadonnées porte la responsabilité de maintenir et moderniser le socle technique et documentaire de l’Agence, condition de la réussite du Projet d’établissement 2024-2028.</w:t>
      </w:r>
      <w:r>
        <w:rPr>
          <w:rFonts w:ascii="Times New Roman" w:hAnsi="Times New Roman" w:cs="Times New Roman"/>
          <w:sz w:val="24"/>
          <w:szCs w:val="24"/>
          <w:lang w:eastAsia="fr-FR"/>
        </w:rPr>
      </w:r>
    </w:p>
    <w:p>
      <w:p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Un contexte exigeant, une ambition claire :</w:t>
      </w:r>
      <w:r>
        <w:rPr>
          <w:rFonts w:ascii="Times New Roman" w:hAnsi="Times New Roman" w:cs="Times New Roman"/>
          <w:sz w:val="24"/>
          <w:szCs w:val="24"/>
          <w:lang w:eastAsia="fr-FR"/>
        </w:rPr>
      </w:r>
    </w:p>
    <w:p>
      <w:p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Abes</w:t>
      </w:r>
      <w:r>
        <w:rPr>
          <w:rFonts w:ascii="Times New Roman" w:hAnsi="Times New Roman" w:cs="Times New Roman"/>
          <w:sz w:val="24"/>
          <w:szCs w:val="24"/>
          <w:lang w:eastAsia="fr-FR"/>
        </w:rPr>
        <w:t xml:space="preserve"> : historiquement reconnue comme un acteur clé de la mutualisation du secteur documentaire de l’ESR, disposant d’un haut niveau de compétence interne et d’une grande variété d’applications pour répondre à des besoins bibliothéconomiques complexes. </w:t>
      </w:r>
      <w:r>
        <w:rPr>
          <w:rFonts w:ascii="Times New Roman" w:hAnsi="Times New Roman" w:cs="Times New Roman"/>
          <w:sz w:val="24"/>
          <w:szCs w:val="24"/>
          <w:lang w:eastAsia="fr-FR"/>
        </w:rPr>
      </w:r>
    </w:p>
    <w:p>
      <w:p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Foisonnement d’applications + dette technique importante.</w:t>
      </w:r>
      <w:r>
        <w:rPr>
          <w:rFonts w:ascii="Times New Roman" w:hAnsi="Times New Roman" w:cs="Times New Roman"/>
          <w:sz w:val="24"/>
          <w:szCs w:val="24"/>
          <w:lang w:eastAsia="fr-FR"/>
        </w:rPr>
      </w:r>
    </w:p>
    <w:p>
      <w:p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Face à des moyens humains et budgétaires contraints, l’ambition du DSIM est de moderniser simultanément le SI, les processus et l’organisation collective du travail. </w:t>
      </w:r>
      <w:r>
        <w:rPr>
          <w:rFonts w:ascii="Times New Roman" w:hAnsi="Times New Roman" w:cs="Times New Roman"/>
          <w:sz w:val="24"/>
          <w:szCs w:val="24"/>
          <w:lang w:eastAsia="fr-FR"/>
        </w:rPr>
      </w:r>
    </w:p>
    <w:p>
      <w:p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Modernisation = 2 objectifs stratégiques majeurs du Projet d’établissement : le renouvellement du cœur du SI et la capacité à fournir des métadonnées de qualité aux établissements de l’ESR.</w:t>
      </w:r>
      <w:r>
        <w:rPr>
          <w:rFonts w:ascii="Times New Roman" w:hAnsi="Times New Roman" w:cs="Times New Roman"/>
          <w:sz w:val="24"/>
          <w:szCs w:val="24"/>
          <w:lang w:eastAsia="fr-FR"/>
        </w:rPr>
      </w:r>
    </w:p>
    <w:p>
      <w:p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Cinq services pour une approche standard :</w:t>
      </w:r>
      <w:r>
        <w:rPr>
          <w:rFonts w:ascii="Times New Roman" w:hAnsi="Times New Roman" w:cs="Times New Roman"/>
          <w:sz w:val="24"/>
          <w:szCs w:val="24"/>
          <w:lang w:eastAsia="fr-FR"/>
        </w:rPr>
      </w:r>
    </w:p>
    <w:p>
      <w:pPr>
        <w:pBdr/>
        <w:spacing/>
        <w:ind/>
        <w:jc w:val="both"/>
        <w:rPr>
          <w:rFonts w:ascii="Times New Roman" w:hAnsi="Times New Roman" w:cs="Times New Roman"/>
          <w:sz w:val="24"/>
          <w:szCs w:val="24"/>
          <w:lang w:eastAsia="fr-FR"/>
        </w:rPr>
      </w:pPr>
      <w:r>
        <w:rPr>
          <w:rFonts w:ascii="Times New Roman" w:hAnsi="Times New Roman" w:cs="Times New Roman"/>
          <w:sz w:val="24"/>
          <w:szCs w:val="24"/>
          <w:lang w:eastAsia="fr-FR"/>
        </w:rPr>
      </w:r>
      <w:r>
        <w:rPr>
          <w:rFonts w:ascii="Times New Roman" w:hAnsi="Times New Roman" w:cs="Times New Roman"/>
          <w:sz w:val="24"/>
          <w:szCs w:val="24"/>
          <w:lang w:eastAsia="fr-FR"/>
        </w:rPr>
      </w:r>
    </w:p>
    <w:p>
      <w:pPr>
        <w:pBdr/>
        <w:spacing/>
        <w:ind/>
        <w:rPr>
          <w:rFonts w:ascii="Times New Roman" w:hAnsi="Times New Roman" w:cs="Times New Roman"/>
          <w:color w:val="ff0000"/>
          <w:sz w:val="24"/>
          <w:szCs w:val="24"/>
        </w:rPr>
      </w:pPr>
      <w:r>
        <w:rPr>
          <w:rFonts w:ascii="Times New Roman" w:hAnsi="Times New Roman" w:cs="Times New Roman"/>
          <w:color w:val="ff0000"/>
          <w:sz w:val="24"/>
          <w:szCs w:val="24"/>
        </w:rPr>
        <w:t xml:space="preserve">119| 2026 : Des données ouvertes pour une science ouverte</w:t>
      </w:r>
      <w:r>
        <w:rPr>
          <w:rFonts w:ascii="Times New Roman" w:hAnsi="Times New Roman" w:cs="Times New Roman"/>
          <w:color w:val="ff0000"/>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Identifier pour simplifier : les PID au service d’une recherche plus fluide et plus visible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p.6-7</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Plan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Qu’est-ce qu’un identifiant persistant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Une dynamique internationale</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La stratégie française : articuler les identifiants internationaux et nationaux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Les principaux identifiants recommandés</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Une transformation systématique des pratiques</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Politique nationale et soutien du MESRE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Citation : Réduire les ressaisies, fiabiliser les données, améliorer la visibilité des travau</w:t>
      </w:r>
      <w:r>
        <w:rPr>
          <w:rFonts w:ascii="Times New Roman" w:hAnsi="Times New Roman" w:cs="Times New Roman"/>
          <w:sz w:val="24"/>
          <w:szCs w:val="24"/>
        </w:rPr>
        <w:t xml:space="preserve">x scientifiques : tels sont les objectifs poursuivis par la stratégie nationale d’adoption des identifiants persistants. Dans la continuité des recommandations publiées en 2025, le MESRE accompagne une structuration durable de l’écosystème de la recherche.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Mai 2025 : journées d’étude de l’</w:t>
      </w:r>
      <w:r>
        <w:rPr>
          <w:rFonts w:ascii="Times New Roman" w:hAnsi="Times New Roman" w:cs="Times New Roman"/>
          <w:sz w:val="24"/>
          <w:szCs w:val="24"/>
        </w:rPr>
        <w:t xml:space="preserve">Abes</w:t>
      </w:r>
      <w:r>
        <w:rPr>
          <w:rFonts w:ascii="Times New Roman" w:hAnsi="Times New Roman" w:cs="Times New Roman"/>
          <w:sz w:val="24"/>
          <w:szCs w:val="24"/>
        </w:rPr>
        <w:t xml:space="preserve"> où la question des identifia</w:t>
      </w:r>
      <w:r>
        <w:rPr>
          <w:rFonts w:ascii="Times New Roman" w:hAnsi="Times New Roman" w:cs="Times New Roman"/>
          <w:sz w:val="24"/>
          <w:szCs w:val="24"/>
        </w:rPr>
        <w:t xml:space="preserve">nts et de leur urbanisation dans les systèmes d’information des établissements apparaissait comme un enjeu majeur pour l’ESR, paraissaient à l’automne 2025 les recommandations pour l’adoption des identifiants persistants dans l’ESR, rédigées par Véronique </w:t>
      </w:r>
      <w:r>
        <w:rPr>
          <w:rFonts w:ascii="Times New Roman" w:hAnsi="Times New Roman" w:cs="Times New Roman"/>
          <w:sz w:val="24"/>
          <w:szCs w:val="24"/>
        </w:rPr>
        <w:t xml:space="preserve">Stoll</w:t>
      </w:r>
      <w:r>
        <w:rPr>
          <w:rFonts w:ascii="Times New Roman" w:hAnsi="Times New Roman" w:cs="Times New Roman"/>
          <w:sz w:val="24"/>
          <w:szCs w:val="24"/>
        </w:rPr>
        <w:t xml:space="preserve"> et Frédéric de Lamotte. Coordonnées par le Collège des données de la recherche du Comité pour la</w:t>
      </w:r>
      <w:r>
        <w:rPr>
          <w:rFonts w:ascii="Times New Roman" w:hAnsi="Times New Roman" w:cs="Times New Roman"/>
          <w:sz w:val="24"/>
          <w:szCs w:val="24"/>
        </w:rPr>
        <w:t xml:space="preserve"> science ouverte, elles s’inscrivent pleinement dans la continuité du Plan National pour la Science Ouverte et répondent aux enjeux de simplification administrative, d’interopérabilité des systèmes et de visibilité internationale de la recherche française.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Qu’est-ce qu’un identifiant persistant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Identifiants persistants (PID) : codes numériques ou alphanumériques uniques et permanents, lisibles à la fois par l’homme et par la machine, conçus pour identifier de manière fiable et durable les différentes entités de l’écosystème scientifique.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Adresses URL classiques =&gt; sujettes à l’obsolescence et aux modifications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PID : référence stable dans le temps, assurant ainsi la découverte, la localisation, la traçabilité et la citation normalisée des produits de la recherche tout au long de leur cycle de vie.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PID : besoin fondamental =&gt; celui d’identifier de manière unique et fiable les chercheurs, les publications, les données, les logiciels, les structures de recherche et même les projets, à travers une multiplicité de systèmes d’information hétérogènes.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Permettant interconnexion de ces différents objets numériques : PID élément structurant pour la science ouverte et facilitent la mise en œuvre des principes FAIR.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Une dynamique internationale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Reconnaissance des PID comme instruments structurants de la science ouverte s’inscrit dans une dynamique international</w:t>
      </w:r>
      <w:r>
        <w:rPr>
          <w:rFonts w:ascii="Times New Roman" w:hAnsi="Times New Roman" w:cs="Times New Roman"/>
          <w:sz w:val="24"/>
          <w:szCs w:val="24"/>
        </w:rPr>
        <w:t xml:space="preserve">e. Ces systèmes permettent d’économiser des milliers de jours de travail administratif pour les chercheurs. Des pays ont mis en place des politiques ou feuilles de route nationales pour améliorer la qualité et l’efficacité de leur recherche grâce aux PID.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Adoption massive de PID permet la réduction du temps consacré aux tâches administratives répétitives, l’amélioration de la qualité et de la fiabilité des données, et une meilleure visibilité de la recherche.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La stratégie française : articuler les identifiants internationaux et nationaux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Structuration de cet écosystème com</w:t>
      </w:r>
      <w:r>
        <w:rPr>
          <w:rFonts w:ascii="Times New Roman" w:hAnsi="Times New Roman" w:cs="Times New Roman"/>
          <w:sz w:val="24"/>
          <w:szCs w:val="24"/>
        </w:rPr>
        <w:t xml:space="preserve">plexe : préconisation de la stratégie française l’adoption de standards internationaux majeurs, tout en les articulant avec les référentiels nationaux existants. Garantissant à la fois l’interopérabilité et la prise en compte des particularités françaises.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Identifiants internationaux : ORCID et ROR. Ils s’inscrivent avec une stratégie nationale qui articule les identifiants nationaux tels qu’</w:t>
      </w:r>
      <w:r>
        <w:rPr>
          <w:rFonts w:ascii="Times New Roman" w:hAnsi="Times New Roman" w:cs="Times New Roman"/>
          <w:sz w:val="24"/>
          <w:szCs w:val="24"/>
        </w:rPr>
        <w:t xml:space="preserve">IdRef</w:t>
      </w:r>
      <w:r>
        <w:rPr>
          <w:rFonts w:ascii="Times New Roman" w:hAnsi="Times New Roman" w:cs="Times New Roman"/>
          <w:sz w:val="24"/>
          <w:szCs w:val="24"/>
        </w:rPr>
        <w:t xml:space="preserve"> et ces identifiants internationaux, en permettant d</w:t>
      </w:r>
      <w:r>
        <w:rPr>
          <w:rFonts w:ascii="Times New Roman" w:hAnsi="Times New Roman" w:cs="Times New Roman"/>
          <w:sz w:val="24"/>
          <w:szCs w:val="24"/>
        </w:rPr>
        <w:t xml:space="preserve">e bénéficier de la force et de la visibilité de l’identifiant international qui, aligné avec l’identifiant national, permet d’assurer une maîtrise de la qualité des données dans la durée grâce à des outils maîtrisés par les opérateurs et acteurs nationaux.</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Les principaux identifiants recommandés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Identifiant ROR s’impose progressivement comme la référence mondiale pour normaliser l’identification des organisations de recherche. </w:t>
      </w:r>
      <w:r>
        <w:rPr>
          <w:rFonts w:ascii="Times New Roman" w:hAnsi="Times New Roman" w:cs="Times New Roman"/>
          <w:sz w:val="24"/>
          <w:szCs w:val="24"/>
        </w:rPr>
        <w:t xml:space="preserve">Ce registre international, ouvert et interopérable, permet de lever les ambiguïtés liées aux multiples dénominations et aux évolutions structurelles des établissements. </w:t>
      </w:r>
      <w:r>
        <w:rPr>
          <w:rFonts w:ascii="Times New Roman" w:hAnsi="Times New Roman" w:cs="Times New Roman"/>
          <w:sz w:val="24"/>
          <w:szCs w:val="24"/>
        </w:rPr>
        <w:t xml:space="preserve">RNeSt</w:t>
      </w:r>
      <w:r>
        <w:rPr>
          <w:rFonts w:ascii="Times New Roman" w:hAnsi="Times New Roman" w:cs="Times New Roman"/>
          <w:sz w:val="24"/>
          <w:szCs w:val="24"/>
        </w:rPr>
        <w:t xml:space="preserve"> : appelé à devenir le Registre national de référence des structures de recherche et à constituer la source nationale de confiance pour l’identification des structures de recherche françaises dans le registre du ROR.</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Usage systématique des DOI attribués par </w:t>
      </w:r>
      <w:r>
        <w:rPr>
          <w:rFonts w:ascii="Times New Roman" w:hAnsi="Times New Roman" w:cs="Times New Roman"/>
          <w:sz w:val="24"/>
          <w:szCs w:val="24"/>
        </w:rPr>
        <w:t xml:space="preserve">Crossref</w:t>
      </w:r>
      <w:r>
        <w:rPr>
          <w:rFonts w:ascii="Times New Roman" w:hAnsi="Times New Roman" w:cs="Times New Roman"/>
          <w:sz w:val="24"/>
          <w:szCs w:val="24"/>
        </w:rPr>
        <w:t xml:space="preserve"> est fortement recommandé pour toutes les publications scientifiques. Garantissant la traçabilité pérenne et le suivi précis des citations, facilitant ainsi l’évaluation de l’impact scientifique et la reconnaissance du travail des chercheurs. </w:t>
      </w:r>
      <w:r>
        <w:rPr>
          <w:rFonts w:ascii="Times New Roman" w:hAnsi="Times New Roman" w:cs="Times New Roman"/>
          <w:sz w:val="24"/>
          <w:szCs w:val="24"/>
        </w:rPr>
      </w:r>
    </w:p>
    <w:p>
      <w:pPr>
        <w:pBdr/>
        <w:spacing/>
        <w:ind/>
        <w:jc w:val="both"/>
        <w:rPr>
          <w:rFonts w:ascii="Times New Roman" w:hAnsi="Times New Roman" w:cs="Times New Roman"/>
          <w:sz w:val="24"/>
        </w:rPr>
      </w:pPr>
      <w:r>
        <w:rPr>
          <w:rFonts w:ascii="Times New Roman" w:hAnsi="Times New Roman" w:cs="Times New Roman"/>
          <w:sz w:val="24"/>
        </w:rPr>
        <w:t xml:space="preserve">Ces identifiants visent à inscrire les acteurs et les ressources scientifiques dans l'écosystème ouvert et interopérable de la Recherche : chercheurs et unités de recherche, </w:t>
      </w:r>
      <w:r>
        <w:rPr>
          <w:rFonts w:ascii="Times New Roman" w:hAnsi="Times New Roman" w:cs="Times New Roman"/>
          <w:sz w:val="24"/>
        </w:rPr>
        <w:t xml:space="preserve">publication et données, codes et logiciels, financements sont ainsi identifiés sans ambiguïté et peuvent être référencés dans d'autres outils et systèmes par ces identifiants, facilitant la circulation des informations et par là la production scientifique.</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Une transformation systémique des pratiques :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Question des identifiants dépasse le seul cadre des missions des services documentaires. Le besoin de tracer les financements de la recherche dans les productions scientifique</w:t>
      </w:r>
      <w:r>
        <w:rPr>
          <w:rFonts w:ascii="Times New Roman" w:hAnsi="Times New Roman" w:cs="Times New Roman"/>
          <w:sz w:val="24"/>
        </w:rPr>
        <w:t xml:space="preserve">s, les instruments et plateformes techniques ayant été mobilisés dans le processus de recherche sont autant d’éléments qui participent de la transparence de la production scientifique et dont la traçabilité par des identifiants facilite cette transparence.</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Responsabilité des acteurs métiers d’implémenter les identifiants concernés, mais il con</w:t>
      </w:r>
      <w:r>
        <w:rPr>
          <w:rFonts w:ascii="Times New Roman" w:hAnsi="Times New Roman" w:cs="Times New Roman"/>
          <w:sz w:val="24"/>
        </w:rPr>
        <w:t xml:space="preserve">vient de le faire en s’assurant de la maintenance des référentiels et de la circulation de cette information dans les systèmes d’information de l’établissement afin qu’ils soient connectés avec les identifiants relevant d’autres métiers et responsabilités.</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Adoption des PID = pas uniquement une démarche technique : elle dessine une organisation du travail et des responsabilités à l’échelle d’un établissement.</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Politique nationale et soutien du MESRE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Eviter les ressaisies multiples d’informations en s’appuyant sur un ensemble de données qualifiées, partagées entre les systèmes d’information selon des standards et principes de qualité communs.</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L’adoption des PID ne se limite pas à des standards techniques. Elle vise une véritable transformation systémique des pratiques, en plaçant l’interopérabilité, la transparence et l’efficacité au cœur de l’écosystème de recherche.</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RNeST</w:t>
      </w:r>
      <w:r>
        <w:rPr>
          <w:rFonts w:ascii="Times New Roman" w:hAnsi="Times New Roman" w:cs="Times New Roman"/>
          <w:sz w:val="24"/>
        </w:rPr>
        <w:t xml:space="preserve"> : vers un registre national de référence pour les structures de la recherche</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p.8</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Plan : </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Un projet inscrit dans la continuité du RNSR</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Une gouvernance confiée à l’</w:t>
      </w:r>
      <w:r>
        <w:rPr>
          <w:rFonts w:ascii="Times New Roman" w:hAnsi="Times New Roman" w:cs="Times New Roman"/>
          <w:sz w:val="24"/>
        </w:rPr>
        <w:t xml:space="preserve">Abes</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Une dynamique collective</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Vers la rédaction du cahier des charges</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Un levier</w:t>
      </w:r>
      <w:r>
        <w:rPr>
          <w:rFonts w:ascii="Times New Roman" w:hAnsi="Times New Roman" w:cs="Times New Roman"/>
          <w:sz w:val="24"/>
        </w:rPr>
        <w:t xml:space="preserve"> </w:t>
      </w:r>
      <w:r>
        <w:rPr>
          <w:rFonts w:ascii="Times New Roman" w:hAnsi="Times New Roman" w:cs="Times New Roman"/>
          <w:sz w:val="24"/>
        </w:rPr>
        <w:t xml:space="preserve">stratégique pour l’écosystème ESR</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Un projet inscrit dans la continuité du RNSR :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S’inscrit dans la continuité et l’évolution du Répertoire national des structures de recherche (RNSR).</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Le futur registre a vocation à devenir la source nationa</w:t>
      </w:r>
      <w:r>
        <w:rPr>
          <w:rFonts w:ascii="Times New Roman" w:hAnsi="Times New Roman" w:cs="Times New Roman"/>
          <w:sz w:val="24"/>
        </w:rPr>
        <w:t xml:space="preserve">le de référence pour l’identification et la description des structures de la recherche. Il garantira une représentation cohérente et harmonisée au niveau international dans le ROR tout en limitant les redondances et les doubles saisies dans les systèmes d’</w:t>
      </w:r>
      <w:r>
        <w:rPr>
          <w:rFonts w:ascii="Times New Roman" w:hAnsi="Times New Roman" w:cs="Times New Roman"/>
          <w:sz w:val="24"/>
        </w:rPr>
        <w:t xml:space="preserve">information</w:t>
      </w:r>
      <w:r>
        <w:rPr>
          <w:rFonts w:ascii="Times New Roman" w:hAnsi="Times New Roman" w:cs="Times New Roman"/>
          <w:sz w:val="24"/>
        </w:rPr>
        <w:t xml:space="preserve"> des établissements.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Consolidation d’un</w:t>
      </w:r>
      <w:r>
        <w:rPr>
          <w:rFonts w:ascii="Times New Roman" w:hAnsi="Times New Roman" w:cs="Times New Roman"/>
          <w:sz w:val="24"/>
        </w:rPr>
        <w:t xml:space="preserve"> référentiel partagé constitue un levier stratégique permettant d’améliorer la qualité des échanges de données, de fluidifier les processus administratifs et de renforcer la lisibilité des structures de la recherche à l’échelle nationale et internationale.</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Une dynamique collective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Organisation collaborative : garantit la prise en compte des usages concrets et des contraintes métiers, tout en favorisant l’appropriation du futur registre par ses contributeurs et utilisateurs.</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Vers la rédaction du cahier des charges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Le cahier des charges devra traduire concrètement les ambitions portées par </w:t>
      </w:r>
      <w:r>
        <w:rPr>
          <w:rFonts w:ascii="Times New Roman" w:hAnsi="Times New Roman" w:cs="Times New Roman"/>
          <w:sz w:val="24"/>
        </w:rPr>
        <w:t xml:space="preserve">RNeST</w:t>
      </w:r>
      <w:r>
        <w:rPr>
          <w:rFonts w:ascii="Times New Roman" w:hAnsi="Times New Roman" w:cs="Times New Roman"/>
          <w:sz w:val="24"/>
        </w:rPr>
        <w:t xml:space="preserve"> : robustesse du modèle de données, interopérabilité avec les systèmes existants, traçabilité des évolutions, simplicité d’usage pour les établissements, et capacité d’adaptation aux transformations futures de l’organisation de la recherche.</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Utiliser les données ouvertes pour soutenir la science ouverte : retour d’expérience sur le </w:t>
      </w:r>
      <w:r>
        <w:rPr>
          <w:rFonts w:ascii="Times New Roman" w:hAnsi="Times New Roman" w:cs="Times New Roman"/>
          <w:sz w:val="24"/>
        </w:rPr>
        <w:t xml:space="preserve">BiSO</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p.10-13.</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Plan :</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Genèse du projet </w:t>
      </w:r>
      <w:r>
        <w:rPr>
          <w:rFonts w:ascii="Times New Roman" w:hAnsi="Times New Roman" w:cs="Times New Roman"/>
          <w:sz w:val="24"/>
        </w:rPr>
        <w:t xml:space="preserve">BiSO</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Le </w:t>
      </w:r>
      <w:r>
        <w:rPr>
          <w:rFonts w:ascii="Times New Roman" w:hAnsi="Times New Roman" w:cs="Times New Roman"/>
          <w:sz w:val="24"/>
        </w:rPr>
        <w:t xml:space="preserve">BiSO</w:t>
      </w:r>
      <w:r>
        <w:rPr>
          <w:rFonts w:ascii="Times New Roman" w:hAnsi="Times New Roman" w:cs="Times New Roman"/>
          <w:sz w:val="24"/>
        </w:rPr>
        <w:t xml:space="preserve">, c’est quoi ?</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Livrable</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Données de référence</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Valeur ajoutée</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La méthode d’élaboration des rapports </w:t>
      </w:r>
      <w:r>
        <w:rPr>
          <w:rFonts w:ascii="Times New Roman" w:hAnsi="Times New Roman" w:cs="Times New Roman"/>
          <w:sz w:val="24"/>
        </w:rPr>
        <w:t xml:space="preserve">BiSo</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Le processus d’élaboration</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Le </w:t>
      </w:r>
      <w:r>
        <w:rPr>
          <w:rFonts w:ascii="Times New Roman" w:hAnsi="Times New Roman" w:cs="Times New Roman"/>
          <w:sz w:val="24"/>
        </w:rPr>
        <w:t xml:space="preserve">BiSO</w:t>
      </w:r>
      <w:r>
        <w:rPr>
          <w:rFonts w:ascii="Times New Roman" w:hAnsi="Times New Roman" w:cs="Times New Roman"/>
          <w:sz w:val="24"/>
        </w:rPr>
        <w:t xml:space="preserve">, une course de relais</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Un outil de sensibilisation </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Valoriser les dépôts les plus complets</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Sensibiliser aux types d’accès ouvert</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Ouvrir le dialogue pour le pilotage</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Atouts des unités</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Préconisations</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Retours d’expérience après la première édition</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Perspectives</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Nouveaux indicateurs</w:t>
      </w:r>
      <w:r>
        <w:rPr>
          <w:rFonts w:ascii="Times New Roman" w:hAnsi="Times New Roman" w:cs="Times New Roman"/>
          <w:sz w:val="24"/>
        </w:rPr>
      </w:r>
    </w:p>
    <w:p>
      <w:pPr>
        <w:pStyle w:val="680"/>
        <w:numPr>
          <w:ilvl w:val="1"/>
          <w:numId w:val="2"/>
        </w:numPr>
        <w:pBdr/>
        <w:spacing/>
        <w:ind/>
        <w:jc w:val="both"/>
        <w:rPr>
          <w:rFonts w:ascii="Times New Roman" w:hAnsi="Times New Roman" w:cs="Times New Roman"/>
          <w:sz w:val="24"/>
        </w:rPr>
      </w:pPr>
      <w:r>
        <w:rPr>
          <w:rFonts w:ascii="Times New Roman" w:hAnsi="Times New Roman" w:cs="Times New Roman"/>
          <w:sz w:val="24"/>
        </w:rPr>
        <w:t xml:space="preserve">Elargissement des échanges</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Genèse du projet </w:t>
      </w:r>
      <w:r>
        <w:rPr>
          <w:rFonts w:ascii="Times New Roman" w:hAnsi="Times New Roman" w:cs="Times New Roman"/>
          <w:sz w:val="24"/>
        </w:rPr>
        <w:t xml:space="preserve">BiSO</w:t>
      </w:r>
      <w:r>
        <w:rPr>
          <w:rFonts w:ascii="Times New Roman" w:hAnsi="Times New Roman" w:cs="Times New Roman"/>
          <w:sz w:val="24"/>
        </w:rPr>
        <w:t xml:space="preserve">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Encouragé par la politique Science Ouverte de l’Université, le projet Bilan Science Ouverte s’inscrit dans une motivation multiple :</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Renforcer la culture du dépôt en archives ouverte, et spécifiquement sur HAL, dans toute la communauté</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Valoriser les travau</w:t>
      </w:r>
      <w:r>
        <w:rPr>
          <w:rFonts w:ascii="Times New Roman" w:hAnsi="Times New Roman" w:cs="Times New Roman"/>
          <w:sz w:val="24"/>
        </w:rPr>
        <w:t xml:space="preserve">x partagés en garantissant des métadonnées riches, suivies et harmonisées</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Consolider le lien entre référents et laboratoires</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Le </w:t>
      </w:r>
      <w:r>
        <w:rPr>
          <w:rFonts w:ascii="Times New Roman" w:hAnsi="Times New Roman" w:cs="Times New Roman"/>
          <w:sz w:val="24"/>
        </w:rPr>
        <w:t xml:space="preserve">BiSO</w:t>
      </w:r>
      <w:r>
        <w:rPr>
          <w:rFonts w:ascii="Times New Roman" w:hAnsi="Times New Roman" w:cs="Times New Roman"/>
          <w:sz w:val="24"/>
        </w:rPr>
        <w:t xml:space="preserve">, c’est quoi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Données de référence :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Le choix d’utiliser comme base de référence HAL, et spécifiquement l’entrée par collections, poursuit plusieurs objectifs :</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Valoriser toute la richesse des productions de recherche des unités, sans se limiter aux publications traditionnelles</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Faciliter le suivi annuel des productions dans HAL, en vue de gagner du temps lors des phases d’évaluation quinquennales</w:t>
      </w:r>
      <w:r>
        <w:rPr>
          <w:rFonts w:ascii="Times New Roman" w:hAnsi="Times New Roman" w:cs="Times New Roman"/>
          <w:sz w:val="24"/>
        </w:rPr>
      </w:r>
    </w:p>
    <w:p>
      <w:pPr>
        <w:pStyle w:val="680"/>
        <w:numPr>
          <w:ilvl w:val="0"/>
          <w:numId w:val="2"/>
        </w:numPr>
        <w:pBdr/>
        <w:spacing/>
        <w:ind/>
        <w:jc w:val="both"/>
        <w:rPr>
          <w:rFonts w:ascii="Times New Roman" w:hAnsi="Times New Roman" w:cs="Times New Roman"/>
          <w:sz w:val="24"/>
        </w:rPr>
      </w:pPr>
      <w:r>
        <w:rPr>
          <w:rFonts w:ascii="Times New Roman" w:hAnsi="Times New Roman" w:cs="Times New Roman"/>
          <w:sz w:val="24"/>
        </w:rPr>
        <w:t xml:space="preserve">Améliorer la culture du dépôt en archive ouverte dans toute la communauté en valorisant les publications dont les métadonnées sont suffisamment riches.</w:t>
      </w:r>
      <w:r>
        <w:rPr>
          <w:rFonts w:ascii="Times New Roman" w:hAnsi="Times New Roman" w:cs="Times New Roman"/>
          <w:sz w:val="24"/>
        </w:rPr>
      </w:r>
    </w:p>
    <w:p>
      <w:pPr>
        <w:pBdr/>
        <w:spacing/>
        <w:ind/>
        <w:jc w:val="both"/>
        <w:rPr>
          <w:rFonts w:ascii="Times New Roman" w:hAnsi="Times New Roman" w:cs="Times New Roman"/>
          <w:sz w:val="24"/>
        </w:rPr>
      </w:pPr>
      <w:r/>
      <w:hyperlink r:id="rId10" w:tooltip="https://publications-prairial.fr/arabesques/index.php?id=4482#tocfrom1n3" w:anchor="tocfrom1n3" w:history="1">
        <w:r>
          <w:rPr>
            <w:rStyle w:val="684"/>
            <w:rFonts w:ascii="Times New Roman" w:hAnsi="Times New Roman" w:cs="Times New Roman"/>
            <w:color w:val="auto"/>
            <w:sz w:val="24"/>
            <w:u w:val="none"/>
          </w:rPr>
          <w:t xml:space="preserve">La méthode d’élaboration des rapports </w:t>
        </w:r>
        <w:r>
          <w:rPr>
            <w:rStyle w:val="684"/>
            <w:rFonts w:ascii="Times New Roman" w:hAnsi="Times New Roman" w:cs="Times New Roman"/>
            <w:color w:val="auto"/>
            <w:sz w:val="24"/>
            <w:u w:val="none"/>
          </w:rPr>
          <w:t xml:space="preserve">BiSO</w:t>
        </w:r>
      </w:hyperlink>
      <w:r/>
      <w:r>
        <w:rPr>
          <w:rFonts w:ascii="Times New Roman" w:hAnsi="Times New Roman" w:cs="Times New Roman"/>
          <w:sz w:val="24"/>
        </w:rPr>
      </w:r>
    </w:p>
    <w:p>
      <w:pPr>
        <w:pBdr/>
        <w:spacing/>
        <w:ind/>
        <w:jc w:val="both"/>
        <w:rPr>
          <w:rFonts w:ascii="Times New Roman" w:hAnsi="Times New Roman" w:cs="Times New Roman"/>
          <w:sz w:val="24"/>
        </w:rPr>
      </w:pPr>
      <w:r/>
      <w:hyperlink r:id="rId11" w:tooltip="https://publications-prairial.fr/arabesques/index.php?id=4482#tocfrom2n4" w:anchor="tocfrom2n4" w:history="1">
        <w:r>
          <w:rPr>
            <w:rStyle w:val="684"/>
            <w:rFonts w:ascii="Times New Roman" w:hAnsi="Times New Roman" w:cs="Times New Roman"/>
            <w:color w:val="auto"/>
            <w:sz w:val="24"/>
            <w:u w:val="none"/>
          </w:rPr>
          <w:t xml:space="preserve">Le processus d’élaboration</w:t>
        </w:r>
      </w:hyperlink>
      <w:r/>
      <w:r>
        <w:rPr>
          <w:rFonts w:ascii="Times New Roman" w:hAnsi="Times New Roman" w:cs="Times New Roman"/>
          <w:sz w:val="24"/>
        </w:rPr>
      </w:r>
    </w:p>
    <w:p>
      <w:pPr>
        <w:pBdr/>
        <w:spacing/>
        <w:ind/>
        <w:jc w:val="both"/>
        <w:rPr>
          <w:rFonts w:ascii="Times New Roman" w:hAnsi="Times New Roman" w:cs="Times New Roman"/>
          <w:sz w:val="24"/>
        </w:rPr>
      </w:pPr>
      <w:r>
        <w:rPr>
          <w:rStyle w:val="686"/>
          <w:rFonts w:ascii="Times New Roman" w:hAnsi="Times New Roman" w:cs="Times New Roman"/>
          <w:b w:val="0"/>
          <w:sz w:val="24"/>
        </w:rPr>
        <w:t xml:space="preserve">Au-delà de la production automatisée des rapports, les données produites et visualisées dans le </w:t>
      </w:r>
      <w:r>
        <w:rPr>
          <w:rStyle w:val="686"/>
          <w:rFonts w:ascii="Times New Roman" w:hAnsi="Times New Roman" w:cs="Times New Roman"/>
          <w:b w:val="0"/>
          <w:sz w:val="24"/>
        </w:rPr>
        <w:t xml:space="preserve">BiSO</w:t>
      </w:r>
      <w:r>
        <w:rPr>
          <w:rStyle w:val="686"/>
          <w:rFonts w:ascii="Times New Roman" w:hAnsi="Times New Roman" w:cs="Times New Roman"/>
          <w:b w:val="0"/>
          <w:sz w:val="24"/>
        </w:rPr>
        <w:t xml:space="preserve"> sont élaborées de manière collaborative, avec la participation active des chercheurs.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Atouts des unités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t xml:space="preserve">L’objectif est de valoriser toutes les actions qui font progresser la Science Ouverte : par exemple,</w:t>
      </w:r>
      <w:r>
        <w:rPr>
          <w:rFonts w:ascii="Times New Roman" w:hAnsi="Times New Roman" w:cs="Times New Roman"/>
          <w:sz w:val="24"/>
        </w:rPr>
        <w:t xml:space="preserve"> l’intervention d’un chercheur expert en archivage de jeux de donnée au sein du laboratoire, l’organisation d’une dépôt-party dans HAL par un correspondant investi, ou encore l’application de la stratégie de non-cession des droits par certains chercheurs. </w:t>
      </w:r>
      <w:r>
        <w:rPr>
          <w:rFonts w:ascii="Times New Roman" w:hAnsi="Times New Roman" w:cs="Times New Roman"/>
          <w:sz w:val="24"/>
        </w:rPr>
      </w:r>
    </w:p>
    <w:p>
      <w:pPr>
        <w:pBdr/>
        <w:spacing/>
        <w:ind/>
        <w:jc w:val="both"/>
        <w:rPr>
          <w:rFonts w:ascii="Times New Roman" w:hAnsi="Times New Roman" w:cs="Times New Roman"/>
          <w:sz w:val="24"/>
        </w:rPr>
      </w:pPr>
      <w:r>
        <w:rPr>
          <w:rFonts w:ascii="Times New Roman" w:hAnsi="Times New Roman" w:cs="Times New Roman"/>
          <w:sz w:val="24"/>
        </w:rPr>
      </w:r>
      <w:r>
        <w:rPr>
          <w:rFonts w:ascii="Times New Roman" w:hAnsi="Times New Roman" w:cs="Times New Roman"/>
          <w:sz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Préserver et réutiliser les données de la recherche : regards croisés d’ingénieurs données et d’experts en numérisation à Sciences Po.</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Plan :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Rendre accessibles les données de la recherche</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L’apport du CDSP : valoriser, diffuser et préserver les données socio-politiques</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L’apport de la DRIS : numériser, préserver et rendre exploitables les archives de la recherche</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Rendre les données réutilisables, un effort collectif</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p.16-18.</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Question</w:t>
      </w:r>
      <w:r>
        <w:rPr>
          <w:rFonts w:ascii="Times New Roman" w:hAnsi="Times New Roman" w:cs="Times New Roman"/>
          <w:sz w:val="24"/>
          <w:szCs w:val="24"/>
        </w:rPr>
        <w:t xml:space="preserve"> : comment garantir une réutilisation efficace et pérenne des données de la recherche ? un éclairage concret sur l’importance des standards de métadonnées et de la numérisation des matériaux de recherche.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OCDE : Organisation de coopération et de développement économiques.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OCDE définit les données de la recherche comme des « enregistrements factuels (ch</w:t>
      </w:r>
      <w:r>
        <w:rPr>
          <w:rFonts w:ascii="Times New Roman" w:hAnsi="Times New Roman" w:cs="Times New Roman"/>
          <w:sz w:val="24"/>
          <w:szCs w:val="24"/>
        </w:rPr>
        <w:t xml:space="preserve">iffres, textes, images et sons).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Cela constitue des sources principales pour la recherche scientifique et sont généralement reconnus par la communauté scientifique comme nécessaires pour valider des résultats de recherche.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Enjeu central pour les sciences humaines et sociales : la réutilisation des données de la recherche. Transformations des pratiques scientifiques, favorise la collaboration interdisciplinaire et ouvre la voie à de nouvelles formes de </w:t>
      </w:r>
      <w:r>
        <w:rPr>
          <w:rFonts w:ascii="Times New Roman" w:hAnsi="Times New Roman" w:cs="Times New Roman"/>
          <w:sz w:val="24"/>
          <w:szCs w:val="24"/>
        </w:rPr>
        <w:t xml:space="preserve">cumu</w:t>
      </w:r>
      <w:r>
        <w:rPr>
          <w:rFonts w:ascii="Times New Roman" w:hAnsi="Times New Roman" w:cs="Times New Roman"/>
          <w:sz w:val="24"/>
          <w:szCs w:val="24"/>
        </w:rPr>
        <w:t xml:space="preserve">lativité</w:t>
      </w:r>
      <w:r>
        <w:rPr>
          <w:rFonts w:ascii="Times New Roman" w:hAnsi="Times New Roman" w:cs="Times New Roman"/>
          <w:sz w:val="24"/>
          <w:szCs w:val="24"/>
        </w:rPr>
        <w:t xml:space="preserve"> des savoirs.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Exemple de Science Po : cette dynamique s’appuie sur deux piliers complémentaires : la documentation, diffusion et </w:t>
      </w:r>
      <w:r>
        <w:rPr>
          <w:rFonts w:ascii="Times New Roman" w:hAnsi="Times New Roman" w:cs="Times New Roman"/>
          <w:sz w:val="24"/>
          <w:szCs w:val="24"/>
        </w:rPr>
        <w:t xml:space="preserve">préservation des données issues de méthodes quantitatives et qualitatives au sein du Centre de données socio-politiques (CDSP), et la numérisation des archives de la recherche portée par la Direction des ressources et de l’information scientifique (DRIS).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Ensemble, ces expertises contribuent à rendre les données plus accessibles, interopérables et réutilisables, conformément aux principes FAIR, tout en respectant des standards internationaux de valorisation des données de la recherche, comme </w:t>
      </w:r>
      <w:r>
        <w:rPr>
          <w:rFonts w:ascii="Times New Roman" w:hAnsi="Times New Roman" w:cs="Times New Roman"/>
          <w:i/>
          <w:sz w:val="24"/>
          <w:szCs w:val="24"/>
        </w:rPr>
        <w:t xml:space="preserve">Data Documentation Initiative</w:t>
      </w:r>
      <w:r>
        <w:rPr>
          <w:rFonts w:ascii="Times New Roman" w:hAnsi="Times New Roman" w:cs="Times New Roman"/>
          <w:sz w:val="24"/>
          <w:szCs w:val="24"/>
        </w:rPr>
        <w:t xml:space="preserve"> (DDI).</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Rendre accessibles et réutilisables les données de la recherche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Réutiliser des données : permettre à des chercheurs, enseignants ou étudiants d’exploiter des matériaux produits dans un autre contexte scientifique, pour répondre à de nouvelles questions, vérifier des résultats ou enrichir des corpus existants.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Pratique = supposition que les données soient disponibles, compréhensibles, bien documentées et techniquement exploitables.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Données en SHS : hétérogènes en termes de méthodes et de supports disponibles =&gt; enquêtes quantitatives, entretiens, archives, corpus numérisés, la réutilisation exige un travail méthodologique et technique conséquent.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Les principes FAIR constituent aujourd’hui le cadre de référence international :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Une description riche et normalisée des données en respectant des standards comme DDI</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L’usage de formats ouverts et pérennes pour les données et les métadonnées</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Une structuration permettant l’interopérabilité entre plateformes et surtout la mise en place de plateformes de confiance</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Une documentation complète sur les méthodes de collecte, de traitement et de contextualisation.</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Exemples : Sciences Po. Type de travail conjoint est la collaboration entre ingénieurs en data management, qui sont également responsables d’entrepôts de données et experts de la numérisation qui gèrent des plateformes de numérisation et de diffusion.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Objectif : garantir que les données puissent circuler entre disciplines, infrastructures et communautés scientifiques.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Pratique : harmonisation des métadonnées d’une enquête électorale de 1988 avec celles d’un panel contemporain, ou encore aligner les formats de numérisation de carnets de terrain provenant de laboratoires différents.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L’apport du CDSP : valoriser, diffuser et préserver les données socio-politiques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CDSP : rôle clé dan</w:t>
      </w:r>
      <w:r>
        <w:rPr>
          <w:rFonts w:ascii="Times New Roman" w:hAnsi="Times New Roman" w:cs="Times New Roman"/>
          <w:sz w:val="24"/>
          <w:szCs w:val="24"/>
        </w:rPr>
        <w:t xml:space="preserve">s la mise en œuvre de ces standards. Il documente et diffuse des données de la recherche depuis 2005 dans le respect des standards internationaux comme le DDI, mène des projets de recherche sur la thématique de la réutilisation des données comme le projet </w:t>
      </w:r>
      <w:r>
        <w:rPr>
          <w:rFonts w:ascii="Times New Roman" w:hAnsi="Times New Roman" w:cs="Times New Roman"/>
          <w:sz w:val="24"/>
          <w:szCs w:val="24"/>
        </w:rPr>
        <w:t xml:space="preserve">FAIRwDDI</w:t>
      </w:r>
      <w:r>
        <w:rPr>
          <w:rFonts w:ascii="Times New Roman" w:hAnsi="Times New Roman" w:cs="Times New Roman"/>
          <w:sz w:val="24"/>
          <w:szCs w:val="24"/>
        </w:rPr>
        <w:t xml:space="preserve">, financé par l’ANR.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Les réutilisations montrent que la valeur d’un jeu de données dépasse largement son objectif initial : une enquête </w:t>
      </w:r>
      <w:r>
        <w:rPr>
          <w:rFonts w:ascii="Times New Roman" w:hAnsi="Times New Roman" w:cs="Times New Roman"/>
          <w:sz w:val="24"/>
          <w:szCs w:val="24"/>
        </w:rPr>
        <w:t xml:space="preserve">ou jeu de données peut servir à analyser la thématique de recherche initialement conçue par ses auteurs, mais elle peut avoir d’autres usages de réutilisation pour la recherche ou l’enseignement, dès lors qu’elle est correctement documentée et accessible.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CDSP renforce sa politique de diffusion des données en formant et en accompagnant la communauté à la mise en œuvre de pratiques de valorisation des données conformes aux principes FAIR, pour favoriser la réutilisation des données.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CDSP : structurer et professionnaliser la gestion des données, en mettant l’accent sur l’importance des métadonnées structurées type DDI, encore méconnues dans le paysage français.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L’apport de la DRIS : numériser, préserver et rendre exploitables les archives de la recherche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La DRIS collecte, signale, diffuse et conserve les ressources et matériaux pour l’enseignement et la recherche.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Cadre préservation des données : intervient au niveau de la numérisation et le traitement post-capture.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Réutilisation : pas uniquement les données structurées, elle dépend aussi de la disponibilité des archives de la recherche, souvent dispersées, fragiles ou difficilement exploitables.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NumaHOP</w:t>
      </w:r>
      <w:r>
        <w:rPr>
          <w:rFonts w:ascii="Times New Roman" w:hAnsi="Times New Roman" w:cs="Times New Roman"/>
          <w:sz w:val="24"/>
          <w:szCs w:val="24"/>
        </w:rPr>
        <w:t xml:space="preserve"> : plateforme de pilotage des chaînes de numérisation utilisée pour assurer la traçabilité, la qualité et la cohérence des traitements appliqués aux archives de la recherche. </w:t>
      </w:r>
      <w:r>
        <w:rPr>
          <w:rFonts w:ascii="Times New Roman" w:hAnsi="Times New Roman" w:cs="Times New Roman"/>
          <w:sz w:val="24"/>
          <w:szCs w:val="24"/>
        </w:rPr>
        <w:t xml:space="preserve">Grâce à cette plateforme, chaque étape du processus de numérisation est documentée, ce qui garantit la reproductibilité des opérations et facilite l’intégration des fichiers dans des infrastructures de diffusion ou d’archivage pérenne.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Traçabilité = essentielle pour assurer la confiance dans les données numérisées et permettre leur réutilisation dans des contextes scientifiques variés.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Rendre les données réutilisables, un effort collectif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Diffusion des données ne dépend pas uniquement de leur numérisation ou de leur structuration selon des standards. Respect d’autres exigences :</w:t>
      </w:r>
      <w:r>
        <w:rPr>
          <w:rFonts w:ascii="Times New Roman" w:hAnsi="Times New Roman" w:cs="Times New Roman"/>
          <w:sz w:val="24"/>
          <w:szCs w:val="24"/>
        </w:rPr>
        <w:t xml:space="preserve"> </w:t>
      </w:r>
      <w:r>
        <w:rPr>
          <w:rFonts w:ascii="Times New Roman" w:hAnsi="Times New Roman" w:cs="Times New Roman"/>
          <w:sz w:val="24"/>
          <w:szCs w:val="24"/>
        </w:rPr>
        <w:t xml:space="preserve">anonymisation, gestion des droits, </w:t>
      </w:r>
      <w:r>
        <w:rPr>
          <w:rFonts w:ascii="Times New Roman" w:hAnsi="Times New Roman" w:cs="Times New Roman"/>
          <w:sz w:val="24"/>
          <w:szCs w:val="24"/>
        </w:rPr>
        <w:t xml:space="preserve">consentement</w:t>
      </w:r>
      <w:r>
        <w:rPr>
          <w:rFonts w:ascii="Times New Roman" w:hAnsi="Times New Roman" w:cs="Times New Roman"/>
          <w:sz w:val="24"/>
          <w:szCs w:val="24"/>
        </w:rPr>
        <w:t xml:space="preserve">, protection des </w:t>
      </w:r>
      <w:r>
        <w:rPr>
          <w:rFonts w:ascii="Times New Roman" w:hAnsi="Times New Roman" w:cs="Times New Roman"/>
          <w:sz w:val="24"/>
          <w:szCs w:val="24"/>
        </w:rPr>
        <w:t xml:space="preserve">données sensibles, qui condition la mise à disposition d’un jeu de données ou corpus.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Expérience de Sciences Po montre que la réutilisation des données est un processus collectif, mobilisant ingénieurs en data management, experts en numérisation, bibliothécaires et chercheurs.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Projet Orion : vers un changement de système de gestion de la galaxie </w:t>
      </w:r>
      <w:r>
        <w:rPr>
          <w:rFonts w:ascii="Times New Roman" w:hAnsi="Times New Roman" w:cs="Times New Roman"/>
          <w:sz w:val="24"/>
          <w:szCs w:val="24"/>
        </w:rPr>
        <w:t xml:space="preserve">Sudoc</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p.23</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Plan :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Une modernisation indispensable pour accompagner les mutations de l’ESR</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Un projet collectif pour transformer durablement les pratiques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Une modernisation indispensable pour accompagner les mutations de l’ESR</w:t>
      </w:r>
      <w:r>
        <w:rPr>
          <w:rFonts w:ascii="Times New Roman" w:hAnsi="Times New Roman" w:cs="Times New Roman"/>
          <w:sz w:val="24"/>
          <w:szCs w:val="24"/>
        </w:rPr>
        <w:t xml:space="preserve"> :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Projet Orion : ambition de proposer de nouveaux services aux bibliothécaires et utilisateurs finaux (étudiants, enseignants-</w:t>
      </w:r>
      <w:r>
        <w:rPr>
          <w:rFonts w:ascii="Times New Roman" w:hAnsi="Times New Roman" w:cs="Times New Roman"/>
          <w:sz w:val="24"/>
          <w:szCs w:val="24"/>
        </w:rPr>
        <w:t xml:space="preserve">checheurs</w:t>
      </w:r>
      <w:r>
        <w:rPr>
          <w:rFonts w:ascii="Times New Roman" w:hAnsi="Times New Roman" w:cs="Times New Roman"/>
          <w:sz w:val="24"/>
          <w:szCs w:val="24"/>
        </w:rPr>
        <w:t xml:space="preserve">, public large intéressé par la documentation de niveau académique), rendre possibles des synergies nouvelles au sein des communautés de l’ESR, en sortant les données des silos actuels.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Nécessité du changement : liée aux limites techniques de l’outillage actuel : la constitution d’une b</w:t>
      </w:r>
      <w:r>
        <w:rPr>
          <w:rFonts w:ascii="Times New Roman" w:hAnsi="Times New Roman" w:cs="Times New Roman"/>
          <w:sz w:val="24"/>
          <w:szCs w:val="24"/>
        </w:rPr>
        <w:t xml:space="preserve">ase de métadonnées riche, fiable et ouverte pour répondre aux besoins de l’ESR passe nécessairement par des flux de traitement automatisés, des protocoles standards d’exposition des données ouvertes, incluant une gamme d’API correspondant à l’état de l’art</w:t>
      </w:r>
      <w:r>
        <w:rPr>
          <w:rFonts w:ascii="Times New Roman" w:hAnsi="Times New Roman" w:cs="Times New Roman"/>
          <w:sz w:val="24"/>
          <w:szCs w:val="24"/>
        </w:rPr>
        <w:t xml:space="preserve"> des technologies actuelles.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Changement d’outils de l’</w:t>
      </w:r>
      <w:r>
        <w:rPr>
          <w:rFonts w:ascii="Times New Roman" w:hAnsi="Times New Roman" w:cs="Times New Roman"/>
          <w:sz w:val="24"/>
          <w:szCs w:val="24"/>
        </w:rPr>
        <w:t xml:space="preserve">Abes</w:t>
      </w:r>
      <w:r>
        <w:rPr>
          <w:rFonts w:ascii="Times New Roman" w:hAnsi="Times New Roman" w:cs="Times New Roman"/>
          <w:sz w:val="24"/>
          <w:szCs w:val="24"/>
        </w:rPr>
        <w:t xml:space="preserve"> réponses à plusieurs défis : s’adapter au tournant numérique dans la documentation universitaire – il faudra désormais proposer des circuits plus fluides de valorisation des ressources, quel qu’en soit le support (impri</w:t>
      </w:r>
      <w:r>
        <w:rPr>
          <w:rFonts w:ascii="Times New Roman" w:hAnsi="Times New Roman" w:cs="Times New Roman"/>
          <w:sz w:val="24"/>
          <w:szCs w:val="24"/>
        </w:rPr>
        <w:t xml:space="preserve">mé ou électronique), dans un monde où la notion de collection = de – en – figée. S’adapter à l’évolution des formats et modèles de données et rendre les collections des bibliothèques plus lisibles pour les parcours des utilisateurs, première promesse des m</w:t>
      </w:r>
      <w:r>
        <w:rPr>
          <w:rFonts w:ascii="Times New Roman" w:hAnsi="Times New Roman" w:cs="Times New Roman"/>
          <w:sz w:val="24"/>
          <w:szCs w:val="24"/>
        </w:rPr>
        <w:t xml:space="preserve">odèles entités-relations. Apporter sa pierre à la circulation des données dans les environnements de l’ESR, quels qu’en soit les contextes d’utilisation (bibliothèques, directions de la recherche, services d’ingénierie pédagogique, missions de pilotage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Simplification des circuits de fourniture des documents à distance, à travers d’outils modernes dont l’essor se confirme depuis plusieurs années.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Un projet collectif pour transformer durablement le pratiques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Opportunité de renforcer la mutualisation d’activités jusqu’à présent prises en charge le plus souvent au niveau de l’établissement, comme pour la valori</w:t>
      </w:r>
      <w:r>
        <w:rPr>
          <w:rFonts w:ascii="Times New Roman" w:hAnsi="Times New Roman" w:cs="Times New Roman"/>
          <w:sz w:val="24"/>
          <w:szCs w:val="24"/>
        </w:rPr>
        <w:t xml:space="preserve">sation des ressources électroniques ou la fourniture des documents, ne viendra pas mettre à mal la variété des pratiques d’outillages locaux, grâce à l’ouverture du système central et à l’autonomie accrue qui est visée pour les établissements participants.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Pour faciliter la conduite du changement au sein du réseau : </w:t>
      </w:r>
      <w:r>
        <w:rPr>
          <w:rFonts w:ascii="Times New Roman" w:hAnsi="Times New Roman" w:cs="Times New Roman"/>
          <w:sz w:val="24"/>
          <w:szCs w:val="24"/>
        </w:rPr>
        <w:t xml:space="preserve">Abes</w:t>
      </w:r>
      <w:r>
        <w:rPr>
          <w:rFonts w:ascii="Times New Roman" w:hAnsi="Times New Roman" w:cs="Times New Roman"/>
          <w:sz w:val="24"/>
          <w:szCs w:val="24"/>
        </w:rPr>
        <w:t xml:space="preserve"> a imaginé un nouveau rôle d’interlocuteur du projet dans les établissements, pendant ces deux années charnières (de mi-2026 à mi-2028). Rôle : piloter la communication interne au sein de son établissement sur le projet et à échanger constamment avec l’</w:t>
      </w:r>
      <w:r>
        <w:rPr>
          <w:rFonts w:ascii="Times New Roman" w:hAnsi="Times New Roman" w:cs="Times New Roman"/>
          <w:sz w:val="24"/>
          <w:szCs w:val="24"/>
        </w:rPr>
        <w:t xml:space="preserve">Abes</w:t>
      </w:r>
      <w:r>
        <w:rPr>
          <w:rFonts w:ascii="Times New Roman" w:hAnsi="Times New Roman" w:cs="Times New Roman"/>
          <w:sz w:val="24"/>
          <w:szCs w:val="24"/>
        </w:rPr>
        <w:t xml:space="preserve">,</w:t>
      </w:r>
      <w:r>
        <w:rPr>
          <w:rFonts w:ascii="Times New Roman" w:hAnsi="Times New Roman" w:cs="Times New Roman"/>
          <w:sz w:val="24"/>
          <w:szCs w:val="24"/>
        </w:rPr>
        <w:t xml:space="preserve"> tout en éclairant les équipes de direction quant aux changements impactant les circuits de travail et en coordonnant les échanges avec les interlocuteurs techniques des structures documentaires (DSI, prestataires de solutions d’informatique documentaire).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Data &amp; Corpus, intégrer les métiers de la donnée au cœur de l’édition scientifique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p.26</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plan</w:t>
      </w:r>
      <w:r>
        <w:rPr>
          <w:rFonts w:ascii="Times New Roman" w:hAnsi="Times New Roman" w:cs="Times New Roman"/>
          <w:sz w:val="24"/>
          <w:szCs w:val="24"/>
        </w:rPr>
        <w:t xml:space="preserve"> :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Le projet</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Le constat : un vide éditorial en SHS</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La méthode : un processus éditorial inversé</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Gouvernance et infrastructure</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Exemple de réalisation concrète : la diversité à l’œuvre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Bilan et perspectives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Projet : lancer une revue nativement numérique, en accès ouvert diamant, dédiée exclusivement aux </w:t>
      </w:r>
      <w:r>
        <w:rPr>
          <w:rFonts w:ascii="Times New Roman" w:hAnsi="Times New Roman" w:cs="Times New Roman"/>
          <w:i/>
          <w:sz w:val="24"/>
          <w:szCs w:val="24"/>
        </w:rPr>
        <w:t xml:space="preserve">data </w:t>
      </w:r>
      <w:r>
        <w:rPr>
          <w:rFonts w:ascii="Times New Roman" w:hAnsi="Times New Roman" w:cs="Times New Roman"/>
          <w:i/>
          <w:sz w:val="24"/>
          <w:szCs w:val="24"/>
        </w:rPr>
        <w:t xml:space="preserve">papers</w:t>
      </w:r>
      <w:r>
        <w:rPr>
          <w:rFonts w:ascii="Times New Roman" w:hAnsi="Times New Roman" w:cs="Times New Roman"/>
          <w:sz w:val="24"/>
          <w:szCs w:val="24"/>
        </w:rPr>
        <w:t xml:space="preserve"> en SHS. Vise à combler le « chaînon manquant » éditorial en transformant la donnée brute en une contribution scientifique </w:t>
      </w:r>
      <w:r>
        <w:rPr>
          <w:rFonts w:ascii="Times New Roman" w:hAnsi="Times New Roman" w:cs="Times New Roman"/>
          <w:sz w:val="24"/>
          <w:szCs w:val="24"/>
        </w:rPr>
        <w:t xml:space="preserve">citable</w:t>
      </w:r>
      <w:r>
        <w:rPr>
          <w:rFonts w:ascii="Times New Roman" w:hAnsi="Times New Roman" w:cs="Times New Roman"/>
          <w:sz w:val="24"/>
          <w:szCs w:val="24"/>
        </w:rPr>
        <w:t xml:space="preserve"> et validée.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La méthode : un processus éditorial inversé</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Revue Data &amp; Corpus inverse la logique traditionnelle : le processus ne débute pas par l’écriture d’un article, mais par le traitement de la donnée.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Dispositif : garantissant l’accès et la réutilisation à travers trois étapes clés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Dépôt et structuration : l’entrée par un entrepôt de confiance (</w:t>
      </w:r>
      <w:r>
        <w:rPr>
          <w:rFonts w:ascii="Times New Roman" w:hAnsi="Times New Roman" w:cs="Times New Roman"/>
          <w:sz w:val="24"/>
          <w:szCs w:val="24"/>
        </w:rPr>
        <w:t xml:space="preserve">Nakala</w:t>
      </w:r>
      <w:r>
        <w:rPr>
          <w:rFonts w:ascii="Times New Roman" w:hAnsi="Times New Roman" w:cs="Times New Roman"/>
          <w:sz w:val="24"/>
          <w:szCs w:val="24"/>
        </w:rPr>
        <w:t xml:space="preserve">, </w:t>
      </w:r>
      <w:r>
        <w:rPr>
          <w:rFonts w:ascii="Times New Roman" w:hAnsi="Times New Roman" w:cs="Times New Roman"/>
          <w:sz w:val="24"/>
          <w:szCs w:val="24"/>
        </w:rPr>
        <w:t xml:space="preserve">Ortolang</w:t>
      </w:r>
      <w:r>
        <w:rPr>
          <w:rFonts w:ascii="Times New Roman" w:hAnsi="Times New Roman" w:cs="Times New Roman"/>
          <w:sz w:val="24"/>
          <w:szCs w:val="24"/>
        </w:rPr>
        <w:t xml:space="preserve">, Recherche Data Gouv, etc.) : un prérequis absolu. L’article n’héberge pas les données mais pointe vers elles via un identifiant pérenne (DOI). Encouragement de l’utilisation de la taxonomie </w:t>
      </w:r>
      <w:r>
        <w:rPr>
          <w:rFonts w:ascii="Times New Roman" w:hAnsi="Times New Roman" w:cs="Times New Roman"/>
          <w:sz w:val="24"/>
          <w:szCs w:val="24"/>
        </w:rPr>
        <w:t xml:space="preserve">CRediT</w:t>
      </w:r>
      <w:r>
        <w:rPr>
          <w:rFonts w:ascii="Times New Roman" w:hAnsi="Times New Roman" w:cs="Times New Roman"/>
          <w:sz w:val="24"/>
          <w:szCs w:val="24"/>
        </w:rPr>
        <w:t xml:space="preserve"> pour attribuer les rôles, permettant aux ingénieurs ayant aidé à la structuration de </w:t>
      </w:r>
      <w:r>
        <w:rPr>
          <w:rFonts w:ascii="Times New Roman" w:hAnsi="Times New Roman" w:cs="Times New Roman"/>
          <w:sz w:val="24"/>
          <w:szCs w:val="24"/>
        </w:rPr>
        <w:t xml:space="preserve">co-signer</w:t>
      </w:r>
      <w:r>
        <w:rPr>
          <w:rFonts w:ascii="Times New Roman" w:hAnsi="Times New Roman" w:cs="Times New Roman"/>
          <w:sz w:val="24"/>
          <w:szCs w:val="24"/>
        </w:rPr>
        <w:t xml:space="preserve"> l’article et de valoriser ce travail souvent invisible.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Soumission via HAL : avant toute évaluation, l’article doit être déposé en tant que </w:t>
      </w:r>
      <w:r>
        <w:rPr>
          <w:rFonts w:ascii="Times New Roman" w:hAnsi="Times New Roman" w:cs="Times New Roman"/>
          <w:sz w:val="24"/>
          <w:szCs w:val="24"/>
        </w:rPr>
        <w:t xml:space="preserve">préprint</w:t>
      </w:r>
      <w:r>
        <w:rPr>
          <w:rFonts w:ascii="Times New Roman" w:hAnsi="Times New Roman" w:cs="Times New Roman"/>
          <w:sz w:val="24"/>
          <w:szCs w:val="24"/>
        </w:rPr>
        <w:t xml:space="preserve"> sur l’archive ouverte HAL. Contrôle de conformité par le comité avant de lancer l’évaluation.</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L’évaluation croisée (double expertise) : évaluation en 6 mois réunissant un binôme d’experts : un expert scientifique =&gt; valide la cohérence </w:t>
      </w:r>
      <w:r>
        <w:rPr>
          <w:rFonts w:ascii="Times New Roman" w:hAnsi="Times New Roman" w:cs="Times New Roman"/>
          <w:sz w:val="24"/>
          <w:szCs w:val="24"/>
        </w:rPr>
        <w:t xml:space="preserve">disciplinaire et la méthodologie et un professionnel de la donnée (IST) : expertise la structuration, les métadonnées et la qualité technique du dépôt (respect des principes FAIR : Facile à trouver, Accessible, Interopérable, Réutilisable).</w:t>
      </w:r>
      <w:r>
        <w:rPr>
          <w:rFonts w:ascii="Times New Roman" w:hAnsi="Times New Roman" w:cs="Times New Roman"/>
          <w:sz w:val="24"/>
          <w:szCs w:val="24"/>
        </w:rPr>
      </w:r>
    </w:p>
    <w:p>
      <w:pPr>
        <w:pBdr/>
        <w:spacing/>
        <w:ind/>
        <w:jc w:val="center"/>
        <w:rPr>
          <w:rFonts w:ascii="Times New Roman" w:hAnsi="Times New Roman" w:cs="Times New Roman"/>
          <w:sz w:val="24"/>
          <w:szCs w:val="24"/>
        </w:rPr>
      </w:pPr>
      <w:r>
        <w:rPr>
          <w:rFonts w:ascii="Times New Roman" w:hAnsi="Times New Roman" w:cs="Times New Roman"/>
          <w:sz w:val="24"/>
          <w:szCs w:val="24"/>
        </w:rPr>
        <mc:AlternateContent>
          <mc:Choice Requires="wpg">
            <w:drawing>
              <wp:inline xmlns:wp="http://schemas.openxmlformats.org/drawingml/2006/wordprocessingDrawing" distT="0" distB="0" distL="0" distR="0">
                <wp:extent cx="5487166" cy="3362794"/>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2"/>
                        <a:stretch/>
                      </pic:blipFill>
                      <pic:spPr bwMode="auto">
                        <a:xfrm>
                          <a:off x="0" y="0"/>
                          <a:ext cx="5487166" cy="33627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6pt;height:264.79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Gouvernance et Infrastructure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Gouvernance inédite où ingénieurs, documentalistes et chercheurs sont </w:t>
      </w:r>
      <w:r>
        <w:rPr>
          <w:rFonts w:ascii="Times New Roman" w:hAnsi="Times New Roman" w:cs="Times New Roman"/>
          <w:sz w:val="24"/>
          <w:szCs w:val="24"/>
        </w:rPr>
        <w:t xml:space="preserve">co</w:t>
      </w:r>
      <w:r>
        <w:rPr>
          <w:rFonts w:ascii="Times New Roman" w:hAnsi="Times New Roman" w:cs="Times New Roman"/>
          <w:sz w:val="24"/>
          <w:szCs w:val="24"/>
        </w:rPr>
        <w:t xml:space="preserve">-constructeurs au sein du comité éditorial.</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Infrastructure : revue hébergée sur la plateforme </w:t>
      </w:r>
      <w:r>
        <w:rPr>
          <w:rFonts w:ascii="Times New Roman" w:hAnsi="Times New Roman" w:cs="Times New Roman"/>
          <w:sz w:val="24"/>
          <w:szCs w:val="24"/>
        </w:rPr>
        <w:t xml:space="preserve">Episciences</w:t>
      </w:r>
      <w:r>
        <w:rPr>
          <w:rFonts w:ascii="Times New Roman" w:hAnsi="Times New Roman" w:cs="Times New Roman"/>
          <w:sz w:val="24"/>
          <w:szCs w:val="24"/>
        </w:rPr>
        <w:t xml:space="preserve">, permettant une gestion fluide des épi-revues (overlay </w:t>
      </w:r>
      <w:r>
        <w:rPr>
          <w:rFonts w:ascii="Times New Roman" w:hAnsi="Times New Roman" w:cs="Times New Roman"/>
          <w:sz w:val="24"/>
          <w:szCs w:val="24"/>
        </w:rPr>
        <w:t xml:space="preserve">journals</w:t>
      </w:r>
      <w:r>
        <w:rPr>
          <w:rFonts w:ascii="Times New Roman" w:hAnsi="Times New Roman" w:cs="Times New Roman"/>
          <w:sz w:val="24"/>
          <w:szCs w:val="24"/>
        </w:rPr>
        <w:t xml:space="preserve">) qui se greffent sur les archives ouvertes.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Modèle économique =&gt; modèle « diamant » gratuit pour l’auteur et le lecteur.</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Bilan et perspective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La revue dépasse sa fonction éditoriale pour devenir un vecteur d’apprentissage des bonnes pratiques de publication des données. Il repose sur un investissement important en « temps-agent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Défi majeur : politique =&gt; faire admettre aux instances d’évaluation (comme le HCERES) qu’un </w:t>
      </w:r>
      <w:r>
        <w:rPr>
          <w:rFonts w:ascii="Times New Roman" w:hAnsi="Times New Roman" w:cs="Times New Roman"/>
          <w:i/>
          <w:sz w:val="24"/>
          <w:szCs w:val="24"/>
        </w:rPr>
        <w:t xml:space="preserve">data </w:t>
      </w:r>
      <w:r>
        <w:rPr>
          <w:rFonts w:ascii="Times New Roman" w:hAnsi="Times New Roman" w:cs="Times New Roman"/>
          <w:i/>
          <w:sz w:val="24"/>
          <w:szCs w:val="24"/>
        </w:rPr>
        <w:t xml:space="preserve">paper</w:t>
      </w:r>
      <w:r>
        <w:rPr>
          <w:rFonts w:ascii="Times New Roman" w:hAnsi="Times New Roman" w:cs="Times New Roman"/>
          <w:i/>
          <w:sz w:val="24"/>
          <w:szCs w:val="24"/>
        </w:rPr>
        <w:t xml:space="preserve"> </w:t>
      </w:r>
      <w:r>
        <w:rPr>
          <w:rFonts w:ascii="Times New Roman" w:hAnsi="Times New Roman" w:cs="Times New Roman"/>
          <w:sz w:val="24"/>
          <w:szCs w:val="24"/>
        </w:rPr>
        <w:t xml:space="preserve">a autant de valeur qu’un article de recherche classique.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Le congrès 2025 de l’ICOLC – International Coalition of Library Consortia : un accès aux ressources électroniques toujours plus contraint</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p.27</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plan</w:t>
      </w:r>
      <w:r>
        <w:rPr>
          <w:rFonts w:ascii="Times New Roman" w:hAnsi="Times New Roman" w:cs="Times New Roman"/>
          <w:sz w:val="24"/>
          <w:szCs w:val="24"/>
        </w:rPr>
        <w:t xml:space="preserve"> :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Un accès à la recherche sous pression</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Vers une mutualisation à l’échelle européenne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Sci</w:t>
      </w:r>
      <w:r>
        <w:rPr>
          <w:rFonts w:ascii="Times New Roman" w:hAnsi="Times New Roman" w:cs="Times New Roman"/>
          <w:sz w:val="24"/>
          <w:szCs w:val="24"/>
        </w:rPr>
        <w:t xml:space="preserve">-Post : une plateforme en accès ouvert diamant</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Un accès à la recherche sous pression :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Tour de table des consortia a permis de partager le constat de budgets de plus en plus contraints face à un accès aux résultats de la rec</w:t>
      </w:r>
      <w:r>
        <w:rPr>
          <w:rFonts w:ascii="Times New Roman" w:hAnsi="Times New Roman" w:cs="Times New Roman"/>
          <w:sz w:val="24"/>
          <w:szCs w:val="24"/>
        </w:rPr>
        <w:t xml:space="preserve">herche de plus en plus coûteux, bien que l’essor des accords </w:t>
      </w:r>
      <w:r>
        <w:rPr>
          <w:rFonts w:ascii="Times New Roman" w:hAnsi="Times New Roman" w:cs="Times New Roman"/>
          <w:sz w:val="24"/>
          <w:szCs w:val="24"/>
        </w:rPr>
        <w:t xml:space="preserve">transformants</w:t>
      </w:r>
      <w:r>
        <w:rPr>
          <w:rFonts w:ascii="Times New Roman" w:hAnsi="Times New Roman" w:cs="Times New Roman"/>
          <w:sz w:val="24"/>
          <w:szCs w:val="24"/>
        </w:rPr>
        <w:t xml:space="preserve"> contribue à limiter le double paiement lecture-publication – notamment pour les revues hybrides.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Vers une mutualisation à l’échelle européenne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Journé</w:t>
      </w:r>
      <w:r>
        <w:rPr>
          <w:rFonts w:ascii="Times New Roman" w:hAnsi="Times New Roman" w:cs="Times New Roman"/>
          <w:sz w:val="24"/>
          <w:szCs w:val="24"/>
        </w:rPr>
        <w:t xml:space="preserve">es : également l’occasion pour Couperin de présenter une étude commandée au cabinet Ourouk sur les enjeux, les conditions et la faisabilité d’une mutualisation des modalités d’accès, de signalement et de partage des ressources documentaires électroniques.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Un accès partagé aux mêmes ressources pour l’ensemble des étudiant.es pourrait constituer un élément pertinent pour une certification commune (un accès aux mêmes contenus avec les mêmes droits d’utilisation d’un</w:t>
      </w:r>
      <w:r>
        <w:rPr>
          <w:rFonts w:ascii="Times New Roman" w:hAnsi="Times New Roman" w:cs="Times New Roman"/>
          <w:sz w:val="24"/>
          <w:szCs w:val="24"/>
        </w:rPr>
        <w:t xml:space="preserve"> pays à l’autre). Permettrait de réduire éventuellement les inégalités entre les institutions et de répartir les coûts de façon équitable entre les différents pays, tout en apportant peut-être, par effet de « volume », plus de poids dans les négociations.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Mutualiser les acquisitions à un niveau europée</w:t>
      </w:r>
      <w:r>
        <w:rPr>
          <w:rFonts w:ascii="Times New Roman" w:hAnsi="Times New Roman" w:cs="Times New Roman"/>
          <w:sz w:val="24"/>
          <w:szCs w:val="24"/>
        </w:rPr>
        <w:t xml:space="preserve">n supposerait une refonte complète des contrats, avec le risque, aussi, de reculer sur certaines clauses négociées à l’échelle nationale (comme l’archivage pérenne, qui poserait peut-être également la question du développement d’une plateforme européenne).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Cette mutualisation amène la question de l’organisation d’une « gouvernance documentaire » à l’échelle européenne : qui en serait responsable, et comment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Sci</w:t>
      </w:r>
      <w:r>
        <w:rPr>
          <w:rFonts w:ascii="Times New Roman" w:hAnsi="Times New Roman" w:cs="Times New Roman"/>
          <w:sz w:val="24"/>
          <w:szCs w:val="24"/>
        </w:rPr>
        <w:t xml:space="preserve">-Post : une plateforme en accès ouvert diamant</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Plateforme développé </w:t>
      </w:r>
      <w:r>
        <w:rPr>
          <w:rFonts w:ascii="Times New Roman" w:hAnsi="Times New Roman" w:cs="Times New Roman"/>
          <w:sz w:val="24"/>
          <w:szCs w:val="24"/>
        </w:rPr>
        <w:t xml:space="preserve">par le chercheur Jean-Sébastien Caux, de l’Institut de Physiques d’Amsterdam. Ce modèle permet à ses usagers de lire et/ou de publier (dans) les revues de la plateforme gratuitement. Son financement repose sur les contributions volontaires des institutions</w:t>
      </w:r>
      <w:r>
        <w:rPr>
          <w:rFonts w:ascii="Times New Roman" w:hAnsi="Times New Roman" w:cs="Times New Roman"/>
          <w:sz w:val="24"/>
          <w:szCs w:val="24"/>
        </w:rPr>
        <w:t xml:space="preserv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112 | 2024 : Autorités et référentiels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IdRef</w:t>
      </w:r>
      <w:r>
        <w:rPr>
          <w:rFonts w:ascii="Times New Roman" w:hAnsi="Times New Roman" w:cs="Times New Roman"/>
          <w:sz w:val="24"/>
          <w:szCs w:val="24"/>
        </w:rPr>
        <w:t xml:space="preserve"> : un réseau de professionnels pour des référentiels au service de l’Enseignement supérieur et la Recherche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p.6-7</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Plan :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Du monde des BU…</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…au monde documentaire francophone…</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Puis au monde académique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La force d’un réseau pour « </w:t>
      </w:r>
      <w:r>
        <w:rPr>
          <w:rFonts w:ascii="Times New Roman" w:hAnsi="Times New Roman" w:cs="Times New Roman"/>
          <w:sz w:val="24"/>
          <w:szCs w:val="24"/>
        </w:rPr>
        <w:t xml:space="preserve">idrefiser</w:t>
      </w:r>
      <w:r>
        <w:rPr>
          <w:rFonts w:ascii="Times New Roman" w:hAnsi="Times New Roman" w:cs="Times New Roman"/>
          <w:sz w:val="24"/>
          <w:szCs w:val="24"/>
        </w:rPr>
        <w:t xml:space="preserve"> » les données de l’ESR</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Du monde des BU…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2009 : en parallèle du </w:t>
      </w:r>
      <w:r>
        <w:rPr>
          <w:rFonts w:ascii="Times New Roman" w:hAnsi="Times New Roman" w:cs="Times New Roman"/>
          <w:sz w:val="24"/>
          <w:szCs w:val="24"/>
        </w:rPr>
        <w:t xml:space="preserve">Sudoc</w:t>
      </w:r>
      <w:r>
        <w:rPr>
          <w:rFonts w:ascii="Times New Roman" w:hAnsi="Times New Roman" w:cs="Times New Roman"/>
          <w:sz w:val="24"/>
          <w:szCs w:val="24"/>
        </w:rPr>
        <w:t xml:space="preserve">, l’</w:t>
      </w:r>
      <w:r>
        <w:rPr>
          <w:rFonts w:ascii="Times New Roman" w:hAnsi="Times New Roman" w:cs="Times New Roman"/>
          <w:sz w:val="24"/>
          <w:szCs w:val="24"/>
        </w:rPr>
        <w:t xml:space="preserve">Abes</w:t>
      </w:r>
      <w:r>
        <w:rPr>
          <w:rFonts w:ascii="Times New Roman" w:hAnsi="Times New Roman" w:cs="Times New Roman"/>
          <w:sz w:val="24"/>
          <w:szCs w:val="24"/>
        </w:rPr>
        <w:t xml:space="preserve"> développe deux nouvelles bases de signalement pour des objets spécifiques : Calames pour les archives et manuscrits ; STEP/STAR (puis theses.fr) pour les thèses de doctorat.</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Naissance d’</w:t>
      </w:r>
      <w:r>
        <w:rPr>
          <w:rFonts w:ascii="Times New Roman" w:hAnsi="Times New Roman" w:cs="Times New Roman"/>
          <w:sz w:val="24"/>
          <w:szCs w:val="24"/>
        </w:rPr>
        <w:t xml:space="preserve">IdRef</w:t>
      </w:r>
      <w:r>
        <w:rPr>
          <w:rFonts w:ascii="Times New Roman" w:hAnsi="Times New Roman" w:cs="Times New Roman"/>
          <w:sz w:val="24"/>
          <w:szCs w:val="24"/>
        </w:rPr>
        <w:t xml:space="preserve"> pour urbaniser ces applications et offrir aux « données qui font autorité » l’autonomie et la réutilisabilité nécessaires pour y adosser toutes les autres.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Pour le catalogueur : branchement d’</w:t>
      </w:r>
      <w:r>
        <w:rPr>
          <w:rFonts w:ascii="Times New Roman" w:hAnsi="Times New Roman" w:cs="Times New Roman"/>
          <w:sz w:val="24"/>
          <w:szCs w:val="24"/>
        </w:rPr>
        <w:t xml:space="preserve">IdRef</w:t>
      </w:r>
      <w:r>
        <w:rPr>
          <w:rFonts w:ascii="Times New Roman" w:hAnsi="Times New Roman" w:cs="Times New Roman"/>
          <w:sz w:val="24"/>
          <w:szCs w:val="24"/>
        </w:rPr>
        <w:t xml:space="preserve"> directement à son environnement de signalement (ressource éditoriale dans le </w:t>
      </w:r>
      <w:r>
        <w:rPr>
          <w:rFonts w:ascii="Times New Roman" w:hAnsi="Times New Roman" w:cs="Times New Roman"/>
          <w:sz w:val="24"/>
          <w:szCs w:val="24"/>
        </w:rPr>
        <w:t xml:space="preserve">Sudoc</w:t>
      </w:r>
      <w:r>
        <w:rPr>
          <w:rFonts w:ascii="Times New Roman" w:hAnsi="Times New Roman" w:cs="Times New Roman"/>
          <w:sz w:val="24"/>
          <w:szCs w:val="24"/>
        </w:rPr>
        <w:t xml:space="preserve">, thèse électronique dans STAR, article numérisé dans Persée, vidéo dans Canal-U, etc.).</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Pour les machines : </w:t>
      </w:r>
      <w:r>
        <w:rPr>
          <w:rFonts w:ascii="Times New Roman" w:hAnsi="Times New Roman" w:cs="Times New Roman"/>
          <w:sz w:val="24"/>
          <w:szCs w:val="24"/>
        </w:rPr>
        <w:t xml:space="preserve">IdRef</w:t>
      </w:r>
      <w:r>
        <w:rPr>
          <w:rFonts w:ascii="Times New Roman" w:hAnsi="Times New Roman" w:cs="Times New Roman"/>
          <w:sz w:val="24"/>
          <w:szCs w:val="24"/>
        </w:rPr>
        <w:t xml:space="preserve"> fournit des identifiants uniques et pérennes et des API qui optimisent le transit des données.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Pdv</w:t>
      </w:r>
      <w:r>
        <w:rPr>
          <w:rFonts w:ascii="Times New Roman" w:hAnsi="Times New Roman" w:cs="Times New Roman"/>
          <w:sz w:val="24"/>
          <w:szCs w:val="24"/>
        </w:rPr>
        <w:t xml:space="preserve"> juridique : les données d’</w:t>
      </w:r>
      <w:r>
        <w:rPr>
          <w:rFonts w:ascii="Times New Roman" w:hAnsi="Times New Roman" w:cs="Times New Roman"/>
          <w:sz w:val="24"/>
          <w:szCs w:val="24"/>
        </w:rPr>
        <w:t xml:space="preserve">IdRef</w:t>
      </w:r>
      <w:r>
        <w:rPr>
          <w:rFonts w:ascii="Times New Roman" w:hAnsi="Times New Roman" w:cs="Times New Roman"/>
          <w:sz w:val="24"/>
          <w:szCs w:val="24"/>
        </w:rPr>
        <w:t xml:space="preserve"> sont ouvertes sous licence </w:t>
      </w:r>
      <w:r>
        <w:rPr>
          <w:rFonts w:ascii="Times New Roman" w:hAnsi="Times New Roman" w:cs="Times New Roman"/>
          <w:sz w:val="24"/>
          <w:szCs w:val="24"/>
        </w:rPr>
        <w:t xml:space="preserve">Etalab</w:t>
      </w:r>
      <w:r>
        <w:rPr>
          <w:rFonts w:ascii="Times New Roman" w:hAnsi="Times New Roman" w:cs="Times New Roman"/>
          <w:sz w:val="24"/>
          <w:szCs w:val="24"/>
        </w:rPr>
        <w:t xml:space="preserve"> et respectueuses du RGPD.</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L’interopérabil</w:t>
      </w:r>
      <w:r>
        <w:rPr>
          <w:rFonts w:ascii="Times New Roman" w:hAnsi="Times New Roman" w:cs="Times New Roman"/>
          <w:sz w:val="24"/>
          <w:szCs w:val="24"/>
        </w:rPr>
        <w:t xml:space="preserve">ité découle des fonctionnalités précédentes : reposant sur l’interfaçage applicatif et sur le mécanisme de l’identifiant pivot, les échanges d’informations normalisées, fiables et actualisées sont simplifiés et la cohérence globale des données renforcées.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 au monde documentaire francophone…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Si la démarche d’urbanisation d’un système d’information tire profit du recours à </w:t>
      </w:r>
      <w:r>
        <w:rPr>
          <w:rFonts w:ascii="Times New Roman" w:hAnsi="Times New Roman" w:cs="Times New Roman"/>
          <w:sz w:val="24"/>
          <w:szCs w:val="24"/>
        </w:rPr>
        <w:t xml:space="preserve">IdRef</w:t>
      </w:r>
      <w:r>
        <w:rPr>
          <w:rFonts w:ascii="Times New Roman" w:hAnsi="Times New Roman" w:cs="Times New Roman"/>
          <w:sz w:val="24"/>
          <w:szCs w:val="24"/>
        </w:rPr>
        <w:t xml:space="preserve">, les modalités en sont variées : simple réutilisation pour </w:t>
      </w:r>
      <w:r>
        <w:rPr>
          <w:rFonts w:ascii="Times New Roman" w:hAnsi="Times New Roman" w:cs="Times New Roman"/>
          <w:sz w:val="24"/>
          <w:szCs w:val="24"/>
        </w:rPr>
        <w:t xml:space="preserve">Univ</w:t>
      </w:r>
      <w:r>
        <w:rPr>
          <w:rFonts w:ascii="Times New Roman" w:hAnsi="Times New Roman" w:cs="Times New Roman"/>
          <w:sz w:val="24"/>
          <w:szCs w:val="24"/>
        </w:rPr>
        <w:t xml:space="preserve">-Droit- le portail universitaire du </w:t>
      </w:r>
      <w:r>
        <w:rPr>
          <w:rFonts w:ascii="Times New Roman" w:hAnsi="Times New Roman" w:cs="Times New Roman"/>
          <w:sz w:val="24"/>
          <w:szCs w:val="24"/>
        </w:rPr>
        <w:t xml:space="preserve">droit ; contribution active sans perte des indispensables données de gestion des droits pour Persée ; adoption pleine et entière pour </w:t>
      </w:r>
      <w:r>
        <w:rPr>
          <w:rFonts w:ascii="Times New Roman" w:hAnsi="Times New Roman" w:cs="Times New Roman"/>
          <w:sz w:val="24"/>
          <w:szCs w:val="24"/>
        </w:rPr>
        <w:t xml:space="preserve">Frantiq</w:t>
      </w:r>
      <w:r>
        <w:rPr>
          <w:rFonts w:ascii="Times New Roman" w:hAnsi="Times New Roman" w:cs="Times New Roman"/>
          <w:sz w:val="24"/>
          <w:szCs w:val="24"/>
        </w:rPr>
        <w:t xml:space="preserve">, etc.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Un des gros défis réside dans la reprise du gisement documentaire qu’est sa base de données : c’est à cette fin qu’un service d’alignement pour les identifiants Personnes a été développé, qui fonctionne tous azimuts.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Puis au monde académique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IdRef</w:t>
      </w:r>
      <w:r>
        <w:rPr>
          <w:rFonts w:ascii="Times New Roman" w:hAnsi="Times New Roman" w:cs="Times New Roman"/>
          <w:sz w:val="24"/>
          <w:szCs w:val="24"/>
        </w:rPr>
        <w:t xml:space="preserve"> se positionne comme un service incontournable ayant vocation à innerver la sphère académique dans sa double dimension de pilotage bibliométrique et de production de connaissances.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Côté pilotage, </w:t>
      </w:r>
      <w:r>
        <w:rPr>
          <w:rFonts w:ascii="Times New Roman" w:hAnsi="Times New Roman" w:cs="Times New Roman"/>
          <w:sz w:val="24"/>
          <w:szCs w:val="24"/>
        </w:rPr>
        <w:t xml:space="preserve">IdRef</w:t>
      </w:r>
      <w:r>
        <w:rPr>
          <w:rFonts w:ascii="Times New Roman" w:hAnsi="Times New Roman" w:cs="Times New Roman"/>
          <w:sz w:val="24"/>
          <w:szCs w:val="24"/>
        </w:rPr>
        <w:t xml:space="preserve"> fluidifie la navigation du local (annuaires LDAP, gestion de</w:t>
      </w:r>
      <w:r>
        <w:rPr>
          <w:rFonts w:ascii="Times New Roman" w:hAnsi="Times New Roman" w:cs="Times New Roman"/>
          <w:sz w:val="24"/>
          <w:szCs w:val="24"/>
        </w:rPr>
        <w:t xml:space="preserve">s thèses de doctorat dans ADUM) à l’international (ORCID et prochainement ROR). Et si face à la montagne des données de recherche, il faud</w:t>
      </w:r>
      <w:r>
        <w:rPr>
          <w:rFonts w:ascii="Times New Roman" w:hAnsi="Times New Roman" w:cs="Times New Roman"/>
          <w:sz w:val="24"/>
          <w:szCs w:val="24"/>
        </w:rPr>
        <w:t xml:space="preserve">ra être sélectif, la communauté fourbit ses armes en vue d’assurer à ces précieuses données la plus riche intégration possible dans le web sémantique, dont les promesses en termes d’accroissement de la connaissance sont colossales et seront bientôt tenues.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La force d’un réseau pour « </w:t>
      </w:r>
      <w:r>
        <w:rPr>
          <w:rFonts w:ascii="Times New Roman" w:hAnsi="Times New Roman" w:cs="Times New Roman"/>
          <w:sz w:val="24"/>
          <w:szCs w:val="24"/>
        </w:rPr>
        <w:t xml:space="preserve">idrefiser</w:t>
      </w:r>
      <w:r>
        <w:rPr>
          <w:rFonts w:ascii="Times New Roman" w:hAnsi="Times New Roman" w:cs="Times New Roman"/>
          <w:sz w:val="24"/>
          <w:szCs w:val="24"/>
        </w:rPr>
        <w:t xml:space="preserve"> » les données de l’ESR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IdRef</w:t>
      </w:r>
      <w:r>
        <w:rPr>
          <w:rFonts w:ascii="Times New Roman" w:hAnsi="Times New Roman" w:cs="Times New Roman"/>
          <w:sz w:val="24"/>
          <w:szCs w:val="24"/>
        </w:rPr>
        <w:t xml:space="preserve"> : un bien commun, fruit d’une communauté dont la vitalité prend racine dans quelques</w:t>
      </w:r>
      <w:r>
        <w:rPr>
          <w:rFonts w:ascii="Times New Roman" w:hAnsi="Times New Roman" w:cs="Times New Roman"/>
          <w:sz w:val="24"/>
          <w:szCs w:val="24"/>
        </w:rPr>
        <w:t xml:space="preserve"> principes fondateurs : le principe de confiance, intrinsèquement lié au catalogage partagé, et celui de la souveraineté des données produites, qui a pour corollaire le principe de responsabilité, les 200 correspondants Autorités jouent ici un rôle majeur.</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ROR : une base d’identifiants rugissante</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p.10-11</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Plan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ROR dans l’écosystème des identifiants pérennes</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Collaboration et ouverture comme vertus cardinales</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Quid de la France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Travail de ces dernières années : consisté à tenter de normaliser la manière dont les informations d’affiliation issues des publications vont figurer dans les bases bibliographiques et bibliométriques.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Même orthographiées de la même manière et scrupuleusement listées dans le même ordre, si ces informations précieuses restent des chaînes de caractères, cela ne suffit pas pour identifier de manière certaine et pérenne les structures qu’elles désignent.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ROR : </w:t>
      </w:r>
      <w:r>
        <w:rPr>
          <w:rFonts w:ascii="Times New Roman" w:hAnsi="Times New Roman" w:cs="Times New Roman"/>
          <w:sz w:val="24"/>
          <w:szCs w:val="24"/>
        </w:rPr>
        <w:t xml:space="preserve">bdd</w:t>
      </w:r>
      <w:r>
        <w:rPr>
          <w:rFonts w:ascii="Times New Roman" w:hAnsi="Times New Roman" w:cs="Times New Roman"/>
          <w:sz w:val="24"/>
          <w:szCs w:val="24"/>
        </w:rPr>
        <w:t xml:space="preserve"> vise à identifier toutes les entités liées à la recherche : universités, entreprise</w:t>
      </w:r>
      <w:r>
        <w:rPr>
          <w:rFonts w:ascii="Times New Roman" w:hAnsi="Times New Roman" w:cs="Times New Roman"/>
          <w:sz w:val="24"/>
          <w:szCs w:val="24"/>
        </w:rPr>
        <w:t xml:space="preserve">s, organismes, hôpitaux, agences publiques de financement, infrastructures matérielles, etc. cas d’usage : expliciter l’affiliation, dans les publications, c’est-à-dire le lien qui existe entre une personne physique et une organisation pour une production.</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Identifiant ROR : un PID </w:t>
      </w:r>
      <w:r>
        <w:rPr>
          <w:rFonts w:ascii="Times New Roman" w:hAnsi="Times New Roman" w:cs="Times New Roman"/>
          <w:sz w:val="24"/>
          <w:szCs w:val="24"/>
        </w:rPr>
        <w:t xml:space="preserve">destiné à isoler et reconnaître de manière univoque, sur la scène internationale, une entité collective à laquelle peuvent être liées des personnes qui font de la recherche. Il se présente comme une chaîne non signifiante de 9 caractères alphanumériques à </w:t>
      </w:r>
      <w:r>
        <w:rPr>
          <w:rFonts w:ascii="Times New Roman" w:hAnsi="Times New Roman" w:cs="Times New Roman"/>
          <w:sz w:val="24"/>
          <w:szCs w:val="24"/>
        </w:rPr>
        <w:t xml:space="preserve">la suite du préfixe du registre. Rôle de cet identifiant : de se diffuser dans tous les systèmes de gestion qui ont trait à la recherche : plateforme de publication, outil d’évaluation, demande de financement…</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Accessibilités des données : par une recherche directe dans le registre, via API ou en téléchargeant le jeu de données complet.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Intéressant également pour la curation des données : tout un chacun peut suggérer via un formulaire un ajout ou une modification. Le traitement de ces sollicitations est présenté, en toute transparence, sur une instance GitHub.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ROR dans l’écosystème des identifiants pérennes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ROR : organisation dont la gestion est partagée par tous les acteurs du circuit de l’édition scientifique, des bibliothèques aux éditeurs privés, a nettement marqué dès le départ son intention d’être </w:t>
      </w:r>
      <w:r>
        <w:rPr>
          <w:rFonts w:ascii="Times New Roman" w:hAnsi="Times New Roman" w:cs="Times New Roman"/>
          <w:sz w:val="24"/>
          <w:szCs w:val="24"/>
        </w:rPr>
        <w:t xml:space="preserve">identifiant ouvert, dont le registre soit bâti par et pour la communauté.</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Collaboration et ouverture comme vertus cardinales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ROR : conçu comme un service partagé, et non une entité autonome. Ses trois fondateurs se sont engagés à conserver un fonctionnement collaboratif, en s’interdisant de mon</w:t>
      </w:r>
      <w:r>
        <w:rPr>
          <w:rFonts w:ascii="Times New Roman" w:hAnsi="Times New Roman" w:cs="Times New Roman"/>
          <w:sz w:val="24"/>
          <w:szCs w:val="24"/>
        </w:rPr>
        <w:t xml:space="preserve">nayer les données ou le service rendu, et de transférer tout ou partie du registre à une entité commerciale. Modèle économique encore fragile car il reste conditionné au soutien volontaire de la communauté et à des subventions, souvent non reconductibles.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Quid de la France ?</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ROR a toujours défendu l’idée de décrire uniquement les « top-</w:t>
      </w:r>
      <w:r>
        <w:rPr>
          <w:rFonts w:ascii="Times New Roman" w:hAnsi="Times New Roman" w:cs="Times New Roman"/>
          <w:sz w:val="24"/>
          <w:szCs w:val="24"/>
        </w:rPr>
        <w:t xml:space="preserve">level</w:t>
      </w:r>
      <w:r>
        <w:rPr>
          <w:rFonts w:ascii="Times New Roman" w:hAnsi="Times New Roman" w:cs="Times New Roman"/>
          <w:sz w:val="24"/>
          <w:szCs w:val="24"/>
        </w:rPr>
        <w:t xml:space="preserve"> institutions ». Refus d’entrer dans la des</w:t>
      </w:r>
      <w:r>
        <w:rPr>
          <w:rFonts w:ascii="Times New Roman" w:hAnsi="Times New Roman" w:cs="Times New Roman"/>
          <w:sz w:val="24"/>
          <w:szCs w:val="24"/>
        </w:rPr>
        <w:t xml:space="preserve">cription fine de la composition interne d’un établissement. Sans signifier officiellement un changement de braquet, ROR a tout bonnement fait le choix pragmatique d’ajouter dans son registre une grande partie des laboratoires publics français à l’été 2023.</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Stratégie nationale pour les données, algorithmes et codes sources : un défi à relever collectivement.</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p.12-13</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Plan :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Les bénéficiaires de cette politique</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Les identifiants pérennes internationaux : clé de voûte de la circulation et du partage des données</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Les actions importantes à mener et le rôle de l’ABES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Répondre à trois enjeux majeurs : </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Favoriser l’innovation en permettant la réutilisation des données et codes sources</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Amplifier la transparence, pour davantage de confiance, de l’action publique</w:t>
      </w:r>
      <w:r>
        <w:rPr>
          <w:rFonts w:ascii="Times New Roman" w:hAnsi="Times New Roman" w:cs="Times New Roman"/>
          <w:sz w:val="24"/>
          <w:szCs w:val="24"/>
        </w:rPr>
      </w:r>
    </w:p>
    <w:p>
      <w:pPr>
        <w:pStyle w:val="680"/>
        <w:numPr>
          <w:ilvl w:val="0"/>
          <w:numId w:val="2"/>
        </w:numPr>
        <w:pBdr/>
        <w:spacing/>
        <w:ind/>
        <w:jc w:val="both"/>
        <w:rPr>
          <w:rFonts w:ascii="Times New Roman" w:hAnsi="Times New Roman" w:cs="Times New Roman"/>
          <w:sz w:val="24"/>
          <w:szCs w:val="24"/>
        </w:rPr>
      </w:pPr>
      <w:r>
        <w:rPr>
          <w:rFonts w:ascii="Times New Roman" w:hAnsi="Times New Roman" w:cs="Times New Roman"/>
          <w:sz w:val="24"/>
          <w:szCs w:val="24"/>
        </w:rPr>
        <w:t xml:space="preserve">Simplifier les processus de travail, notamment en allégeant la charge administrative (mise en œuvre du principe du « dîtes-le nous une fois »), et aider au pilotage à tous les niveaux par une bonne circulation des données.</w:t>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t xml:space="preserve">Les bénéficiaires de cette politique :</w:t>
      </w:r>
      <w:r>
        <w:rPr>
          <w:rFonts w:ascii="Times New Roman" w:hAnsi="Times New Roman" w:cs="Times New Roman"/>
          <w:sz w:val="24"/>
          <w:szCs w:val="24"/>
        </w:rPr>
      </w:r>
    </w:p>
    <w:p>
      <w:pPr>
        <w:pBdr/>
        <w:spacing/>
        <w:ind/>
        <w:jc w:val="both"/>
        <w:rPr>
          <w:rFonts w:ascii="Times New Roman" w:hAnsi="Times New Roman" w:cs="Times New Roman"/>
          <w:sz w:val="24"/>
          <w:szCs w:val="24"/>
        </w:rPr>
      </w:pPr>
      <w:r/>
      <w:bookmarkStart w:id="0" w:name="_GoBack"/>
      <w:r/>
      <w:bookmarkEnd w:id="0"/>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Segoe UI">
    <w:panose1 w:val="020B05020405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8C11DB"/>
    <w:lvl w:ilvl="0">
      <w:isLgl w:val="false"/>
      <w:lvlJc w:val="left"/>
      <w:lvlText w:val="-"/>
      <w:numFmt w:val="bullet"/>
      <w:pPr>
        <w:pBdr/>
        <w:spacing/>
        <w:ind w:hanging="360" w:left="720"/>
      </w:pPr>
      <w:rPr>
        <w:rFonts w:hint="default" w:ascii="Times New Roman" w:hAnsi="Times New Roman" w:cs="Times New Roman" w:eastAsiaTheme="minorHAnsi"/>
      </w:rPr>
      <w:start w:val="11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ED167E9"/>
    <w:lvl w:ilvl="0">
      <w:isLgl w:val="false"/>
      <w:lvlJc w:val="left"/>
      <w:lvlText w:val=""/>
      <w:numFmt w:val="bullet"/>
      <w:pPr>
        <w:pBdr/>
        <w:spacing/>
        <w:ind w:hanging="360" w:left="720"/>
      </w:pPr>
      <w:rPr>
        <w:rFonts w:hint="default" w:ascii="Symbol" w:hAnsi="Symbol" w:eastAsiaTheme="minorHAnsi" w:cstheme="minorBidi"/>
      </w:rPr>
      <w:start w:val="11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3B38216C"/>
    <w:lvl w:ilvl="0">
      <w:isLgl w:val="false"/>
      <w:lvlJc w:val="left"/>
      <w:lvlText w:val=""/>
      <w:numFmt w:val="bullet"/>
      <w:pPr>
        <w:pBdr/>
        <w:spacing/>
        <w:ind w:hanging="360" w:left="720"/>
      </w:pPr>
      <w:rPr>
        <w:rFonts w:hint="default" w:ascii="Symbol" w:hAnsi="Symbol" w:eastAsiaTheme="minorHAnsi" w:cstheme="minorBidi"/>
      </w:rPr>
      <w:start w:val="11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670"/>
    <w:next w:val="67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0"/>
    <w:next w:val="67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0"/>
    <w:next w:val="67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0"/>
    <w:next w:val="67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3"/>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673"/>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67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3"/>
    <w:link w:val="142"/>
    <w:uiPriority w:val="9"/>
    <w:pPr>
      <w:pBdr/>
      <w:spacing/>
      <w:ind/>
    </w:pPr>
    <w:rPr>
      <w:rFonts w:ascii="Arial" w:hAnsi="Arial" w:eastAsia="Arial" w:cs="Arial"/>
      <w:i/>
      <w:iCs/>
      <w:color w:val="0f4761" w:themeColor="accent1" w:themeShade="BF"/>
    </w:rPr>
  </w:style>
  <w:style w:type="character" w:styleId="154">
    <w:name w:val="Heading 5 Char"/>
    <w:basedOn w:val="673"/>
    <w:link w:val="143"/>
    <w:uiPriority w:val="9"/>
    <w:pPr>
      <w:pBdr/>
      <w:spacing/>
      <w:ind/>
    </w:pPr>
    <w:rPr>
      <w:rFonts w:ascii="Arial" w:hAnsi="Arial" w:eastAsia="Arial" w:cs="Arial"/>
      <w:color w:val="0f4761" w:themeColor="accent1" w:themeShade="BF"/>
    </w:rPr>
  </w:style>
  <w:style w:type="character" w:styleId="155">
    <w:name w:val="Heading 6 Char"/>
    <w:basedOn w:val="673"/>
    <w:link w:val="144"/>
    <w:uiPriority w:val="9"/>
    <w:pPr>
      <w:pBdr/>
      <w:spacing/>
      <w:ind/>
    </w:pPr>
    <w:rPr>
      <w:rFonts w:ascii="Arial" w:hAnsi="Arial" w:eastAsia="Arial" w:cs="Arial"/>
      <w:i/>
      <w:iCs/>
      <w:color w:val="595959" w:themeColor="text1" w:themeTint="A6"/>
    </w:rPr>
  </w:style>
  <w:style w:type="character" w:styleId="156">
    <w:name w:val="Heading 7 Char"/>
    <w:basedOn w:val="673"/>
    <w:link w:val="145"/>
    <w:uiPriority w:val="9"/>
    <w:pPr>
      <w:pBdr/>
      <w:spacing/>
      <w:ind/>
    </w:pPr>
    <w:rPr>
      <w:rFonts w:ascii="Arial" w:hAnsi="Arial" w:eastAsia="Arial" w:cs="Arial"/>
      <w:color w:val="595959" w:themeColor="text1" w:themeTint="A6"/>
    </w:rPr>
  </w:style>
  <w:style w:type="character" w:styleId="157">
    <w:name w:val="Heading 8 Char"/>
    <w:basedOn w:val="673"/>
    <w:link w:val="146"/>
    <w:uiPriority w:val="9"/>
    <w:pPr>
      <w:pBdr/>
      <w:spacing/>
      <w:ind/>
    </w:pPr>
    <w:rPr>
      <w:rFonts w:ascii="Arial" w:hAnsi="Arial" w:eastAsia="Arial" w:cs="Arial"/>
      <w:i/>
      <w:iCs/>
      <w:color w:val="272727" w:themeColor="text1" w:themeTint="D8"/>
    </w:rPr>
  </w:style>
  <w:style w:type="character" w:styleId="158">
    <w:name w:val="Heading 9 Char"/>
    <w:basedOn w:val="673"/>
    <w:link w:val="147"/>
    <w:uiPriority w:val="9"/>
    <w:pPr>
      <w:pBdr/>
      <w:spacing/>
      <w:ind/>
    </w:pPr>
    <w:rPr>
      <w:rFonts w:ascii="Arial" w:hAnsi="Arial" w:eastAsia="Arial" w:cs="Arial"/>
      <w:i/>
      <w:iCs/>
      <w:color w:val="272727" w:themeColor="text1" w:themeTint="D8"/>
    </w:rPr>
  </w:style>
  <w:style w:type="paragraph" w:styleId="159">
    <w:name w:val="Title"/>
    <w:basedOn w:val="670"/>
    <w:next w:val="67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3"/>
    <w:link w:val="159"/>
    <w:uiPriority w:val="10"/>
    <w:pPr>
      <w:pBdr/>
      <w:spacing/>
      <w:ind/>
    </w:pPr>
    <w:rPr>
      <w:rFonts w:ascii="Arial" w:hAnsi="Arial" w:eastAsia="Arial" w:cs="Arial"/>
      <w:spacing w:val="-10"/>
      <w:sz w:val="56"/>
      <w:szCs w:val="56"/>
    </w:rPr>
  </w:style>
  <w:style w:type="paragraph" w:styleId="161">
    <w:name w:val="Subtitle"/>
    <w:basedOn w:val="670"/>
    <w:next w:val="670"/>
    <w:link w:val="162"/>
    <w:uiPriority w:val="11"/>
    <w:qFormat/>
    <w:pPr>
      <w:numPr>
        <w:ilvl w:val="1"/>
      </w:numPr>
      <w:pBdr/>
      <w:spacing/>
      <w:ind/>
    </w:pPr>
    <w:rPr>
      <w:color w:val="595959" w:themeColor="text1" w:themeTint="A6"/>
      <w:spacing w:val="15"/>
      <w:sz w:val="28"/>
      <w:szCs w:val="28"/>
    </w:rPr>
  </w:style>
  <w:style w:type="character" w:styleId="162">
    <w:name w:val="Subtitle Char"/>
    <w:basedOn w:val="673"/>
    <w:link w:val="161"/>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673"/>
    <w:link w:val="163"/>
    <w:uiPriority w:val="29"/>
    <w:pPr>
      <w:pBdr/>
      <w:spacing/>
      <w:ind/>
    </w:pPr>
    <w:rPr>
      <w:i/>
      <w:iCs/>
      <w:color w:val="404040" w:themeColor="text1" w:themeTint="BF"/>
    </w:rPr>
  </w:style>
  <w:style w:type="character" w:styleId="166">
    <w:name w:val="Intense Emphasis"/>
    <w:basedOn w:val="673"/>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3"/>
    <w:link w:val="167"/>
    <w:uiPriority w:val="30"/>
    <w:pPr>
      <w:pBdr/>
      <w:spacing/>
      <w:ind/>
    </w:pPr>
    <w:rPr>
      <w:i/>
      <w:iCs/>
      <w:color w:val="0f4761" w:themeColor="accent1" w:themeShade="BF"/>
    </w:rPr>
  </w:style>
  <w:style w:type="character" w:styleId="169">
    <w:name w:val="Intense Reference"/>
    <w:basedOn w:val="673"/>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673"/>
    <w:uiPriority w:val="19"/>
    <w:qFormat/>
    <w:pPr>
      <w:pBdr/>
      <w:spacing/>
      <w:ind/>
    </w:pPr>
    <w:rPr>
      <w:i/>
      <w:iCs/>
      <w:color w:val="404040" w:themeColor="text1" w:themeTint="BF"/>
    </w:rPr>
  </w:style>
  <w:style w:type="character" w:styleId="172">
    <w:name w:val="Emphasis"/>
    <w:basedOn w:val="673"/>
    <w:uiPriority w:val="20"/>
    <w:qFormat/>
    <w:pPr>
      <w:pBdr/>
      <w:spacing/>
      <w:ind/>
    </w:pPr>
    <w:rPr>
      <w:i/>
      <w:iCs/>
    </w:rPr>
  </w:style>
  <w:style w:type="character" w:styleId="174">
    <w:name w:val="Subtle Reference"/>
    <w:basedOn w:val="673"/>
    <w:uiPriority w:val="31"/>
    <w:qFormat/>
    <w:pPr>
      <w:pBdr/>
      <w:spacing/>
      <w:ind/>
    </w:pPr>
    <w:rPr>
      <w:smallCaps/>
      <w:color w:val="5a5a5a" w:themeColor="text1" w:themeTint="A5"/>
    </w:rPr>
  </w:style>
  <w:style w:type="character" w:styleId="175">
    <w:name w:val="Book Title"/>
    <w:basedOn w:val="673"/>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673"/>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673"/>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673"/>
    <w:link w:val="181"/>
    <w:uiPriority w:val="99"/>
    <w:semiHidden/>
    <w:pPr>
      <w:pBdr/>
      <w:spacing/>
      <w:ind/>
    </w:pPr>
    <w:rPr>
      <w:sz w:val="20"/>
      <w:szCs w:val="20"/>
    </w:rPr>
  </w:style>
  <w:style w:type="character" w:styleId="183">
    <w:name w:val="footnote reference"/>
    <w:basedOn w:val="673"/>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673"/>
    <w:link w:val="184"/>
    <w:uiPriority w:val="99"/>
    <w:semiHidden/>
    <w:pPr>
      <w:pBdr/>
      <w:spacing/>
      <w:ind/>
    </w:pPr>
    <w:rPr>
      <w:sz w:val="20"/>
      <w:szCs w:val="20"/>
    </w:rPr>
  </w:style>
  <w:style w:type="character" w:styleId="186">
    <w:name w:val="endnote reference"/>
    <w:basedOn w:val="673"/>
    <w:uiPriority w:val="99"/>
    <w:semiHidden/>
    <w:unhideWhenUsed/>
    <w:pPr>
      <w:pBdr/>
      <w:spacing/>
      <w:ind/>
    </w:pPr>
    <w:rPr>
      <w:vertAlign w:val="superscript"/>
    </w:rPr>
  </w:style>
  <w:style w:type="character" w:styleId="188">
    <w:name w:val="FollowedHyperlink"/>
    <w:basedOn w:val="673"/>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6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paragraph" w:styleId="670" w:default="1">
    <w:name w:val="Normal"/>
    <w:qFormat/>
    <w:pPr>
      <w:pBdr/>
      <w:spacing/>
      <w:ind/>
    </w:pPr>
  </w:style>
  <w:style w:type="paragraph" w:styleId="671">
    <w:name w:val="Heading 1"/>
    <w:basedOn w:val="670"/>
    <w:link w:val="676"/>
    <w:uiPriority w:val="9"/>
    <w:qFormat/>
    <w:pPr>
      <w:pBdr/>
      <w:spacing w:after="100" w:afterAutospacing="1" w:before="100" w:beforeAutospacing="1" w:line="240" w:lineRule="auto"/>
      <w:ind/>
      <w:outlineLvl w:val="0"/>
    </w:pPr>
    <w:rPr>
      <w:rFonts w:ascii="Times New Roman" w:hAnsi="Times New Roman" w:eastAsia="Times New Roman" w:cs="Times New Roman"/>
      <w:b/>
      <w:bCs/>
      <w:sz w:val="48"/>
      <w:szCs w:val="48"/>
      <w:lang w:eastAsia="fr-FR"/>
    </w:rPr>
  </w:style>
  <w:style w:type="paragraph" w:styleId="672">
    <w:name w:val="Heading 2"/>
    <w:basedOn w:val="670"/>
    <w:next w:val="670"/>
    <w:link w:val="683"/>
    <w:uiPriority w:val="9"/>
    <w:semiHidden/>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character" w:styleId="673" w:default="1">
    <w:name w:val="Default Paragraph Font"/>
    <w:uiPriority w:val="1"/>
    <w:semiHidden/>
    <w:unhideWhenUsed/>
    <w:pPr>
      <w:pBdr/>
      <w:spacing/>
      <w:ind/>
    </w:pPr>
  </w:style>
  <w:style w:type="table" w:styleId="6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5" w:default="1">
    <w:name w:val="No List"/>
    <w:uiPriority w:val="99"/>
    <w:semiHidden/>
    <w:unhideWhenUsed/>
    <w:pPr>
      <w:pBdr/>
      <w:spacing/>
      <w:ind/>
    </w:pPr>
  </w:style>
  <w:style w:type="character" w:styleId="676" w:customStyle="1">
    <w:name w:val="Titre 1 Car"/>
    <w:basedOn w:val="673"/>
    <w:link w:val="671"/>
    <w:uiPriority w:val="9"/>
    <w:pPr>
      <w:pBdr/>
      <w:spacing/>
      <w:ind/>
    </w:pPr>
    <w:rPr>
      <w:rFonts w:ascii="Times New Roman" w:hAnsi="Times New Roman" w:eastAsia="Times New Roman" w:cs="Times New Roman"/>
      <w:b/>
      <w:bCs/>
      <w:sz w:val="48"/>
      <w:szCs w:val="48"/>
      <w:lang w:eastAsia="fr-FR"/>
    </w:rPr>
  </w:style>
  <w:style w:type="character" w:styleId="677" w:customStyle="1">
    <w:name w:val="publi-number"/>
    <w:basedOn w:val="673"/>
    <w:pPr>
      <w:pBdr/>
      <w:spacing/>
      <w:ind/>
    </w:pPr>
  </w:style>
  <w:style w:type="character" w:styleId="678" w:customStyle="1">
    <w:name w:val="publi-date"/>
    <w:basedOn w:val="673"/>
    <w:pPr>
      <w:pBdr/>
      <w:spacing/>
      <w:ind/>
    </w:pPr>
  </w:style>
  <w:style w:type="character" w:styleId="679" w:customStyle="1">
    <w:name w:val="publi-title-text"/>
    <w:basedOn w:val="673"/>
    <w:pPr>
      <w:pBdr/>
      <w:spacing/>
      <w:ind/>
    </w:pPr>
  </w:style>
  <w:style w:type="paragraph" w:styleId="680">
    <w:name w:val="List Paragraph"/>
    <w:basedOn w:val="670"/>
    <w:uiPriority w:val="34"/>
    <w:qFormat/>
    <w:pPr>
      <w:pBdr/>
      <w:spacing/>
      <w:ind w:left="720"/>
      <w:contextualSpacing w:val="true"/>
    </w:pPr>
  </w:style>
  <w:style w:type="paragraph" w:styleId="681">
    <w:name w:val="Balloon Text"/>
    <w:basedOn w:val="670"/>
    <w:link w:val="682"/>
    <w:uiPriority w:val="99"/>
    <w:semiHidden/>
    <w:unhideWhenUsed/>
    <w:pPr>
      <w:pBdr/>
      <w:spacing w:after="0" w:line="240" w:lineRule="auto"/>
      <w:ind/>
    </w:pPr>
    <w:rPr>
      <w:rFonts w:ascii="Segoe UI" w:hAnsi="Segoe UI" w:cs="Segoe UI"/>
      <w:sz w:val="18"/>
      <w:szCs w:val="18"/>
    </w:rPr>
  </w:style>
  <w:style w:type="character" w:styleId="682" w:customStyle="1">
    <w:name w:val="Texte de bulles Car"/>
    <w:basedOn w:val="673"/>
    <w:link w:val="681"/>
    <w:uiPriority w:val="99"/>
    <w:semiHidden/>
    <w:pPr>
      <w:pBdr/>
      <w:spacing/>
      <w:ind/>
    </w:pPr>
    <w:rPr>
      <w:rFonts w:ascii="Segoe UI" w:hAnsi="Segoe UI" w:cs="Segoe UI"/>
      <w:sz w:val="18"/>
      <w:szCs w:val="18"/>
    </w:rPr>
  </w:style>
  <w:style w:type="character" w:styleId="683" w:customStyle="1">
    <w:name w:val="Titre 2 Car"/>
    <w:basedOn w:val="673"/>
    <w:link w:val="672"/>
    <w:uiPriority w:val="9"/>
    <w:semiHidden/>
    <w:pPr>
      <w:pBdr/>
      <w:spacing/>
      <w:ind/>
    </w:pPr>
    <w:rPr>
      <w:rFonts w:asciiTheme="majorHAnsi" w:hAnsiTheme="majorHAnsi" w:eastAsiaTheme="majorEastAsia" w:cstheme="majorBidi"/>
      <w:color w:val="2e74b5" w:themeColor="accent1" w:themeShade="BF"/>
      <w:sz w:val="26"/>
      <w:szCs w:val="26"/>
    </w:rPr>
  </w:style>
  <w:style w:type="character" w:styleId="684">
    <w:name w:val="Hyperlink"/>
    <w:basedOn w:val="673"/>
    <w:uiPriority w:val="99"/>
    <w:semiHidden/>
    <w:unhideWhenUsed/>
    <w:pPr>
      <w:pBdr/>
      <w:spacing/>
      <w:ind/>
    </w:pPr>
    <w:rPr>
      <w:color w:val="0000ff"/>
      <w:u w:val="single"/>
    </w:rPr>
  </w:style>
  <w:style w:type="paragraph" w:styleId="685" w:customStyle="1">
    <w:name w:val="texte"/>
    <w:basedOn w:val="670"/>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686">
    <w:name w:val="Strong"/>
    <w:basedOn w:val="673"/>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publications-prairial.fr/arabesques/index.php?id=4463" TargetMode="External"/><Relationship Id="rId10" Type="http://schemas.openxmlformats.org/officeDocument/2006/relationships/hyperlink" Target="https://publications-prairial.fr/arabesques/index.php?id=4482" TargetMode="External"/><Relationship Id="rId11" Type="http://schemas.openxmlformats.org/officeDocument/2006/relationships/hyperlink" Target="https://publications-prairial.fr/arabesques/index.php?id=4482" TargetMode="External"/><Relationship Id="rId12"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39</cp:revision>
  <dcterms:created xsi:type="dcterms:W3CDTF">2026-06-11T10:12:00Z</dcterms:created>
  <dcterms:modified xsi:type="dcterms:W3CDTF">2026-07-30T20:39:20Z</dcterms:modified>
</cp:coreProperties>
</file>