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54A9B16" w14:textId="77777777">
      <w:pPr>
        <w:pBdr/>
        <w:spacing/>
        <w:ind/>
        <w:jc w:val="both"/>
        <w:rPr>
          <w:sz w:val="28"/>
        </w:rPr>
      </w:pPr>
      <w:r>
        <w:rPr>
          <w:sz w:val="28"/>
        </w:rPr>
        <w:t xml:space="preserve">Notes de lectures</w:t>
      </w:r>
      <w:r>
        <w:rPr>
          <w:sz w:val="28"/>
        </w:rPr>
      </w:r>
    </w:p>
    <w:p w14:paraId="3106109E" w14:textId="77777777">
      <w:pPr>
        <w:pStyle w:val="677"/>
        <w:pBdr/>
        <w:spacing/>
        <w:ind/>
        <w:jc w:val="both"/>
        <w:rPr>
          <w:rFonts w:ascii="Cambria Math" w:hAnsi="Cambria Math" w:cs="Cambria Math"/>
          <w:b/>
          <w:bCs/>
          <w:color w:val="000000" w:themeColor="text1"/>
          <w:sz w:val="28"/>
          <w:szCs w:val="28"/>
        </w:rPr>
      </w:pPr>
      <w:r>
        <w:rPr>
          <w:rFonts w:asciiTheme="minorHAnsi" w:hAnsiTheme="minorHAnsi" w:cstheme="minorHAnsi"/>
          <w:b/>
          <w:bCs/>
          <w:color w:val="000000" w:themeColor="text1"/>
          <w:sz w:val="28"/>
          <w:szCs w:val="28"/>
        </w:rPr>
        <w:t xml:space="preserve">Éléonore </w:t>
      </w:r>
      <w:r>
        <w:rPr>
          <w:rFonts w:asciiTheme="minorHAnsi" w:hAnsiTheme="minorHAnsi" w:cstheme="minorHAnsi"/>
          <w:b/>
          <w:bCs/>
          <w:color w:val="000000" w:themeColor="text1"/>
          <w:sz w:val="28"/>
          <w:szCs w:val="28"/>
        </w:rPr>
        <w:t xml:space="preserve">Besnehard</w:t>
      </w:r>
      <w:r>
        <w:rPr>
          <w:rFonts w:asciiTheme="minorHAnsi" w:hAnsiTheme="minorHAnsi" w:cstheme="minorHAnsi"/>
          <w:b/>
          <w:bCs/>
          <w:color w:val="000000" w:themeColor="text1"/>
          <w:sz w:val="28"/>
          <w:szCs w:val="28"/>
        </w:rPr>
        <w:t xml:space="preserve">. Élaboration d’une enquête pour l’évaluation orientée usagers de la recherche dans </w:t>
      </w:r>
      <w:r>
        <w:rPr>
          <w:rFonts w:asciiTheme="minorHAnsi" w:hAnsiTheme="minorHAnsi" w:cstheme="minorHAnsi"/>
          <w:b/>
          <w:bCs/>
          <w:color w:val="000000" w:themeColor="text1"/>
          <w:sz w:val="28"/>
          <w:szCs w:val="28"/>
        </w:rPr>
        <w:t xml:space="preserve">Gallica</w:t>
      </w:r>
      <w:r>
        <w:rPr>
          <w:rFonts w:asciiTheme="minorHAnsi" w:hAnsiTheme="minorHAnsi" w:cstheme="minorHAnsi"/>
          <w:b/>
          <w:bCs/>
          <w:color w:val="000000" w:themeColor="text1"/>
          <w:sz w:val="28"/>
          <w:szCs w:val="28"/>
        </w:rPr>
        <w:t xml:space="preserve"> : entre usages actuels et perspectives. Sciences de l’information et de la communication. 2024. </w:t>
      </w:r>
      <w:r>
        <w:rPr>
          <w:rFonts w:ascii="Cambria Math" w:hAnsi="Cambria Math" w:cs="Cambria Math"/>
          <w:b/>
          <w:bCs/>
          <w:color w:val="000000" w:themeColor="text1"/>
          <w:sz w:val="28"/>
          <w:szCs w:val="28"/>
        </w:rPr>
        <w:t xml:space="preserve">⟨</w:t>
      </w:r>
      <w:r>
        <w:rPr>
          <w:rFonts w:asciiTheme="minorHAnsi" w:hAnsiTheme="minorHAnsi" w:cstheme="minorHAnsi"/>
          <w:b/>
          <w:bCs/>
          <w:color w:val="000000" w:themeColor="text1"/>
          <w:sz w:val="28"/>
          <w:szCs w:val="28"/>
        </w:rPr>
        <w:t xml:space="preserve">dumas-04766084</w:t>
      </w:r>
      <w:r>
        <w:rPr>
          <w:rFonts w:ascii="Cambria Math" w:hAnsi="Cambria Math" w:cs="Cambria Math"/>
          <w:b/>
          <w:bCs/>
          <w:color w:val="000000" w:themeColor="text1"/>
          <w:sz w:val="28"/>
          <w:szCs w:val="28"/>
        </w:rPr>
        <w:t xml:space="preserve">⟩</w:t>
      </w:r>
      <w:r>
        <w:rPr>
          <w:rFonts w:ascii="Cambria Math" w:hAnsi="Cambria Math" w:cs="Cambria Math"/>
          <w:b/>
          <w:bCs/>
          <w:color w:val="000000" w:themeColor="text1"/>
          <w:sz w:val="28"/>
          <w:szCs w:val="28"/>
        </w:rPr>
      </w:r>
    </w:p>
    <w:p w14:paraId="5F3C50DF" w14:textId="77777777">
      <w:pPr>
        <w:pBdr/>
        <w:spacing/>
        <w:ind/>
        <w:jc w:val="both"/>
        <w:rPr/>
      </w:pPr>
      <w:r/>
      <w:r/>
    </w:p>
    <w:p w14:paraId="50B83BDA" w14:textId="77777777">
      <w:pPr>
        <w:pBdr/>
        <w:spacing w:line="360" w:lineRule="auto"/>
        <w:ind/>
        <w:jc w:val="both"/>
        <w:rPr>
          <w:rFonts w:ascii="Cambria Math" w:hAnsi="Cambria Math" w:cs="Cambria Math"/>
          <w:sz w:val="24"/>
        </w:rPr>
      </w:pPr>
      <w:r>
        <w:rPr>
          <w:rFonts w:ascii="Cambria Math" w:hAnsi="Cambria Math" w:cs="Cambria Math"/>
          <w:sz w:val="24"/>
        </w:rPr>
        <w:t xml:space="preserve">Dispositifs d’accès à l’information = nombreux enjeux dans la société actuelle, qualifiée de « société de l’information ». </w:t>
      </w:r>
      <w:r>
        <w:rPr>
          <w:rFonts w:ascii="Cambria Math" w:hAnsi="Cambria Math" w:cs="Cambria Math"/>
          <w:sz w:val="24"/>
        </w:rPr>
      </w:r>
    </w:p>
    <w:p w14:paraId="46DCF01A" w14:textId="77777777">
      <w:pPr>
        <w:pBdr/>
        <w:spacing w:line="360" w:lineRule="auto"/>
        <w:ind/>
        <w:jc w:val="both"/>
        <w:rPr>
          <w:rFonts w:ascii="Cambria Math" w:hAnsi="Cambria Math" w:cs="Cambria Math"/>
          <w:sz w:val="24"/>
        </w:rPr>
      </w:pPr>
      <w:r>
        <w:rPr>
          <w:rFonts w:ascii="Cambria Math" w:hAnsi="Cambria Math" w:cs="Cambria Math"/>
          <w:sz w:val="24"/>
        </w:rPr>
        <w:t xml:space="preserve">Dispositifs = objet de recherches diversifiées de la part des scientifiques et des industriels pour les évaluer, optimiser fonctionnement, proposer de nouvelles modalités de recherche d’information &amp; comprendre les besoins et attentes des usagers.</w:t>
      </w:r>
      <w:r>
        <w:rPr>
          <w:rFonts w:ascii="Cambria Math" w:hAnsi="Cambria Math" w:cs="Cambria Math"/>
          <w:sz w:val="24"/>
        </w:rPr>
      </w:r>
    </w:p>
    <w:p w14:paraId="24F3E5C5" w14:textId="77777777">
      <w:pPr>
        <w:pBdr/>
        <w:spacing w:line="360" w:lineRule="auto"/>
        <w:ind/>
        <w:jc w:val="both"/>
        <w:rPr>
          <w:rFonts w:ascii="Cambria Math" w:hAnsi="Cambria Math" w:cs="Cambria Math"/>
          <w:sz w:val="24"/>
        </w:rPr>
      </w:pPr>
      <w:r>
        <w:rPr>
          <w:rFonts w:ascii="Cambria Math" w:hAnsi="Cambria Math" w:cs="Cambria Math"/>
          <w:sz w:val="24"/>
        </w:rPr>
        <w:t xml:space="preserve">But du mémoire : mettre en place une enquête d’usage permettant l’évaluation du moteur par le service.</w:t>
      </w:r>
      <w:r>
        <w:rPr>
          <w:rFonts w:ascii="Cambria Math" w:hAnsi="Cambria Math" w:cs="Cambria Math"/>
          <w:sz w:val="24"/>
        </w:rPr>
      </w:r>
    </w:p>
    <w:p w14:paraId="3BC2859E" w14:textId="77777777">
      <w:pPr>
        <w:pBdr/>
        <w:spacing w:line="360" w:lineRule="auto"/>
        <w:ind/>
        <w:jc w:val="both"/>
        <w:rPr>
          <w:rFonts w:ascii="Cambria Math" w:hAnsi="Cambria Math" w:cs="Cambria Math"/>
          <w:sz w:val="24"/>
        </w:rPr>
      </w:pPr>
      <w:r>
        <w:rPr>
          <w:rFonts w:ascii="Cambria Math" w:hAnsi="Cambria Math" w:cs="Cambria Math"/>
          <w:sz w:val="24"/>
        </w:rPr>
        <w:t xml:space="preserve">Introduction</w:t>
      </w:r>
      <w:r>
        <w:rPr>
          <w:rFonts w:ascii="Cambria Math" w:hAnsi="Cambria Math" w:cs="Cambria Math"/>
          <w:sz w:val="24"/>
        </w:rPr>
      </w:r>
    </w:p>
    <w:p w14:paraId="308CCA14" w14:textId="77777777">
      <w:pPr>
        <w:pBdr/>
        <w:spacing w:line="360" w:lineRule="auto"/>
        <w:ind/>
        <w:jc w:val="both"/>
        <w:rPr>
          <w:rFonts w:ascii="Cambria Math" w:hAnsi="Cambria Math" w:cs="Cambria Math"/>
          <w:sz w:val="24"/>
        </w:rPr>
      </w:pPr>
      <w:r>
        <w:rPr>
          <w:rFonts w:ascii="Cambria Math" w:hAnsi="Cambria Math" w:cs="Cambria Math"/>
          <w:sz w:val="24"/>
        </w:rPr>
        <w:t xml:space="preserve">p.11 : les bibliothèques et leurs services numériques testent le </w:t>
      </w:r>
      <w:r>
        <w:rPr>
          <w:rFonts w:ascii="Cambria Math" w:hAnsi="Cambria Math" w:cs="Cambria Math"/>
          <w:sz w:val="24"/>
        </w:rPr>
        <w:t xml:space="preserve">dvlpt</w:t>
      </w:r>
      <w:r>
        <w:rPr>
          <w:rFonts w:ascii="Cambria Math" w:hAnsi="Cambria Math" w:cs="Cambria Math"/>
          <w:sz w:val="24"/>
        </w:rPr>
        <w:t xml:space="preserve"> de divers outils dotés d’IA </w:t>
      </w:r>
      <w:r>
        <w:rPr>
          <w:rFonts w:ascii="Cambria Math" w:hAnsi="Cambria Math" w:cs="Cambria Math"/>
          <w:sz w:val="24"/>
        </w:rPr>
        <w:t xml:space="preserve">ntmt</w:t>
      </w:r>
      <w:r>
        <w:rPr>
          <w:rFonts w:ascii="Cambria Math" w:hAnsi="Cambria Math" w:cs="Cambria Math"/>
          <w:sz w:val="24"/>
        </w:rPr>
        <w:t xml:space="preserve"> en vue de faciliter la recherche en ligne au sein de leurs plateformes. BNL élabore </w:t>
      </w:r>
      <w:r>
        <w:rPr>
          <w:rFonts w:ascii="Cambria Math" w:hAnsi="Cambria Math" w:cs="Cambria Math"/>
          <w:sz w:val="24"/>
        </w:rPr>
        <w:t xml:space="preserve">dps</w:t>
      </w:r>
      <w:r>
        <w:rPr>
          <w:rFonts w:ascii="Cambria Math" w:hAnsi="Cambria Math" w:cs="Cambria Math"/>
          <w:sz w:val="24"/>
        </w:rPr>
        <w:t xml:space="preserve"> 2022 </w:t>
      </w:r>
      <w:r>
        <w:rPr>
          <w:rFonts w:ascii="Cambria Math" w:hAnsi="Cambria Math" w:cs="Cambria Math"/>
          <w:sz w:val="24"/>
        </w:rPr>
        <w:t xml:space="preserve">plsrs</w:t>
      </w:r>
      <w:r>
        <w:rPr>
          <w:rFonts w:ascii="Cambria Math" w:hAnsi="Cambria Math" w:cs="Cambria Math"/>
          <w:sz w:val="24"/>
        </w:rPr>
        <w:t xml:space="preserve"> projets et expérimentations afin d’optimiser la recherche sur leur site de presse. </w:t>
      </w:r>
      <w:r>
        <w:rPr>
          <w:rFonts w:ascii="Cambria Math" w:hAnsi="Cambria Math" w:cs="Cambria Math"/>
          <w:sz w:val="24"/>
        </w:rPr>
        <w:t xml:space="preserve">Oct</w:t>
      </w:r>
      <w:r>
        <w:rPr>
          <w:rFonts w:ascii="Cambria Math" w:hAnsi="Cambria Math" w:cs="Cambria Math"/>
          <w:sz w:val="24"/>
        </w:rPr>
        <w:t xml:space="preserve"> 2023 : présentation de son agent conversationnel (</w:t>
      </w:r>
      <w:r>
        <w:rPr>
          <w:rFonts w:ascii="Cambria Math" w:hAnsi="Cambria Math" w:cs="Cambria Math"/>
          <w:sz w:val="24"/>
        </w:rPr>
        <w:t xml:space="preserve">chatbot</w:t>
      </w:r>
      <w:r>
        <w:rPr>
          <w:rFonts w:ascii="Cambria Math" w:hAnsi="Cambria Math" w:cs="Cambria Math"/>
          <w:sz w:val="24"/>
        </w:rPr>
        <w:t xml:space="preserve">) capable de réaliser des recherches sémantiques et </w:t>
      </w:r>
      <w:r>
        <w:rPr>
          <w:rFonts w:ascii="Cambria Math" w:hAnsi="Cambria Math" w:cs="Cambria Math"/>
          <w:sz w:val="24"/>
        </w:rPr>
        <w:t xml:space="preserve">« de comprendre le français, l’allemand et l’anglais, il assiste les internautes dans l’exploration de l’histoire luxembourgeoise et propose des réponses argumentées en se basant sur des articles de presse historiques ». </w:t>
      </w:r>
      <w:r>
        <w:rPr>
          <w:rFonts w:ascii="Cambria Math" w:hAnsi="Cambria Math" w:cs="Cambria Math"/>
          <w:sz w:val="24"/>
        </w:rPr>
      </w:r>
    </w:p>
    <w:p w14:paraId="24312647" w14:textId="77777777">
      <w:pPr>
        <w:pBdr/>
        <w:spacing w:line="360" w:lineRule="auto"/>
        <w:ind/>
        <w:jc w:val="both"/>
        <w:rPr>
          <w:rFonts w:ascii="Cambria Math" w:hAnsi="Cambria Math" w:cs="Cambria Math"/>
          <w:sz w:val="24"/>
        </w:rPr>
      </w:pPr>
      <w:r>
        <w:rPr>
          <w:rFonts w:ascii="Cambria Math" w:hAnsi="Cambria Math" w:cs="Cambria Math"/>
          <w:sz w:val="24"/>
        </w:rPr>
        <w:t xml:space="preserve">p.12 : recherche de documents et d’inf</w:t>
      </w:r>
      <w:r>
        <w:rPr>
          <w:rFonts w:ascii="Cambria Math" w:hAnsi="Cambria Math" w:cs="Cambria Math"/>
          <w:sz w:val="24"/>
        </w:rPr>
        <w:t xml:space="preserve">ormations en ligne = enjeu crucial. Qualifiée de « troisième révolution industrielle » par de nombreux chercheurs en Sciences de l’Information et de la Communication (SIC). Rupture épistémologique avec les périodes antérieures dans l’accès à l’information.</w:t>
      </w:r>
      <w:r>
        <w:rPr>
          <w:rFonts w:ascii="Cambria Math" w:hAnsi="Cambria Math" w:cs="Cambria Math"/>
          <w:sz w:val="24"/>
        </w:rPr>
        <w:t xml:space="preserve"> RI : nombreuses évolutions </w:t>
      </w:r>
      <w:r>
        <w:rPr>
          <w:rFonts w:ascii="Cambria Math" w:hAnsi="Cambria Math" w:cs="Cambria Math"/>
          <w:sz w:val="24"/>
        </w:rPr>
        <w:t xml:space="preserve">ntmt</w:t>
      </w:r>
      <w:r>
        <w:rPr>
          <w:rFonts w:ascii="Cambria Math" w:hAnsi="Cambria Math" w:cs="Cambria Math"/>
          <w:sz w:val="24"/>
        </w:rPr>
        <w:t xml:space="preserve"> depuis COVID-19 &amp; confinements poussant à la « digitalisation » des usages et des pratiques informationnelles.</w:t>
      </w:r>
      <w:r>
        <w:rPr>
          <w:rFonts w:ascii="Cambria Math" w:hAnsi="Cambria Math" w:cs="Cambria Math"/>
          <w:sz w:val="24"/>
        </w:rPr>
      </w:r>
    </w:p>
    <w:p w14:paraId="0C963070" w14:textId="77777777">
      <w:pPr>
        <w:pBdr/>
        <w:spacing w:line="360" w:lineRule="auto"/>
        <w:ind/>
        <w:jc w:val="both"/>
        <w:rPr>
          <w:rFonts w:ascii="Cambria Math" w:hAnsi="Cambria Math" w:cs="Cambria Math"/>
          <w:sz w:val="24"/>
        </w:rPr>
      </w:pPr>
      <w:r>
        <w:rPr>
          <w:rFonts w:ascii="Cambria Math" w:hAnsi="Cambria Math" w:cs="Cambria Math"/>
          <w:sz w:val="24"/>
        </w:rPr>
        <w:t xml:space="preserve">p</w:t>
      </w:r>
      <w:r>
        <w:rPr>
          <w:rFonts w:ascii="Cambria Math" w:hAnsi="Cambria Math" w:cs="Cambria Math"/>
          <w:sz w:val="24"/>
        </w:rPr>
        <w:t xml:space="preserve">.13 : diffusion des IA dans tous les secteurs de la société (santé, éducation, finance…) avec une adoption rapide, massive et quotidienne par le grand public offrant de nouvelles perspectives pour les services qui s’en saisissent et savent en tirer profit.</w:t>
      </w:r>
      <w:r>
        <w:rPr>
          <w:rFonts w:ascii="Cambria Math" w:hAnsi="Cambria Math" w:cs="Cambria Math"/>
          <w:sz w:val="24"/>
        </w:rPr>
        <w:t xml:space="preserve"> </w:t>
      </w:r>
      <w:r>
        <w:rPr>
          <w:rFonts w:ascii="Cambria Math" w:hAnsi="Cambria Math" w:cs="Cambria Math"/>
          <w:sz w:val="24"/>
        </w:rPr>
        <w:t xml:space="preserve">En France, le</w:t>
      </w:r>
      <w:r>
        <w:rPr>
          <w:rFonts w:ascii="Cambria Math" w:hAnsi="Cambria Math" w:cs="Cambria Math"/>
          <w:sz w:val="24"/>
        </w:rPr>
        <w:t xml:space="preserve"> </w:t>
      </w:r>
      <w:r>
        <w:rPr>
          <w:rFonts w:ascii="Cambria Math" w:hAnsi="Cambria Math" w:cs="Cambria Math"/>
          <w:sz w:val="24"/>
        </w:rPr>
        <w:t xml:space="preserve">ministère de la Culture encourage cette ère d’innovations via la publication en 2021 d’une</w:t>
      </w:r>
      <w:r>
        <w:rPr>
          <w:rFonts w:ascii="Cambria Math" w:hAnsi="Cambria Math" w:cs="Cambria Math"/>
          <w:sz w:val="24"/>
        </w:rPr>
        <w:t xml:space="preserve"> </w:t>
      </w:r>
      <w:r>
        <w:rPr>
          <w:rFonts w:ascii="Cambria Math" w:hAnsi="Cambria Math" w:cs="Cambria Math"/>
          <w:sz w:val="24"/>
        </w:rPr>
        <w:t xml:space="preserve">feuille de route visant à accompagner les services publics dans la compréhension des enjeux et</w:t>
      </w:r>
      <w:r>
        <w:rPr>
          <w:rFonts w:ascii="Cambria Math" w:hAnsi="Cambria Math" w:cs="Cambria Math"/>
          <w:sz w:val="24"/>
        </w:rPr>
        <w:t xml:space="preserve"> </w:t>
      </w:r>
      <w:r>
        <w:rPr>
          <w:rFonts w:ascii="Cambria Math" w:hAnsi="Cambria Math" w:cs="Cambria Math"/>
          <w:sz w:val="24"/>
        </w:rPr>
        <w:t xml:space="preserve">finalités, la mise en place d’outils et de moyens et le pilotage de projets en lien avec les</w:t>
      </w:r>
      <w:r>
        <w:rPr>
          <w:rFonts w:ascii="Cambria Math" w:hAnsi="Cambria Math" w:cs="Cambria Math"/>
          <w:sz w:val="24"/>
        </w:rPr>
        <w:t xml:space="preserve"> </w:t>
      </w:r>
      <w:r>
        <w:rPr>
          <w:rFonts w:ascii="Cambria Math" w:hAnsi="Cambria Math" w:cs="Cambria Math"/>
          <w:sz w:val="24"/>
        </w:rPr>
        <w:t xml:space="preserve">algorithmes et les données, elle prévoit par exemple « Un plan de soutien au secteur du</w:t>
      </w:r>
      <w:r>
        <w:rPr>
          <w:rFonts w:ascii="Cambria Math" w:hAnsi="Cambria Math" w:cs="Cambria Math"/>
          <w:sz w:val="24"/>
        </w:rPr>
        <w:t xml:space="preserve"> </w:t>
      </w:r>
      <w:r>
        <w:rPr>
          <w:rFonts w:ascii="Cambria Math" w:hAnsi="Cambria Math" w:cs="Cambria Math"/>
          <w:sz w:val="24"/>
        </w:rPr>
        <w:t xml:space="preserve">traitement automatisé du langage (TAL)17, domaine identifié comme stratégique pour</w:t>
      </w:r>
      <w:r>
        <w:rPr>
          <w:rFonts w:ascii="Cambria Math" w:hAnsi="Cambria Math" w:cs="Cambria Math"/>
          <w:sz w:val="24"/>
        </w:rPr>
        <w:t xml:space="preserve"> </w:t>
      </w:r>
      <w:r>
        <w:rPr>
          <w:rFonts w:ascii="Cambria Math" w:hAnsi="Cambria Math" w:cs="Cambria Math"/>
          <w:sz w:val="24"/>
        </w:rPr>
        <w:t xml:space="preserve">l’intelligence artificielle souveraine, est à l’étude avec le coordonnateur national pour l’IA »</w:t>
      </w:r>
      <w:r>
        <w:rPr>
          <w:rFonts w:ascii="Cambria Math" w:hAnsi="Cambria Math" w:cs="Cambria Math"/>
          <w:sz w:val="24"/>
        </w:rPr>
        <w:t xml:space="preserve">.</w:t>
      </w:r>
      <w:r>
        <w:rPr>
          <w:rFonts w:ascii="Cambria Math" w:hAnsi="Cambria Math" w:cs="Cambria Math"/>
          <w:sz w:val="24"/>
        </w:rPr>
      </w:r>
    </w:p>
    <w:p w14:paraId="78CCE677" w14:textId="77777777">
      <w:pPr>
        <w:pBdr/>
        <w:spacing w:line="360" w:lineRule="auto"/>
        <w:ind/>
        <w:jc w:val="both"/>
        <w:rPr>
          <w:rFonts w:ascii="Cambria Math" w:hAnsi="Cambria Math" w:cs="Cambria Math"/>
          <w:sz w:val="24"/>
        </w:rPr>
      </w:pPr>
      <w:r>
        <w:rPr>
          <w:rFonts w:ascii="Cambria Math" w:hAnsi="Cambria Math" w:cs="Cambria Math"/>
          <w:sz w:val="24"/>
        </w:rPr>
        <w:t xml:space="preserve">p.16 : objectif de l’enquête en cours depuis 2024 en interne et en externe (audit fonctionnel &amp; enquête d’usages) : évaluer les performances du moteur actuel, connaître les aut</w:t>
      </w:r>
      <w:r>
        <w:rPr>
          <w:rFonts w:ascii="Cambria Math" w:hAnsi="Cambria Math" w:cs="Cambria Math"/>
          <w:sz w:val="24"/>
        </w:rPr>
        <w:t xml:space="preserve">res solutions logicielles sur le marché, sonder les usagers pour comprendre et collecter leurs besoins, leurs attentes, leurs pratiques, leurs problèmes et leurs idées d’améliorations pour produire une feuille de route sur l’évolution de la recherche dans </w:t>
      </w:r>
      <w:r>
        <w:rPr>
          <w:rFonts w:ascii="Cambria Math" w:hAnsi="Cambria Math" w:cs="Cambria Math"/>
          <w:sz w:val="24"/>
        </w:rPr>
        <w:t xml:space="preserve">Gallica</w:t>
      </w:r>
      <w:r>
        <w:rPr>
          <w:rFonts w:ascii="Cambria Math" w:hAnsi="Cambria Math" w:cs="Cambria Math"/>
          <w:sz w:val="24"/>
        </w:rPr>
        <w:t xml:space="preserve"> pour les prochaines années. L</w:t>
      </w:r>
      <w:r>
        <w:rPr>
          <w:rFonts w:ascii="Cambria Math" w:hAnsi="Cambria Math" w:cs="Cambria Math"/>
          <w:sz w:val="24"/>
        </w:rPr>
        <w:t xml:space="preserve">e développement des IA et les nouvelles perspectives ouvertes. Les collections</w:t>
      </w:r>
      <w:r>
        <w:rPr>
          <w:rFonts w:ascii="Cambria Math" w:hAnsi="Cambria Math" w:cs="Cambria Math"/>
          <w:sz w:val="24"/>
        </w:rPr>
        <w:t xml:space="preserve"> </w:t>
      </w:r>
      <w:r>
        <w:rPr>
          <w:rFonts w:ascii="Cambria Math" w:hAnsi="Cambria Math" w:cs="Cambria Math"/>
          <w:sz w:val="24"/>
        </w:rPr>
        <w:t xml:space="preserve">numérisées au sein de la bibliothèque numérique pourraient être directement concernées par</w:t>
      </w:r>
      <w:r>
        <w:rPr>
          <w:rFonts w:ascii="Cambria Math" w:hAnsi="Cambria Math" w:cs="Cambria Math"/>
          <w:sz w:val="24"/>
        </w:rPr>
        <w:t xml:space="preserve"> </w:t>
      </w:r>
      <w:r>
        <w:rPr>
          <w:rFonts w:ascii="Cambria Math" w:hAnsi="Cambria Math" w:cs="Cambria Math"/>
          <w:sz w:val="24"/>
        </w:rPr>
        <w:t xml:space="preserve">différents algorithmes d’intelligence artificielle permettant de transcrire avec encore plus de</w:t>
      </w:r>
      <w:r>
        <w:rPr>
          <w:rFonts w:ascii="Cambria Math" w:hAnsi="Cambria Math" w:cs="Cambria Math"/>
          <w:sz w:val="24"/>
        </w:rPr>
        <w:t xml:space="preserve"> </w:t>
      </w:r>
      <w:r>
        <w:rPr>
          <w:rFonts w:ascii="Cambria Math" w:hAnsi="Cambria Math" w:cs="Cambria Math"/>
          <w:sz w:val="24"/>
        </w:rPr>
        <w:t xml:space="preserve">fiabilité les textes imprimés grâce à l’OCR (Optical </w:t>
      </w:r>
      <w:r>
        <w:rPr>
          <w:rFonts w:ascii="Cambria Math" w:hAnsi="Cambria Math" w:cs="Cambria Math"/>
          <w:sz w:val="24"/>
        </w:rPr>
        <w:t xml:space="preserve">Character</w:t>
      </w:r>
      <w:r>
        <w:rPr>
          <w:rFonts w:ascii="Cambria Math" w:hAnsi="Cambria Math" w:cs="Cambria Math"/>
          <w:sz w:val="24"/>
        </w:rPr>
        <w:t xml:space="preserve"> Recognition, en français :</w:t>
      </w:r>
      <w:r>
        <w:rPr>
          <w:rFonts w:ascii="Cambria Math" w:hAnsi="Cambria Math" w:cs="Cambria Math"/>
          <w:sz w:val="24"/>
        </w:rPr>
        <w:t xml:space="preserve"> </w:t>
      </w:r>
      <w:r>
        <w:rPr>
          <w:rFonts w:ascii="Cambria Math" w:hAnsi="Cambria Math" w:cs="Cambria Math"/>
          <w:sz w:val="24"/>
        </w:rPr>
        <w:t xml:space="preserve">reconnaissance optique de caractères), de transcrire automatiquement les textes manuscrits avec</w:t>
      </w:r>
      <w:r>
        <w:rPr>
          <w:rFonts w:ascii="Cambria Math" w:hAnsi="Cambria Math" w:cs="Cambria Math"/>
          <w:sz w:val="24"/>
        </w:rPr>
        <w:t xml:space="preserve"> </w:t>
      </w:r>
      <w:r>
        <w:rPr>
          <w:rFonts w:ascii="Cambria Math" w:hAnsi="Cambria Math" w:cs="Cambria Math"/>
          <w:sz w:val="24"/>
        </w:rPr>
        <w:t xml:space="preserve">l’HTR (</w:t>
      </w:r>
      <w:r>
        <w:rPr>
          <w:rFonts w:ascii="Cambria Math" w:hAnsi="Cambria Math" w:cs="Cambria Math"/>
          <w:sz w:val="24"/>
        </w:rPr>
        <w:t xml:space="preserve">Handwritten</w:t>
      </w:r>
      <w:r>
        <w:rPr>
          <w:rFonts w:ascii="Cambria Math" w:hAnsi="Cambria Math" w:cs="Cambria Math"/>
          <w:sz w:val="24"/>
        </w:rPr>
        <w:t xml:space="preserve"> </w:t>
      </w:r>
      <w:r>
        <w:rPr>
          <w:rFonts w:ascii="Cambria Math" w:hAnsi="Cambria Math" w:cs="Cambria Math"/>
          <w:sz w:val="24"/>
        </w:rPr>
        <w:t xml:space="preserve">Text</w:t>
      </w:r>
      <w:r>
        <w:rPr>
          <w:rFonts w:ascii="Cambria Math" w:hAnsi="Cambria Math" w:cs="Cambria Math"/>
          <w:sz w:val="24"/>
        </w:rPr>
        <w:t xml:space="preserve"> Recognition ; en français : reconnaissance des écritures manuscrites),</w:t>
      </w:r>
      <w:r>
        <w:rPr>
          <w:rFonts w:ascii="Cambria Math" w:hAnsi="Cambria Math" w:cs="Cambria Math"/>
          <w:sz w:val="24"/>
        </w:rPr>
        <w:t xml:space="preserve"> </w:t>
      </w:r>
      <w:r>
        <w:rPr>
          <w:rFonts w:ascii="Cambria Math" w:hAnsi="Cambria Math" w:cs="Cambria Math"/>
          <w:sz w:val="24"/>
        </w:rPr>
        <w:t xml:space="preserve">de permettre la fouille d’images, la description automatique des documents améliorant</w:t>
      </w:r>
      <w:r>
        <w:rPr>
          <w:rFonts w:ascii="Cambria Math" w:hAnsi="Cambria Math" w:cs="Cambria Math"/>
          <w:sz w:val="24"/>
        </w:rPr>
        <w:t xml:space="preserve"> </w:t>
      </w:r>
      <w:r>
        <w:rPr>
          <w:rFonts w:ascii="Cambria Math" w:hAnsi="Cambria Math" w:cs="Cambria Math"/>
          <w:sz w:val="24"/>
        </w:rPr>
        <w:t xml:space="preserve">l’indexation, etc. Les fonctionnalités de recherche peuvent également en tirer profit comme par</w:t>
      </w:r>
      <w:r>
        <w:rPr>
          <w:rFonts w:ascii="Cambria Math" w:hAnsi="Cambria Math" w:cs="Cambria Math"/>
          <w:sz w:val="24"/>
        </w:rPr>
        <w:t xml:space="preserve"> </w:t>
      </w:r>
      <w:r>
        <w:rPr>
          <w:rFonts w:ascii="Cambria Math" w:hAnsi="Cambria Math" w:cs="Cambria Math"/>
          <w:sz w:val="24"/>
        </w:rPr>
        <w:t xml:space="preserve">la mise en place de </w:t>
      </w:r>
      <w:r>
        <w:rPr>
          <w:rFonts w:ascii="Cambria Math" w:hAnsi="Cambria Math" w:cs="Cambria Math"/>
          <w:sz w:val="24"/>
        </w:rPr>
        <w:t xml:space="preserve">chatbot</w:t>
      </w:r>
      <w:r>
        <w:rPr>
          <w:rFonts w:ascii="Cambria Math" w:hAnsi="Cambria Math" w:cs="Cambria Math"/>
          <w:sz w:val="24"/>
        </w:rPr>
        <w:t xml:space="preserve"> d’aide à la recherche, la génération automatique de mots-clés.</w:t>
      </w:r>
      <w:r>
        <w:rPr>
          <w:rFonts w:ascii="Cambria Math" w:hAnsi="Cambria Math" w:cs="Cambria Math"/>
          <w:sz w:val="24"/>
        </w:rPr>
      </w:r>
    </w:p>
    <w:p w14:paraId="67B262C2" w14:textId="77777777">
      <w:pPr>
        <w:pBdr/>
        <w:spacing w:line="360" w:lineRule="auto"/>
        <w:ind/>
        <w:jc w:val="both"/>
        <w:rPr>
          <w:rFonts w:ascii="Cambria Math" w:hAnsi="Cambria Math" w:cs="Cambria Math"/>
          <w:sz w:val="24"/>
        </w:rPr>
      </w:pPr>
      <w:r>
        <w:rPr>
          <w:rFonts w:ascii="Cambria Math" w:hAnsi="Cambria Math" w:cs="Cambria Math"/>
          <w:sz w:val="24"/>
        </w:rPr>
        <w:t xml:space="preserve">p.17</w:t>
      </w:r>
      <w:r>
        <w:rPr>
          <w:rFonts w:ascii="Cambria Math" w:hAnsi="Cambria Math" w:cs="Cambria Math"/>
          <w:sz w:val="24"/>
        </w:rPr>
        <w:t xml:space="preserve">-18</w:t>
      </w:r>
      <w:r>
        <w:rPr>
          <w:rFonts w:ascii="Cambria Math" w:hAnsi="Cambria Math" w:cs="Cambria Math"/>
          <w:sz w:val="24"/>
        </w:rPr>
        <w:t xml:space="preserve"> : </w:t>
      </w:r>
      <w:r>
        <w:rPr>
          <w:rFonts w:ascii="Cambria Math" w:hAnsi="Cambria Math" w:cs="Cambria Math"/>
          <w:sz w:val="24"/>
        </w:rPr>
        <w:t xml:space="preserve">Interroger les usagers serait alors un bon moyen pour</w:t>
      </w:r>
      <w:r>
        <w:rPr>
          <w:rFonts w:ascii="Cambria Math" w:hAnsi="Cambria Math" w:cs="Cambria Math"/>
          <w:sz w:val="24"/>
        </w:rPr>
        <w:t xml:space="preserve"> </w:t>
      </w:r>
      <w:r>
        <w:rPr>
          <w:rFonts w:ascii="Cambria Math" w:hAnsi="Cambria Math" w:cs="Cambria Math"/>
          <w:sz w:val="24"/>
        </w:rPr>
        <w:t xml:space="preserve">identifier leur taux de satisfaction et les points à améliorer. Donner librement la parole à un</w:t>
      </w:r>
      <w:r>
        <w:rPr>
          <w:rFonts w:ascii="Cambria Math" w:hAnsi="Cambria Math" w:cs="Cambria Math"/>
          <w:sz w:val="24"/>
        </w:rPr>
        <w:t xml:space="preserve"> </w:t>
      </w:r>
      <w:r>
        <w:rPr>
          <w:rFonts w:ascii="Cambria Math" w:hAnsi="Cambria Math" w:cs="Cambria Math"/>
          <w:sz w:val="24"/>
        </w:rPr>
        <w:t xml:space="preserve">large panel d’usagers hétéroclites pourrait permettre d’entrevoir des changements de société,</w:t>
      </w:r>
      <w:r>
        <w:rPr>
          <w:rFonts w:ascii="Cambria Math" w:hAnsi="Cambria Math" w:cs="Cambria Math"/>
          <w:sz w:val="24"/>
        </w:rPr>
        <w:t xml:space="preserve"> </w:t>
      </w:r>
      <w:r>
        <w:rPr>
          <w:rFonts w:ascii="Cambria Math" w:hAnsi="Cambria Math" w:cs="Cambria Math"/>
          <w:sz w:val="24"/>
        </w:rPr>
        <w:t xml:space="preserve">d’appropriation des dispositifs numériques d’accès à l’information et, éventuellement, les</w:t>
      </w:r>
      <w:r>
        <w:rPr>
          <w:rFonts w:ascii="Cambria Math" w:hAnsi="Cambria Math" w:cs="Cambria Math"/>
          <w:sz w:val="24"/>
        </w:rPr>
        <w:t xml:space="preserve"> </w:t>
      </w:r>
      <w:r>
        <w:rPr>
          <w:rFonts w:ascii="Cambria Math" w:hAnsi="Cambria Math" w:cs="Cambria Math"/>
          <w:sz w:val="24"/>
        </w:rPr>
        <w:t xml:space="preserve">évolutions de la recherche d’information dans les prochaines années. Recueillir régulièrement</w:t>
      </w:r>
      <w:r>
        <w:rPr>
          <w:rFonts w:ascii="Cambria Math" w:hAnsi="Cambria Math" w:cs="Cambria Math"/>
          <w:sz w:val="24"/>
        </w:rPr>
        <w:t xml:space="preserve"> </w:t>
      </w:r>
      <w:r>
        <w:rPr>
          <w:rFonts w:ascii="Cambria Math" w:hAnsi="Cambria Math" w:cs="Cambria Math"/>
          <w:sz w:val="24"/>
        </w:rPr>
        <w:t xml:space="preserve">l’avis des usagers servirait alors de baromètre pour suivre et évaluer les évolutions de société</w:t>
      </w:r>
      <w:r>
        <w:rPr>
          <w:rFonts w:ascii="Cambria Math" w:hAnsi="Cambria Math" w:cs="Cambria Math"/>
          <w:sz w:val="24"/>
        </w:rPr>
        <w:t xml:space="preserve"> </w:t>
      </w:r>
      <w:r>
        <w:rPr>
          <w:rFonts w:ascii="Cambria Math" w:hAnsi="Cambria Math" w:cs="Cambria Math"/>
          <w:sz w:val="24"/>
        </w:rPr>
        <w:t xml:space="preserve">et changements dans les pratiques informationnelles. Intégrer les usagers dans le processus de</w:t>
      </w:r>
      <w:r>
        <w:rPr>
          <w:rFonts w:ascii="Cambria Math" w:hAnsi="Cambria Math" w:cs="Cambria Math"/>
          <w:sz w:val="24"/>
        </w:rPr>
        <w:t xml:space="preserve"> </w:t>
      </w:r>
      <w:r>
        <w:rPr>
          <w:rFonts w:ascii="Cambria Math" w:hAnsi="Cambria Math" w:cs="Cambria Math"/>
          <w:sz w:val="24"/>
        </w:rPr>
        <w:t xml:space="preserve">conception ou de co-conception d’un produit ou d’un service permettrait de répondre avec</w:t>
      </w:r>
      <w:r>
        <w:rPr>
          <w:rFonts w:ascii="Cambria Math" w:hAnsi="Cambria Math" w:cs="Cambria Math"/>
          <w:sz w:val="24"/>
        </w:rPr>
        <w:t xml:space="preserve"> </w:t>
      </w:r>
      <w:r>
        <w:rPr>
          <w:rFonts w:ascii="Cambria Math" w:hAnsi="Cambria Math" w:cs="Cambria Math"/>
          <w:sz w:val="24"/>
        </w:rPr>
        <w:t xml:space="preserve">précision à leurs besoins et à leurs attentes. Ce serait également une bonne manière d’éviter les</w:t>
      </w:r>
      <w:r>
        <w:rPr>
          <w:rFonts w:ascii="Cambria Math" w:hAnsi="Cambria Math" w:cs="Cambria Math"/>
          <w:sz w:val="24"/>
        </w:rPr>
        <w:t xml:space="preserve"> </w:t>
      </w:r>
      <w:r>
        <w:rPr>
          <w:rFonts w:ascii="Cambria Math" w:hAnsi="Cambria Math" w:cs="Cambria Math"/>
          <w:sz w:val="24"/>
        </w:rPr>
        <w:t xml:space="preserve">écueils liés à l’éloignement usuels entre concepteurs et utilisateurs d’un service amenant à la</w:t>
      </w:r>
      <w:r>
        <w:rPr>
          <w:rFonts w:ascii="Cambria Math" w:hAnsi="Cambria Math" w:cs="Cambria Math"/>
          <w:sz w:val="24"/>
        </w:rPr>
        <w:t xml:space="preserve"> </w:t>
      </w:r>
      <w:r>
        <w:rPr>
          <w:rFonts w:ascii="Cambria Math" w:hAnsi="Cambria Math" w:cs="Cambria Math"/>
          <w:sz w:val="24"/>
        </w:rPr>
        <w:t xml:space="preserve">création de produits inadaptés au </w:t>
      </w:r>
      <w:r>
        <w:rPr>
          <w:rFonts w:ascii="Cambria Math" w:hAnsi="Cambria Math" w:cs="Cambria Math"/>
          <w:sz w:val="24"/>
        </w:rPr>
        <w:t xml:space="preserve">marché. Engager les usagers dans le développement d’un</w:t>
      </w:r>
      <w:r>
        <w:rPr>
          <w:rFonts w:ascii="Cambria Math" w:hAnsi="Cambria Math" w:cs="Cambria Math"/>
          <w:sz w:val="24"/>
        </w:rPr>
        <w:t xml:space="preserve"> </w:t>
      </w:r>
      <w:r>
        <w:rPr>
          <w:rFonts w:ascii="Cambria Math" w:hAnsi="Cambria Math" w:cs="Cambria Math"/>
          <w:sz w:val="24"/>
        </w:rPr>
        <w:t xml:space="preserve">produit peut également jouer sur l’expérience utilisateur en améliorant la façon dont il est perçu</w:t>
      </w:r>
      <w:r>
        <w:rPr>
          <w:rFonts w:ascii="Cambria Math" w:hAnsi="Cambria Math" w:cs="Cambria Math"/>
          <w:sz w:val="24"/>
        </w:rPr>
        <w:t xml:space="preserve"> </w:t>
      </w:r>
      <w:r>
        <w:rPr>
          <w:rFonts w:ascii="Cambria Math" w:hAnsi="Cambria Math" w:cs="Cambria Math"/>
          <w:sz w:val="24"/>
        </w:rPr>
        <w:t xml:space="preserve">par ces derniers qui se sentent impliqués et entendus. Les usagers n’ont, pour la plupart, pas les</w:t>
      </w:r>
      <w:r>
        <w:rPr>
          <w:rFonts w:ascii="Cambria Math" w:hAnsi="Cambria Math" w:cs="Cambria Math"/>
          <w:sz w:val="24"/>
        </w:rPr>
        <w:t xml:space="preserve"> </w:t>
      </w:r>
      <w:r>
        <w:rPr>
          <w:rFonts w:ascii="Cambria Math" w:hAnsi="Cambria Math" w:cs="Cambria Math"/>
          <w:sz w:val="24"/>
        </w:rPr>
        <w:t xml:space="preserve">compétences techniques pour savoir si leurs idées et propositions sont réalisables mais elles</w:t>
      </w:r>
      <w:r>
        <w:rPr>
          <w:rFonts w:ascii="Cambria Math" w:hAnsi="Cambria Math" w:cs="Cambria Math"/>
          <w:sz w:val="24"/>
        </w:rPr>
        <w:t xml:space="preserve"> </w:t>
      </w:r>
      <w:r>
        <w:rPr>
          <w:rFonts w:ascii="Cambria Math" w:hAnsi="Cambria Math" w:cs="Cambria Math"/>
          <w:sz w:val="24"/>
        </w:rPr>
        <w:t xml:space="preserve">peuvent amener à d’autres pistes</w:t>
      </w:r>
      <w:r>
        <w:rPr>
          <w:rFonts w:ascii="Cambria Math" w:hAnsi="Cambria Math" w:cs="Cambria Math"/>
          <w:sz w:val="24"/>
        </w:rPr>
        <w:t xml:space="preserve">.</w:t>
      </w:r>
      <w:r>
        <w:rPr>
          <w:rFonts w:ascii="Cambria Math" w:hAnsi="Cambria Math" w:cs="Cambria Math"/>
          <w:sz w:val="24"/>
        </w:rPr>
      </w:r>
    </w:p>
    <w:p w14:paraId="41838C29" w14:textId="77777777">
      <w:pPr>
        <w:pBdr/>
        <w:spacing w:line="360" w:lineRule="auto"/>
        <w:ind/>
        <w:jc w:val="both"/>
        <w:rPr>
          <w:rFonts w:ascii="Cambria Math" w:hAnsi="Cambria Math" w:cs="Cambria Math"/>
          <w:sz w:val="24"/>
        </w:rPr>
      </w:pPr>
      <w:r>
        <w:rPr>
          <w:rFonts w:ascii="Cambria Math" w:hAnsi="Cambria Math" w:cs="Cambria Math"/>
          <w:sz w:val="24"/>
        </w:rPr>
        <w:t xml:space="preserve">P. 19 : Partie 1 : de la théorie à la pratique = exploration d’une méthodologie d’enquête adaptée à un terrain et à des besoins spécifiques à partir de lectures théoriques.</w:t>
      </w:r>
      <w:r>
        <w:rPr>
          <w:rFonts w:ascii="Cambria Math" w:hAnsi="Cambria Math" w:cs="Cambria Math"/>
          <w:sz w:val="24"/>
        </w:rPr>
      </w:r>
    </w:p>
    <w:p w14:paraId="6EA4D902" w14:textId="77777777">
      <w:pPr>
        <w:pBdr/>
        <w:spacing w:line="360" w:lineRule="auto"/>
        <w:ind/>
        <w:jc w:val="both"/>
        <w:rPr>
          <w:rFonts w:ascii="Cambria Math" w:hAnsi="Cambria Math" w:cs="Cambria Math"/>
          <w:sz w:val="24"/>
        </w:rPr>
      </w:pPr>
      <w:r>
        <w:rPr>
          <w:rFonts w:ascii="Cambria Math" w:hAnsi="Cambria Math" w:cs="Cambria Math"/>
          <w:sz w:val="24"/>
        </w:rPr>
        <w:t xml:space="preserve">p.22 : TIC = Technologies de l’Information et de la Communication. Définition par l’UNESCO : </w:t>
      </w:r>
      <w:r>
        <w:rPr>
          <w:rFonts w:ascii="Cambria Math" w:hAnsi="Cambria Math" w:cs="Cambria Math"/>
          <w:sz w:val="24"/>
        </w:rPr>
        <w:t xml:space="preserve">« Ensemble d’outils et de ressources technologiques permettant de transmettre,</w:t>
      </w:r>
      <w:r>
        <w:rPr>
          <w:rFonts w:ascii="Cambria Math" w:hAnsi="Cambria Math" w:cs="Cambria Math"/>
          <w:sz w:val="24"/>
        </w:rPr>
        <w:t xml:space="preserve"> </w:t>
      </w:r>
      <w:r>
        <w:rPr>
          <w:rFonts w:ascii="Cambria Math" w:hAnsi="Cambria Math" w:cs="Cambria Math"/>
          <w:sz w:val="24"/>
        </w:rPr>
        <w:t xml:space="preserve">enregistrer, créer, partager ou échanger des informations, notamment les</w:t>
      </w:r>
      <w:r>
        <w:rPr>
          <w:rFonts w:ascii="Cambria Math" w:hAnsi="Cambria Math" w:cs="Cambria Math"/>
          <w:sz w:val="24"/>
        </w:rPr>
        <w:t xml:space="preserve"> </w:t>
      </w:r>
      <w:r>
        <w:rPr>
          <w:rFonts w:ascii="Cambria Math" w:hAnsi="Cambria Math" w:cs="Cambria Math"/>
          <w:sz w:val="24"/>
        </w:rPr>
        <w:t xml:space="preserve">ordinateurs, l’internet (sites Web, blogs et messagerie électronique), les</w:t>
      </w:r>
      <w:r>
        <w:rPr>
          <w:rFonts w:ascii="Cambria Math" w:hAnsi="Cambria Math" w:cs="Cambria Math"/>
          <w:sz w:val="24"/>
        </w:rPr>
        <w:t xml:space="preserve"> </w:t>
      </w:r>
      <w:r>
        <w:rPr>
          <w:rFonts w:ascii="Cambria Math" w:hAnsi="Cambria Math" w:cs="Cambria Math"/>
          <w:sz w:val="24"/>
        </w:rPr>
        <w:t xml:space="preserve">technologies et appareils de diffusion en direct (radio, télévision et diffusion sur</w:t>
      </w:r>
      <w:r>
        <w:rPr>
          <w:rFonts w:ascii="Cambria Math" w:hAnsi="Cambria Math" w:cs="Cambria Math"/>
          <w:sz w:val="24"/>
        </w:rPr>
        <w:t xml:space="preserve"> </w:t>
      </w:r>
      <w:r>
        <w:rPr>
          <w:rFonts w:ascii="Cambria Math" w:hAnsi="Cambria Math" w:cs="Cambria Math"/>
          <w:sz w:val="24"/>
        </w:rPr>
        <w:t xml:space="preserve">l’internet) et en différé (podcast, lecteurs audio et vidéo et supports</w:t>
      </w:r>
      <w:r>
        <w:rPr>
          <w:rFonts w:ascii="Cambria Math" w:hAnsi="Cambria Math" w:cs="Cambria Math"/>
          <w:sz w:val="24"/>
        </w:rPr>
        <w:t xml:space="preserve"> </w:t>
      </w:r>
      <w:r>
        <w:rPr>
          <w:rFonts w:ascii="Cambria Math" w:hAnsi="Cambria Math" w:cs="Cambria Math"/>
          <w:sz w:val="24"/>
        </w:rPr>
        <w:t xml:space="preserve">d’enregistrement) et la téléphonie (fixe ou mobile, satellite, visioconférence,</w:t>
      </w:r>
      <w:r>
        <w:rPr>
          <w:rFonts w:ascii="Cambria Math" w:hAnsi="Cambria Math" w:cs="Cambria Math"/>
          <w:sz w:val="24"/>
        </w:rPr>
        <w:t xml:space="preserve"> </w:t>
      </w:r>
      <w:r>
        <w:rPr>
          <w:rFonts w:ascii="Cambria Math" w:hAnsi="Cambria Math" w:cs="Cambria Math"/>
          <w:sz w:val="24"/>
        </w:rPr>
        <w:t xml:space="preserve">etc.) »</w:t>
      </w:r>
      <w:r>
        <w:rPr>
          <w:rFonts w:ascii="Cambria Math" w:hAnsi="Cambria Math" w:cs="Cambria Math"/>
          <w:sz w:val="24"/>
        </w:rPr>
        <w:t xml:space="preserve">.</w:t>
      </w:r>
      <w:r>
        <w:rPr>
          <w:rFonts w:ascii="Cambria Math" w:hAnsi="Cambria Math" w:cs="Cambria Math"/>
          <w:sz w:val="24"/>
        </w:rPr>
      </w:r>
    </w:p>
    <w:p w14:paraId="452612F1" w14:textId="77777777">
      <w:pPr>
        <w:pBdr/>
        <w:spacing w:line="360" w:lineRule="auto"/>
        <w:ind/>
        <w:jc w:val="both"/>
        <w:rPr>
          <w:rFonts w:ascii="Cambria Math" w:hAnsi="Cambria Math" w:cs="Cambria Math"/>
          <w:sz w:val="24"/>
        </w:rPr>
      </w:pPr>
      <w:r>
        <w:rPr>
          <w:rFonts w:ascii="Cambria Math" w:hAnsi="Cambria Math" w:cs="Cambria Math"/>
          <w:sz w:val="24"/>
        </w:rPr>
        <w:t xml:space="preserve">Évolution des TIC vers les NTIC = Nouvelles Technologies de l’Information et de la Communication</w:t>
      </w:r>
      <w:r>
        <w:rPr>
          <w:rFonts w:ascii="Cambria Math" w:hAnsi="Cambria Math" w:cs="Cambria Math"/>
          <w:sz w:val="24"/>
        </w:rPr>
      </w:r>
    </w:p>
    <w:p w14:paraId="60B19312" w14:textId="77777777">
      <w:pPr>
        <w:pBdr/>
        <w:spacing w:line="360" w:lineRule="auto"/>
        <w:ind/>
        <w:jc w:val="both"/>
        <w:rPr>
          <w:rFonts w:ascii="Cambria Math" w:hAnsi="Cambria Math" w:cs="Cambria Math"/>
          <w:sz w:val="24"/>
        </w:rPr>
      </w:pPr>
      <w:r>
        <w:rPr>
          <w:rFonts w:ascii="Cambria Math" w:hAnsi="Cambria Math" w:cs="Cambria Math"/>
          <w:sz w:val="24"/>
        </w:rPr>
        <w:t xml:space="preserve">p.26-27 : fonctionnement d</w:t>
      </w:r>
      <w:r>
        <w:rPr>
          <w:rFonts w:ascii="Cambria Math" w:hAnsi="Cambria Math" w:cs="Cambria Math"/>
          <w:sz w:val="24"/>
        </w:rPr>
        <w:t xml:space="preserve">es moteurs de recherche : formulée par Emmanuelle Bermes expliquant que ces outils informatiques sont conçus pour retrouver des ressources (données, informations, documents) à partir de requêtes sous forme de mots-clés, baser sur un index que des robots pa</w:t>
      </w:r>
      <w:r>
        <w:rPr>
          <w:rFonts w:ascii="Cambria Math" w:hAnsi="Cambria Math" w:cs="Cambria Math"/>
          <w:sz w:val="24"/>
        </w:rPr>
        <w:t xml:space="preserve">rcourent et analysent continuellement afin de composer les termes e la requête avec ceux de l’index. Concordance des deux = création d’une liste de résultats algorithmiquement pertinents qui sont ensuite classés ou ordonnés selon leur degré de pertinence. </w:t>
      </w:r>
      <w:r>
        <w:rPr>
          <w:rFonts w:ascii="Cambria Math" w:hAnsi="Cambria Math" w:cs="Cambria Math"/>
          <w:sz w:val="24"/>
        </w:rPr>
      </w:r>
    </w:p>
    <w:p w14:paraId="17640C7B" w14:textId="77777777">
      <w:pPr>
        <w:pBdr/>
        <w:spacing w:line="360" w:lineRule="auto"/>
        <w:ind/>
        <w:jc w:val="both"/>
        <w:rPr>
          <w:rFonts w:ascii="Cambria Math" w:hAnsi="Cambria Math" w:cs="Cambria Math"/>
          <w:sz w:val="24"/>
        </w:rPr>
      </w:pPr>
      <w:r>
        <w:rPr>
          <w:rFonts w:ascii="Cambria Math" w:hAnsi="Cambria Math" w:cs="Cambria Math"/>
          <w:sz w:val="24"/>
        </w:rPr>
        <w:t xml:space="preserve">p.30 : monde des bibliothèques numériques, l’augmentation des collections numérisées constitue à la f</w:t>
      </w:r>
      <w:r>
        <w:rPr>
          <w:rFonts w:ascii="Cambria Math" w:hAnsi="Cambria Math" w:cs="Cambria Math"/>
          <w:sz w:val="24"/>
        </w:rPr>
        <w:t xml:space="preserve">ois un avantage pour les lecteurs, leur offrant accès à toujours plus de documents et de connaissances. Risques : difficulté de trouver efficacement les ressources recherchées, surcharge cognitive, difficulté de se repérer parmi l’ensemble de la collection</w:t>
      </w:r>
      <w:r>
        <w:rPr>
          <w:rFonts w:ascii="Cambria Math" w:hAnsi="Cambria Math" w:cs="Cambria Math"/>
          <w:sz w:val="24"/>
        </w:rPr>
      </w:r>
    </w:p>
    <w:p w14:paraId="743F9695" w14:textId="77777777">
      <w:pPr>
        <w:pBdr/>
        <w:spacing w:line="360" w:lineRule="auto"/>
        <w:ind/>
        <w:jc w:val="both"/>
        <w:rPr>
          <w:rFonts w:ascii="Cambria Math" w:hAnsi="Cambria Math" w:cs="Cambria Math"/>
          <w:sz w:val="24"/>
        </w:rPr>
      </w:pPr>
      <w:r>
        <w:rPr>
          <w:rFonts w:ascii="Cambria Math" w:hAnsi="Cambria Math" w:cs="Cambria Math"/>
          <w:sz w:val="24"/>
        </w:rPr>
        <w:t xml:space="preserve">p.31 : usager la RI = effectuée suivant 2 approches distinctes mais complémentaires : recherche orientée par un but ou « </w:t>
      </w:r>
      <w:r>
        <w:rPr>
          <w:rFonts w:ascii="Cambria Math" w:hAnsi="Cambria Math" w:cs="Cambria Math"/>
          <w:sz w:val="24"/>
        </w:rPr>
        <w:t xml:space="preserve">trouvabilité</w:t>
      </w:r>
      <w:r>
        <w:rPr>
          <w:rFonts w:ascii="Cambria Math" w:hAnsi="Cambria Math" w:cs="Cambria Math"/>
          <w:sz w:val="24"/>
        </w:rPr>
        <w:t xml:space="preserve"> » et recherche exploratoire par </w:t>
      </w:r>
      <w:r>
        <w:rPr>
          <w:rFonts w:ascii="Cambria Math" w:hAnsi="Cambria Math" w:cs="Cambria Math"/>
          <w:sz w:val="24"/>
        </w:rPr>
        <w:t xml:space="preserve">sérendipité</w:t>
      </w:r>
      <w:r>
        <w:rPr>
          <w:rFonts w:ascii="Cambria Math" w:hAnsi="Cambria Math" w:cs="Cambria Math"/>
          <w:sz w:val="24"/>
        </w:rPr>
        <w:t xml:space="preserve"> ou « </w:t>
      </w:r>
      <w:r>
        <w:rPr>
          <w:rFonts w:ascii="Cambria Math" w:hAnsi="Cambria Math" w:cs="Cambria Math"/>
          <w:sz w:val="24"/>
        </w:rPr>
        <w:t xml:space="preserve">découvrabilité</w:t>
      </w:r>
      <w:r>
        <w:rPr>
          <w:rFonts w:ascii="Cambria Math" w:hAnsi="Cambria Math" w:cs="Cambria Math"/>
          <w:sz w:val="24"/>
        </w:rPr>
        <w:t xml:space="preserve"> ».</w:t>
      </w:r>
      <w:r>
        <w:rPr>
          <w:rFonts w:ascii="Cambria Math" w:hAnsi="Cambria Math" w:cs="Cambria Math"/>
          <w:sz w:val="24"/>
        </w:rPr>
      </w:r>
    </w:p>
    <w:p w14:paraId="4680D268" w14:textId="77777777">
      <w:pPr>
        <w:pBdr/>
        <w:spacing w:line="360" w:lineRule="auto"/>
        <w:ind/>
        <w:jc w:val="both"/>
        <w:rPr>
          <w:rFonts w:ascii="Cambria Math" w:hAnsi="Cambria Math" w:cs="Cambria Math"/>
          <w:sz w:val="24"/>
        </w:rPr>
      </w:pPr>
      <w:r>
        <w:rPr>
          <w:rFonts w:ascii="Cambria Math" w:hAnsi="Cambria Math" w:cs="Cambria Math"/>
          <w:sz w:val="24"/>
        </w:rPr>
        <w:t xml:space="preserve">1</w:t>
      </w:r>
      <w:r>
        <w:rPr>
          <w:rFonts w:ascii="Cambria Math" w:hAnsi="Cambria Math" w:cs="Cambria Math"/>
          <w:sz w:val="24"/>
          <w:vertAlign w:val="superscript"/>
        </w:rPr>
        <w:t xml:space="preserve">er</w:t>
      </w:r>
      <w:r>
        <w:rPr>
          <w:rFonts w:ascii="Cambria Math" w:hAnsi="Cambria Math" w:cs="Cambria Math"/>
          <w:sz w:val="24"/>
        </w:rPr>
        <w:t xml:space="preserve"> concept : capacité d’un système à permettre à un utilisateur de localiser précisément l’information qu’il cherche, souvent dans le cadre d’une recherche orientée par un but précis et défini en amont. Peter </w:t>
      </w:r>
      <w:r>
        <w:rPr>
          <w:rFonts w:ascii="Cambria Math" w:hAnsi="Cambria Math" w:cs="Cambria Math"/>
          <w:sz w:val="24"/>
        </w:rPr>
        <w:t xml:space="preserve">Morville</w:t>
      </w:r>
      <w:r>
        <w:rPr>
          <w:rFonts w:ascii="Cambria Math" w:hAnsi="Cambria Math" w:cs="Cambria Math"/>
          <w:sz w:val="24"/>
        </w:rPr>
        <w:t xml:space="preserve"> : importance de l’arborescence et de l’architecture de l’information ainsi que la bonne conception des interfaces. </w:t>
      </w:r>
      <w:r>
        <w:rPr>
          <w:rFonts w:ascii="Cambria Math" w:hAnsi="Cambria Math" w:cs="Cambria Math"/>
          <w:sz w:val="24"/>
        </w:rPr>
        <w:t xml:space="preserve">Trouvabilité</w:t>
      </w:r>
      <w:r>
        <w:rPr>
          <w:rFonts w:ascii="Cambria Math" w:hAnsi="Cambria Math" w:cs="Cambria Math"/>
          <w:sz w:val="24"/>
        </w:rPr>
        <w:t xml:space="preserve"> = intrinsèquement liée à la performance du moteur de recherche, à l’organisation des contenus au sein des interfaces, et au design UX et UI qui permettent à l’utilisateur de trouver rapidement, facilement et agréablement ce qu’il cherche.</w:t>
      </w:r>
      <w:r>
        <w:rPr>
          <w:rFonts w:ascii="Cambria Math" w:hAnsi="Cambria Math" w:cs="Cambria Math"/>
          <w:sz w:val="24"/>
        </w:rPr>
      </w:r>
    </w:p>
    <w:p w14:paraId="5714B86C" w14:textId="77777777">
      <w:pPr>
        <w:pBdr/>
        <w:spacing w:line="360" w:lineRule="auto"/>
        <w:ind/>
        <w:jc w:val="both"/>
        <w:rPr>
          <w:rFonts w:ascii="Cambria Math" w:hAnsi="Cambria Math" w:cs="Cambria Math"/>
          <w:sz w:val="24"/>
        </w:rPr>
      </w:pPr>
      <w:r>
        <w:rPr>
          <w:rFonts w:ascii="Cambria Math" w:hAnsi="Cambria Math" w:cs="Cambria Math"/>
          <w:sz w:val="24"/>
        </w:rPr>
        <w:t xml:space="preserve">Découvrabilité</w:t>
      </w:r>
      <w:r>
        <w:rPr>
          <w:rFonts w:ascii="Cambria Math" w:hAnsi="Cambria Math" w:cs="Cambria Math"/>
          <w:sz w:val="24"/>
        </w:rPr>
        <w:t xml:space="preserve"> : capacité d’un système à proposer l’utilisateur des informations ou des documents pertinents vis-à-vis de la requête formulée et dont l’utilisateur n’avait pas fait explicitement la recherche.</w:t>
      </w:r>
      <w:r>
        <w:rPr>
          <w:rFonts w:ascii="Cambria Math" w:hAnsi="Cambria Math" w:cs="Cambria Math"/>
          <w:sz w:val="24"/>
        </w:rPr>
      </w:r>
    </w:p>
    <w:p w14:paraId="50F3DC81" w14:textId="77777777">
      <w:pPr>
        <w:pBdr/>
        <w:spacing w:line="360" w:lineRule="auto"/>
        <w:ind/>
        <w:jc w:val="both"/>
        <w:rPr>
          <w:rFonts w:ascii="Cambria Math" w:hAnsi="Cambria Math" w:cs="Cambria Math"/>
          <w:sz w:val="24"/>
        </w:rPr>
      </w:pPr>
      <w:r>
        <w:rPr>
          <w:rFonts w:ascii="Cambria Math" w:hAnsi="Cambria Math" w:cs="Cambria Math"/>
          <w:sz w:val="24"/>
        </w:rPr>
        <w:t xml:space="preserve">p.32 : </w:t>
      </w:r>
      <w:r>
        <w:rPr>
          <w:rFonts w:ascii="Cambria Math" w:hAnsi="Cambria Math" w:cs="Cambria Math"/>
          <w:sz w:val="24"/>
        </w:rPr>
        <w:t xml:space="preserve">trouvabilité</w:t>
      </w:r>
      <w:r>
        <w:rPr>
          <w:rFonts w:ascii="Cambria Math" w:hAnsi="Cambria Math" w:cs="Cambria Math"/>
          <w:sz w:val="24"/>
        </w:rPr>
        <w:t xml:space="preserve"> = souvent guidée par l’efficacité de la recherche, un usager cherche un document ou une information précise alors la pertinence et la rapidité d’accès sont primordiales.</w:t>
      </w:r>
      <w:r>
        <w:rPr>
          <w:rFonts w:ascii="Cambria Math" w:hAnsi="Cambria Math" w:cs="Cambria Math"/>
          <w:sz w:val="24"/>
        </w:rPr>
      </w:r>
    </w:p>
    <w:p w14:paraId="365F0F77" w14:textId="77777777">
      <w:pPr>
        <w:pBdr/>
        <w:spacing w:line="360" w:lineRule="auto"/>
        <w:ind/>
        <w:jc w:val="both"/>
        <w:rPr>
          <w:rFonts w:ascii="Cambria Math" w:hAnsi="Cambria Math" w:cs="Cambria Math"/>
          <w:sz w:val="24"/>
        </w:rPr>
      </w:pPr>
      <w:r>
        <w:rPr>
          <w:rFonts w:ascii="Cambria Math" w:hAnsi="Cambria Math" w:cs="Cambria Math"/>
          <w:sz w:val="24"/>
        </w:rPr>
        <w:t xml:space="preserve">Découvrabilité</w:t>
      </w:r>
      <w:r>
        <w:rPr>
          <w:rFonts w:ascii="Cambria Math" w:hAnsi="Cambria Math" w:cs="Cambria Math"/>
          <w:sz w:val="24"/>
        </w:rPr>
        <w:t xml:space="preserve"> = volontaire dans le cas d’une recherche exploratoire </w:t>
      </w:r>
      <w:r>
        <w:rPr>
          <w:rFonts w:ascii="Cambria Math" w:hAnsi="Cambria Math" w:cs="Cambria Math"/>
          <w:sz w:val="24"/>
        </w:rPr>
        <w:t xml:space="preserve">ou induite par la sérendipité qui entraîne l’usager à aller au-delà de ce qu’il avait cherché initialement ce qui peut mener à des découvertes inattendues et potentiellement intéressantes.</w:t>
      </w:r>
      <w:r>
        <w:rPr>
          <w:rFonts w:ascii="Cambria Math" w:hAnsi="Cambria Math" w:cs="Cambria Math"/>
          <w:sz w:val="24"/>
        </w:rPr>
      </w:r>
    </w:p>
    <w:p w14:paraId="77E11075" w14:textId="77777777">
      <w:pPr>
        <w:pBdr/>
        <w:spacing w:line="360" w:lineRule="auto"/>
        <w:ind/>
        <w:jc w:val="both"/>
        <w:rPr>
          <w:rFonts w:ascii="Cambria Math" w:hAnsi="Cambria Math" w:cs="Cambria Math"/>
          <w:sz w:val="24"/>
        </w:rPr>
      </w:pPr>
      <w:r>
        <w:rPr>
          <w:rFonts w:ascii="Cambria Math" w:hAnsi="Cambria Math" w:cs="Cambria Math"/>
          <w:sz w:val="24"/>
        </w:rPr>
        <w:t xml:space="preserve">p.34 : utilisation par le GLAM des supports numériques ainsi que de sa diffusion. </w:t>
      </w:r>
      <w:r>
        <w:rPr>
          <w:rFonts w:ascii="Cambria Math" w:hAnsi="Cambria Math" w:cs="Cambria Math"/>
          <w:sz w:val="24"/>
        </w:rPr>
        <w:t xml:space="preserve">Noémie COUILLARD</w:t>
      </w:r>
      <w:r>
        <w:rPr>
          <w:rFonts w:ascii="Cambria Math" w:hAnsi="Cambria Math" w:cs="Cambria Math"/>
          <w:sz w:val="24"/>
        </w:rPr>
        <w:t xml:space="preserve"> </w:t>
      </w:r>
      <w:r>
        <w:rPr>
          <w:rFonts w:ascii="Cambria Math" w:hAnsi="Cambria Math" w:cs="Cambria Math"/>
          <w:sz w:val="24"/>
        </w:rPr>
        <w:t xml:space="preserve">rappelle l’historique de l’adoption du numérique par ces institutions en France expliquant :</w:t>
      </w:r>
      <w:r>
        <w:rPr>
          <w:rFonts w:ascii="Cambria Math" w:hAnsi="Cambria Math" w:cs="Cambria Math"/>
          <w:sz w:val="24"/>
        </w:rPr>
        <w:t xml:space="preserve"> </w:t>
      </w:r>
      <w:r>
        <w:rPr>
          <w:rFonts w:ascii="Cambria Math" w:hAnsi="Cambria Math" w:cs="Cambria Math"/>
          <w:sz w:val="24"/>
        </w:rPr>
        <w:t xml:space="preserve">« L’utilisation de l’informatique par les établissements patrimoniaux et le</w:t>
      </w:r>
      <w:r>
        <w:rPr>
          <w:rFonts w:ascii="Cambria Math" w:hAnsi="Cambria Math" w:cs="Cambria Math"/>
          <w:sz w:val="24"/>
        </w:rPr>
        <w:t xml:space="preserve"> </w:t>
      </w:r>
      <w:r>
        <w:rPr>
          <w:rFonts w:ascii="Cambria Math" w:hAnsi="Cambria Math" w:cs="Cambria Math"/>
          <w:sz w:val="24"/>
        </w:rPr>
        <w:t xml:space="preserve">ministère de la Culture et de la Communication commence à partir de 1975 par</w:t>
      </w:r>
      <w:r>
        <w:rPr>
          <w:rFonts w:ascii="Cambria Math" w:hAnsi="Cambria Math" w:cs="Cambria Math"/>
          <w:sz w:val="24"/>
        </w:rPr>
        <w:t xml:space="preserve"> </w:t>
      </w:r>
      <w:r>
        <w:rPr>
          <w:rFonts w:ascii="Cambria Math" w:hAnsi="Cambria Math" w:cs="Cambria Math"/>
          <w:sz w:val="24"/>
        </w:rPr>
        <w:t xml:space="preserve">la construction des premières bases de données. Ces premiers outils étaient</w:t>
      </w:r>
      <w:r>
        <w:rPr>
          <w:rFonts w:ascii="Cambria Math" w:hAnsi="Cambria Math" w:cs="Cambria Math"/>
          <w:sz w:val="24"/>
        </w:rPr>
        <w:t xml:space="preserve"> </w:t>
      </w:r>
      <w:r>
        <w:rPr>
          <w:rFonts w:ascii="Cambria Math" w:hAnsi="Cambria Math" w:cs="Cambria Math"/>
          <w:sz w:val="24"/>
        </w:rPr>
        <w:t xml:space="preserve">destinés aux professionnel·le·s mais petit à petit les établissements patrimoniaux,</w:t>
      </w:r>
      <w:r>
        <w:rPr>
          <w:rFonts w:ascii="Cambria Math" w:hAnsi="Cambria Math" w:cs="Cambria Math"/>
          <w:sz w:val="24"/>
        </w:rPr>
        <w:t xml:space="preserve"> </w:t>
      </w:r>
      <w:r>
        <w:rPr>
          <w:rFonts w:ascii="Cambria Math" w:hAnsi="Cambria Math" w:cs="Cambria Math"/>
          <w:sz w:val="24"/>
        </w:rPr>
        <w:t xml:space="preserve">et en premier lieu les musées, ont développé des offres numériques à destination</w:t>
      </w:r>
      <w:r>
        <w:rPr>
          <w:rFonts w:ascii="Cambria Math" w:hAnsi="Cambria Math" w:cs="Cambria Math"/>
          <w:sz w:val="24"/>
        </w:rPr>
        <w:t xml:space="preserve"> </w:t>
      </w:r>
      <w:r>
        <w:rPr>
          <w:rFonts w:ascii="Cambria Math" w:hAnsi="Cambria Math" w:cs="Cambria Math"/>
          <w:sz w:val="24"/>
        </w:rPr>
        <w:t xml:space="preserve">des publics. »</w:t>
      </w:r>
      <w:r>
        <w:rPr>
          <w:rFonts w:ascii="Cambria Math" w:hAnsi="Cambria Math" w:cs="Cambria Math"/>
          <w:sz w:val="24"/>
        </w:rPr>
        <w:t xml:space="preserve">.</w:t>
      </w:r>
      <w:r>
        <w:rPr>
          <w:rFonts w:ascii="Cambria Math" w:hAnsi="Cambria Math" w:cs="Cambria Math"/>
          <w:sz w:val="24"/>
        </w:rPr>
      </w:r>
    </w:p>
    <w:p w14:paraId="10415C9B" w14:textId="77777777">
      <w:pPr>
        <w:pBdr/>
        <w:spacing w:line="360" w:lineRule="auto"/>
        <w:ind/>
        <w:jc w:val="both"/>
        <w:rPr>
          <w:rFonts w:ascii="Cambria Math" w:hAnsi="Cambria Math" w:cs="Cambria Math"/>
          <w:sz w:val="24"/>
        </w:rPr>
      </w:pPr>
      <w:r>
        <w:rPr>
          <w:rFonts w:ascii="Cambria Math" w:hAnsi="Cambria Math" w:cs="Cambria Math"/>
          <w:sz w:val="24"/>
        </w:rPr>
        <w:t xml:space="preserve">Numérisation des collections = inscription dans un mouvement pour la culture livre favorisant l’ouverture et l’accès renouvelé aux collections des institutions culturelles. Rapport conflictuel entre ouverture de la culture et droits d’auteur.</w:t>
      </w:r>
      <w:r>
        <w:rPr>
          <w:rFonts w:ascii="Cambria Math" w:hAnsi="Cambria Math" w:cs="Cambria Math"/>
          <w:sz w:val="24"/>
        </w:rPr>
      </w:r>
    </w:p>
    <w:p w14:paraId="368A62C7" w14:textId="77777777">
      <w:pPr>
        <w:pBdr/>
        <w:spacing w:line="360" w:lineRule="auto"/>
        <w:ind/>
        <w:jc w:val="both"/>
        <w:rPr>
          <w:rFonts w:ascii="Cambria Math" w:hAnsi="Cambria Math" w:cs="Cambria Math"/>
          <w:sz w:val="24"/>
        </w:rPr>
      </w:pPr>
      <w:r>
        <w:rPr>
          <w:rFonts w:ascii="Cambria Math" w:hAnsi="Cambria Math" w:cs="Cambria Math"/>
          <w:sz w:val="24"/>
        </w:rPr>
        <w:t xml:space="preserve">p.36 : Question posée par les GLAM =&gt; la recherche documentaire en bibliothèque un monde de catalogues ? question sur l’accès aux documents à la médiation permettant d’accompagner le lecteur dans sa démarche.</w:t>
      </w:r>
      <w:r>
        <w:rPr>
          <w:rFonts w:ascii="Cambria Math" w:hAnsi="Cambria Math" w:cs="Cambria Math"/>
          <w:sz w:val="24"/>
        </w:rPr>
      </w:r>
    </w:p>
    <w:p w14:paraId="75FC362B" w14:textId="77777777">
      <w:pPr>
        <w:pBdr/>
        <w:spacing w:line="360" w:lineRule="auto"/>
        <w:ind/>
        <w:jc w:val="both"/>
        <w:rPr>
          <w:rFonts w:ascii="Cambria Math" w:hAnsi="Cambria Math" w:cs="Cambria Math"/>
          <w:sz w:val="24"/>
        </w:rPr>
      </w:pPr>
      <w:r>
        <w:rPr>
          <w:rFonts w:ascii="Cambria Math" w:hAnsi="Cambria Math" w:cs="Cambria Math"/>
          <w:sz w:val="24"/>
        </w:rPr>
        <w:t xml:space="preserve">p.38 : bibliothèques numériques et nouvelles perspectives pour la RI</w:t>
      </w:r>
      <w:r>
        <w:rPr>
          <w:rFonts w:ascii="Cambria Math" w:hAnsi="Cambria Math" w:cs="Cambria Math"/>
          <w:sz w:val="24"/>
        </w:rPr>
      </w:r>
    </w:p>
    <w:p w14:paraId="67B71391" w14:textId="77777777">
      <w:pPr>
        <w:pBdr/>
        <w:spacing w:line="360" w:lineRule="auto"/>
        <w:ind/>
        <w:jc w:val="both"/>
        <w:rPr>
          <w:rFonts w:ascii="Cambria Math" w:hAnsi="Cambria Math" w:cs="Cambria Math"/>
          <w:sz w:val="24"/>
        </w:rPr>
      </w:pPr>
      <w:r>
        <w:rPr>
          <w:rFonts w:ascii="Cambria Math" w:hAnsi="Cambria Math" w:cs="Cambria Math"/>
          <w:sz w:val="24"/>
        </w:rPr>
        <w:t xml:space="preserve">les</w:t>
      </w:r>
      <w:r>
        <w:rPr>
          <w:rFonts w:ascii="Cambria Math" w:hAnsi="Cambria Math" w:cs="Cambria Math"/>
          <w:sz w:val="24"/>
        </w:rPr>
        <w:t xml:space="preserve"> bibliothèques se sont également saisies du tournant numérique pour créer leurs propres plateformes de diffusion de leurs collections numérisées communément appelées « bibliothèques numériques ».</w:t>
      </w:r>
      <w:r>
        <w:rPr>
          <w:rFonts w:ascii="Cambria Math" w:hAnsi="Cambria Math" w:cs="Cambria Math"/>
          <w:sz w:val="24"/>
        </w:rPr>
      </w:r>
    </w:p>
    <w:p w14:paraId="75769CEE" w14:textId="77777777">
      <w:pPr>
        <w:pBdr/>
        <w:spacing w:line="360" w:lineRule="auto"/>
        <w:ind/>
        <w:jc w:val="both"/>
        <w:rPr>
          <w:rFonts w:ascii="Cambria Math" w:hAnsi="Cambria Math" w:cs="Cambria Math"/>
          <w:sz w:val="24"/>
        </w:rPr>
      </w:pPr>
      <w:r>
        <w:rPr>
          <w:rFonts w:ascii="Cambria Math" w:hAnsi="Cambria Math" w:cs="Cambria Math"/>
          <w:sz w:val="24"/>
        </w:rPr>
        <w:t xml:space="preserve">Bibliothèque numérique encyclopédique ?</w:t>
      </w:r>
      <w:r>
        <w:rPr>
          <w:rFonts w:ascii="Cambria Math" w:hAnsi="Cambria Math" w:cs="Cambria Math"/>
          <w:sz w:val="24"/>
        </w:rPr>
      </w:r>
    </w:p>
    <w:p w14:paraId="626F4EF2" w14:textId="77777777">
      <w:pPr>
        <w:pBdr/>
        <w:spacing w:line="360" w:lineRule="auto"/>
        <w:ind/>
        <w:jc w:val="both"/>
        <w:rPr>
          <w:rFonts w:ascii="Cambria Math" w:hAnsi="Cambria Math" w:cs="Cambria Math"/>
          <w:sz w:val="24"/>
        </w:rPr>
      </w:pPr>
      <w:r>
        <w:rPr>
          <w:rFonts w:ascii="Cambria Math" w:hAnsi="Cambria Math" w:cs="Cambria Math"/>
          <w:sz w:val="24"/>
        </w:rPr>
        <w:t xml:space="preserve">Les premières</w:t>
      </w:r>
      <w:r>
        <w:rPr>
          <w:rFonts w:ascii="Cambria Math" w:hAnsi="Cambria Math" w:cs="Cambria Math"/>
          <w:sz w:val="24"/>
        </w:rPr>
        <w:t xml:space="preserve"> </w:t>
      </w:r>
      <w:r>
        <w:rPr>
          <w:rFonts w:ascii="Cambria Math" w:hAnsi="Cambria Math" w:cs="Cambria Math"/>
          <w:sz w:val="24"/>
        </w:rPr>
        <w:t xml:space="preserve">bibliothèques numériques ont vu le jour à la fin des années 1990, se sont développées dans les</w:t>
      </w:r>
      <w:r>
        <w:rPr>
          <w:rFonts w:ascii="Cambria Math" w:hAnsi="Cambria Math" w:cs="Cambria Math"/>
          <w:sz w:val="24"/>
        </w:rPr>
        <w:t xml:space="preserve"> </w:t>
      </w:r>
      <w:r>
        <w:rPr>
          <w:rFonts w:ascii="Cambria Math" w:hAnsi="Cambria Math" w:cs="Cambria Math"/>
          <w:sz w:val="24"/>
        </w:rPr>
        <w:t xml:space="preserve">années 2000 à 2010 jusqu’à être très largement répandues dans le monde de nos jours. Il serait</w:t>
      </w:r>
      <w:r>
        <w:rPr>
          <w:rFonts w:ascii="Cambria Math" w:hAnsi="Cambria Math" w:cs="Cambria Math"/>
          <w:sz w:val="24"/>
        </w:rPr>
        <w:t xml:space="preserve"> </w:t>
      </w:r>
      <w:r>
        <w:rPr>
          <w:rFonts w:ascii="Cambria Math" w:hAnsi="Cambria Math" w:cs="Cambria Math"/>
          <w:sz w:val="24"/>
        </w:rPr>
        <w:t xml:space="preserve">difficile d’en dresser une liste exhaustive mais certaines initiatives sont notables</w:t>
      </w:r>
      <w:r>
        <w:rPr>
          <w:rFonts w:ascii="Cambria Math" w:hAnsi="Cambria Math" w:cs="Cambria Math"/>
          <w:sz w:val="24"/>
        </w:rPr>
        <w:t xml:space="preserve">.</w:t>
      </w:r>
      <w:r>
        <w:rPr>
          <w:rFonts w:ascii="Cambria Math" w:hAnsi="Cambria Math" w:cs="Cambria Math"/>
          <w:sz w:val="24"/>
        </w:rPr>
      </w:r>
    </w:p>
    <w:p w14:paraId="633476C0" w14:textId="77777777">
      <w:pPr>
        <w:pBdr/>
        <w:spacing w:line="360" w:lineRule="auto"/>
        <w:ind/>
        <w:jc w:val="both"/>
        <w:rPr>
          <w:rFonts w:ascii="Cambria Math" w:hAnsi="Cambria Math" w:cs="Cambria Math"/>
          <w:sz w:val="24"/>
        </w:rPr>
      </w:pPr>
      <w:r>
        <w:rPr>
          <w:rFonts w:ascii="Cambria Math" w:hAnsi="Cambria Math" w:cs="Cambria Math"/>
          <w:sz w:val="24"/>
        </w:rPr>
        <w:t xml:space="preserve">p.39 : </w:t>
      </w:r>
      <w:r>
        <w:rPr>
          <w:rFonts w:ascii="Cambria Math" w:hAnsi="Cambria Math" w:cs="Cambria Math"/>
          <w:sz w:val="24"/>
        </w:rPr>
        <w:t xml:space="preserve">Sophie BERTRAND et Aline GIRARD explorent l'évolution des bibliothèques et des</w:t>
      </w:r>
      <w:r>
        <w:rPr>
          <w:rFonts w:ascii="Cambria Math" w:hAnsi="Cambria Math" w:cs="Cambria Math"/>
          <w:sz w:val="24"/>
        </w:rPr>
        <w:t xml:space="preserve"> </w:t>
      </w:r>
      <w:r>
        <w:rPr>
          <w:rFonts w:ascii="Cambria Math" w:hAnsi="Cambria Math" w:cs="Cambria Math"/>
          <w:sz w:val="24"/>
        </w:rPr>
        <w:t xml:space="preserve">pratiques de lecture, depuis la bibliothèque classique dite de « l’honnête homme » du XVIIe</w:t>
      </w:r>
      <w:r>
        <w:rPr>
          <w:rFonts w:ascii="Cambria Math" w:hAnsi="Cambria Math" w:cs="Cambria Math"/>
          <w:sz w:val="24"/>
        </w:rPr>
        <w:t xml:space="preserve"> </w:t>
      </w:r>
      <w:r>
        <w:rPr>
          <w:rFonts w:ascii="Cambria Math" w:hAnsi="Cambria Math" w:cs="Cambria Math"/>
          <w:sz w:val="24"/>
        </w:rPr>
        <w:t xml:space="preserve">siècle jusqu'à l'utilisateur moderne, surnommé dans le cas de </w:t>
      </w:r>
      <w:r>
        <w:rPr>
          <w:rFonts w:ascii="Cambria Math" w:hAnsi="Cambria Math" w:cs="Cambria Math"/>
          <w:sz w:val="24"/>
        </w:rPr>
        <w:t xml:space="preserve">Gallica</w:t>
      </w:r>
      <w:r>
        <w:rPr>
          <w:rFonts w:ascii="Cambria Math" w:hAnsi="Cambria Math" w:cs="Cambria Math"/>
          <w:sz w:val="24"/>
        </w:rPr>
        <w:t xml:space="preserve"> le « </w:t>
      </w:r>
      <w:r>
        <w:rPr>
          <w:rFonts w:ascii="Cambria Math" w:hAnsi="Cambria Math" w:cs="Cambria Math"/>
          <w:sz w:val="24"/>
        </w:rPr>
        <w:t xml:space="preserve">Gallicanaute</w:t>
      </w:r>
      <w:r>
        <w:rPr>
          <w:rFonts w:ascii="Cambria Math" w:hAnsi="Cambria Math" w:cs="Cambria Math"/>
          <w:sz w:val="24"/>
        </w:rPr>
        <w:t xml:space="preserve"> »</w:t>
      </w:r>
      <w:r>
        <w:rPr>
          <w:rFonts w:ascii="Cambria Math" w:hAnsi="Cambria Math" w:cs="Cambria Math"/>
          <w:sz w:val="24"/>
        </w:rPr>
        <w:t xml:space="preserve">. </w:t>
      </w:r>
      <w:r>
        <w:rPr>
          <w:rFonts w:ascii="Cambria Math" w:hAnsi="Cambria Math" w:cs="Cambria Math"/>
          <w:sz w:val="24"/>
        </w:rPr>
        <w:t xml:space="preserve">Elles y explorent notamment comment la bibliothèque numérique transforme l'accès à</w:t>
      </w:r>
      <w:r>
        <w:rPr>
          <w:rFonts w:ascii="Cambria Math" w:hAnsi="Cambria Math" w:cs="Cambria Math"/>
          <w:sz w:val="24"/>
        </w:rPr>
        <w:t xml:space="preserve"> </w:t>
      </w:r>
      <w:r>
        <w:rPr>
          <w:rFonts w:ascii="Cambria Math" w:hAnsi="Cambria Math" w:cs="Cambria Math"/>
          <w:sz w:val="24"/>
        </w:rPr>
        <w:t xml:space="preserve">l'information et modifie les pratiques de lecture, en offrant une vaste quantité de ressources</w:t>
      </w:r>
      <w:r>
        <w:rPr>
          <w:rFonts w:ascii="Cambria Math" w:hAnsi="Cambria Math" w:cs="Cambria Math"/>
          <w:sz w:val="24"/>
        </w:rPr>
        <w:t xml:space="preserve"> </w:t>
      </w:r>
      <w:r>
        <w:rPr>
          <w:rFonts w:ascii="Cambria Math" w:hAnsi="Cambria Math" w:cs="Cambria Math"/>
          <w:sz w:val="24"/>
        </w:rPr>
        <w:t xml:space="preserve">accessibles à un public toujours plus diversifié.</w:t>
      </w:r>
      <w:r>
        <w:rPr>
          <w:rFonts w:ascii="Cambria Math" w:hAnsi="Cambria Math" w:cs="Cambria Math"/>
          <w:sz w:val="24"/>
        </w:rPr>
      </w:r>
    </w:p>
    <w:p w14:paraId="6EBC7F9C" w14:textId="77777777">
      <w:pPr>
        <w:pBdr/>
        <w:spacing w:line="360" w:lineRule="auto"/>
        <w:ind/>
        <w:jc w:val="both"/>
        <w:rPr>
          <w:rFonts w:ascii="Cambria Math" w:hAnsi="Cambria Math" w:cs="Cambria Math"/>
          <w:sz w:val="24"/>
        </w:rPr>
      </w:pPr>
      <w:r>
        <w:rPr>
          <w:rFonts w:ascii="Cambria Math" w:hAnsi="Cambria Math" w:cs="Cambria Math"/>
          <w:sz w:val="24"/>
        </w:rPr>
        <w:t xml:space="preserve">Très étudiées dans le domaine des SIC, les bibliothèques numériques font notamment</w:t>
      </w:r>
      <w:r>
        <w:rPr>
          <w:rFonts w:ascii="Cambria Math" w:hAnsi="Cambria Math" w:cs="Cambria Math"/>
          <w:sz w:val="24"/>
        </w:rPr>
        <w:t xml:space="preserve"> </w:t>
      </w:r>
      <w:r>
        <w:rPr>
          <w:rFonts w:ascii="Cambria Math" w:hAnsi="Cambria Math" w:cs="Cambria Math"/>
          <w:sz w:val="24"/>
        </w:rPr>
        <w:t xml:space="preserve">l’objet de recherche en sémiotique au sujet de l’industrialisation des formes documentaires</w:t>
      </w:r>
      <w:r>
        <w:rPr>
          <w:rFonts w:ascii="Cambria Math" w:hAnsi="Cambria Math" w:cs="Cambria Math"/>
          <w:sz w:val="24"/>
        </w:rPr>
        <w:t xml:space="preserve"> </w:t>
      </w:r>
      <w:r>
        <w:rPr>
          <w:rFonts w:ascii="Cambria Math" w:hAnsi="Cambria Math" w:cs="Cambria Math"/>
          <w:sz w:val="24"/>
        </w:rPr>
        <w:t xml:space="preserve">questionnant les rapports entre médiation et communication, en ethnographie par exemple</w:t>
      </w:r>
      <w:r>
        <w:rPr>
          <w:rFonts w:ascii="Cambria Math" w:hAnsi="Cambria Math" w:cs="Cambria Math"/>
          <w:sz w:val="24"/>
        </w:rPr>
        <w:t xml:space="preserve"> </w:t>
      </w:r>
      <w:r>
        <w:rPr>
          <w:rFonts w:ascii="Cambria Math" w:hAnsi="Cambria Math" w:cs="Cambria Math"/>
          <w:sz w:val="24"/>
        </w:rPr>
        <w:t xml:space="preserve">en envisageant le numérique dans une perspective spatiale ou en science ouverte notamment</w:t>
      </w:r>
      <w:r>
        <w:rPr>
          <w:rFonts w:ascii="Cambria Math" w:hAnsi="Cambria Math" w:cs="Cambria Math"/>
          <w:sz w:val="24"/>
        </w:rPr>
        <w:t xml:space="preserve"> </w:t>
      </w:r>
      <w:r>
        <w:rPr>
          <w:rFonts w:ascii="Cambria Math" w:hAnsi="Cambria Math" w:cs="Cambria Math"/>
          <w:sz w:val="24"/>
        </w:rPr>
        <w:t xml:space="preserve">via la réflexion sur l’ouverture des données et l’application des principes FAIR (</w:t>
      </w:r>
      <w:r>
        <w:rPr>
          <w:rFonts w:ascii="Cambria Math" w:hAnsi="Cambria Math" w:cs="Cambria Math"/>
          <w:sz w:val="24"/>
        </w:rPr>
        <w:t xml:space="preserve">Findable</w:t>
      </w:r>
      <w:r>
        <w:rPr>
          <w:rFonts w:ascii="Cambria Math" w:hAnsi="Cambria Math" w:cs="Cambria Math"/>
          <w:sz w:val="24"/>
        </w:rPr>
        <w:t xml:space="preserve">,</w:t>
      </w:r>
      <w:r>
        <w:rPr>
          <w:rFonts w:ascii="Cambria Math" w:hAnsi="Cambria Math" w:cs="Cambria Math"/>
          <w:sz w:val="24"/>
        </w:rPr>
        <w:t xml:space="preserve"> </w:t>
      </w:r>
      <w:r>
        <w:rPr>
          <w:rFonts w:ascii="Cambria Math" w:hAnsi="Cambria Math" w:cs="Cambria Math"/>
          <w:sz w:val="24"/>
        </w:rPr>
        <w:t xml:space="preserve">Accessible, </w:t>
      </w:r>
      <w:r>
        <w:rPr>
          <w:rFonts w:ascii="Cambria Math" w:hAnsi="Cambria Math" w:cs="Cambria Math"/>
          <w:sz w:val="24"/>
        </w:rPr>
        <w:t xml:space="preserve">Interoperable</w:t>
      </w:r>
      <w:r>
        <w:rPr>
          <w:rFonts w:ascii="Cambria Math" w:hAnsi="Cambria Math" w:cs="Cambria Math"/>
          <w:sz w:val="24"/>
        </w:rPr>
        <w:t xml:space="preserve">, </w:t>
      </w:r>
      <w:r>
        <w:rPr>
          <w:rFonts w:ascii="Cambria Math" w:hAnsi="Cambria Math" w:cs="Cambria Math"/>
          <w:sz w:val="24"/>
        </w:rPr>
        <w:t xml:space="preserve">Reusable</w:t>
      </w:r>
      <w:r>
        <w:rPr>
          <w:rFonts w:ascii="Cambria Math" w:hAnsi="Cambria Math" w:cs="Cambria Math"/>
          <w:sz w:val="24"/>
        </w:rPr>
        <w:t xml:space="preserve">, en français : Faciles à trouver, Accessibles, Interopérables</w:t>
      </w:r>
      <w:r>
        <w:rPr>
          <w:rFonts w:ascii="Cambria Math" w:hAnsi="Cambria Math" w:cs="Cambria Math"/>
          <w:sz w:val="24"/>
        </w:rPr>
        <w:t xml:space="preserve"> </w:t>
      </w:r>
      <w:r>
        <w:rPr>
          <w:rFonts w:ascii="Cambria Math" w:hAnsi="Cambria Math" w:cs="Cambria Math"/>
          <w:sz w:val="24"/>
        </w:rPr>
        <w:t xml:space="preserve">et Réutilisables) dans les bibliothèques numériques</w:t>
      </w:r>
      <w:r>
        <w:rPr>
          <w:rFonts w:ascii="Cambria Math" w:hAnsi="Cambria Math" w:cs="Cambria Math"/>
          <w:sz w:val="24"/>
        </w:rPr>
        <w:t xml:space="preserve">.</w:t>
      </w:r>
      <w:r>
        <w:rPr>
          <w:rFonts w:ascii="Cambria Math" w:hAnsi="Cambria Math" w:cs="Cambria Math"/>
          <w:sz w:val="24"/>
        </w:rPr>
      </w:r>
    </w:p>
    <w:p w14:paraId="50787809" w14:textId="77777777">
      <w:pPr>
        <w:pBdr/>
        <w:spacing w:line="360" w:lineRule="auto"/>
        <w:ind/>
        <w:jc w:val="both"/>
        <w:rPr>
          <w:rFonts w:ascii="Cambria Math" w:hAnsi="Cambria Math" w:cs="Cambria Math"/>
          <w:sz w:val="24"/>
        </w:rPr>
      </w:pPr>
      <w:r>
        <w:rPr>
          <w:rFonts w:ascii="Cambria Math" w:hAnsi="Cambria Math" w:cs="Cambria Math"/>
          <w:sz w:val="24"/>
        </w:rPr>
        <w:t xml:space="preserve">p.40 : évolutions des bibliothèques numériques passant d’interfaces basées sur des facettes et leurs limites à des interfaces visualisées offrant une expérience utilisateur plus dynamique et une exploration visuelle dans les collections. </w:t>
      </w:r>
      <w:r>
        <w:rPr>
          <w:rFonts w:ascii="Cambria Math" w:hAnsi="Cambria Math" w:cs="Cambria Math"/>
          <w:sz w:val="24"/>
        </w:rPr>
      </w:r>
    </w:p>
    <w:p w14:paraId="38A1CE8E" w14:textId="77777777">
      <w:pPr>
        <w:pBdr/>
        <w:spacing w:line="360" w:lineRule="auto"/>
        <w:ind/>
        <w:jc w:val="both"/>
        <w:rPr>
          <w:rFonts w:ascii="Cambria Math" w:hAnsi="Cambria Math" w:cs="Cambria Math"/>
          <w:sz w:val="24"/>
        </w:rPr>
      </w:pPr>
      <w:r>
        <w:rPr>
          <w:rFonts w:ascii="Cambria Math" w:hAnsi="Cambria Math" w:cs="Cambria Math"/>
          <w:sz w:val="24"/>
        </w:rPr>
        <w:t xml:space="preserve">La</w:t>
      </w:r>
      <w:r>
        <w:rPr>
          <w:rFonts w:ascii="Cambria Math" w:hAnsi="Cambria Math" w:cs="Cambria Math"/>
          <w:sz w:val="24"/>
        </w:rPr>
        <w:t xml:space="preserve"> </w:t>
      </w:r>
      <w:r>
        <w:rPr>
          <w:rFonts w:ascii="Cambria Math" w:hAnsi="Cambria Math" w:cs="Cambria Math"/>
          <w:sz w:val="24"/>
        </w:rPr>
        <w:t xml:space="preserve">conservation des documents numériques produits pour la BN (Bibliothèque Numérique) et la</w:t>
      </w:r>
      <w:r>
        <w:rPr>
          <w:rFonts w:ascii="Cambria Math" w:hAnsi="Cambria Math" w:cs="Cambria Math"/>
          <w:sz w:val="24"/>
        </w:rPr>
        <w:t xml:space="preserve"> </w:t>
      </w:r>
      <w:r>
        <w:rPr>
          <w:rFonts w:ascii="Cambria Math" w:hAnsi="Cambria Math" w:cs="Cambria Math"/>
          <w:sz w:val="24"/>
        </w:rPr>
        <w:t xml:space="preserve">pérennité des données font également l’objet d’une attention toute particulière étant donnée leur</w:t>
      </w:r>
      <w:r>
        <w:rPr>
          <w:rFonts w:ascii="Cambria Math" w:hAnsi="Cambria Math" w:cs="Cambria Math"/>
          <w:sz w:val="24"/>
        </w:rPr>
        <w:t xml:space="preserve"> </w:t>
      </w:r>
      <w:r>
        <w:rPr>
          <w:rFonts w:ascii="Cambria Math" w:hAnsi="Cambria Math" w:cs="Cambria Math"/>
          <w:sz w:val="24"/>
        </w:rPr>
        <w:t xml:space="preserve">fragilité :</w:t>
      </w:r>
      <w:r>
        <w:rPr>
          <w:rFonts w:ascii="Cambria Math" w:hAnsi="Cambria Math" w:cs="Cambria Math"/>
          <w:sz w:val="24"/>
        </w:rPr>
        <w:t xml:space="preserve"> </w:t>
      </w:r>
      <w:r>
        <w:rPr>
          <w:rFonts w:ascii="Cambria Math" w:hAnsi="Cambria Math" w:cs="Cambria Math"/>
          <w:sz w:val="24"/>
        </w:rPr>
        <w:t xml:space="preserve">« La préservation et la transmission de collections papier font vraiment partie</w:t>
      </w:r>
      <w:r>
        <w:rPr>
          <w:rFonts w:ascii="Cambria Math" w:hAnsi="Cambria Math" w:cs="Cambria Math"/>
          <w:sz w:val="24"/>
        </w:rPr>
        <w:t xml:space="preserve"> </w:t>
      </w:r>
      <w:r>
        <w:rPr>
          <w:rFonts w:ascii="Cambria Math" w:hAnsi="Cambria Math" w:cs="Cambria Math"/>
          <w:sz w:val="24"/>
        </w:rPr>
        <w:t xml:space="preserve">du savoir-faire des conservateurs. Pour l’information numérique, cela nécessite</w:t>
      </w:r>
      <w:r>
        <w:rPr>
          <w:rFonts w:ascii="Cambria Math" w:hAnsi="Cambria Math" w:cs="Cambria Math"/>
          <w:sz w:val="24"/>
        </w:rPr>
        <w:t xml:space="preserve"> </w:t>
      </w:r>
      <w:r>
        <w:rPr>
          <w:rFonts w:ascii="Cambria Math" w:hAnsi="Cambria Math" w:cs="Cambria Math"/>
          <w:sz w:val="24"/>
        </w:rPr>
        <w:t xml:space="preserve">l’acquisition de nouveaux savoirs et une vigilance beaucoup plus forte. Les</w:t>
      </w:r>
      <w:r>
        <w:rPr>
          <w:rFonts w:ascii="Cambria Math" w:hAnsi="Cambria Math" w:cs="Cambria Math"/>
          <w:sz w:val="24"/>
        </w:rPr>
        <w:t xml:space="preserve"> </w:t>
      </w:r>
      <w:r>
        <w:rPr>
          <w:rFonts w:ascii="Cambria Math" w:hAnsi="Cambria Math" w:cs="Cambria Math"/>
          <w:sz w:val="24"/>
        </w:rPr>
        <w:t xml:space="preserve">collections numériques sont fragiles en ce sens que la perte d’information peut</w:t>
      </w:r>
      <w:r>
        <w:rPr>
          <w:rFonts w:ascii="Cambria Math" w:hAnsi="Cambria Math" w:cs="Cambria Math"/>
          <w:sz w:val="24"/>
        </w:rPr>
        <w:t xml:space="preserve"> </w:t>
      </w:r>
      <w:r>
        <w:rPr>
          <w:rFonts w:ascii="Cambria Math" w:hAnsi="Cambria Math" w:cs="Cambria Math"/>
          <w:sz w:val="24"/>
        </w:rPr>
        <w:t xml:space="preserve">être irrémédiable »</w:t>
      </w:r>
      <w:r>
        <w:rPr>
          <w:rFonts w:ascii="Cambria Math" w:hAnsi="Cambria Math" w:cs="Cambria Math"/>
          <w:sz w:val="24"/>
        </w:rPr>
        <w:t xml:space="preserve">.</w:t>
      </w:r>
      <w:r>
        <w:rPr>
          <w:rFonts w:ascii="Cambria Math" w:hAnsi="Cambria Math" w:cs="Cambria Math"/>
          <w:sz w:val="24"/>
        </w:rPr>
      </w:r>
    </w:p>
    <w:p w14:paraId="327DFCE5" w14:textId="77777777">
      <w:pPr>
        <w:pBdr/>
        <w:spacing w:line="360" w:lineRule="auto"/>
        <w:ind/>
        <w:jc w:val="both"/>
        <w:rPr>
          <w:rFonts w:ascii="Cambria Math" w:hAnsi="Cambria Math" w:cs="Cambria Math"/>
          <w:sz w:val="24"/>
        </w:rPr>
      </w:pPr>
      <w:r>
        <w:rPr>
          <w:rFonts w:ascii="Cambria Math" w:hAnsi="Cambria Math" w:cs="Cambria Math"/>
          <w:sz w:val="24"/>
        </w:rPr>
        <w:t xml:space="preserve">Un souci de conservation qui doit être présent « dès la création d’un document et non</w:t>
      </w:r>
      <w:r>
        <w:rPr>
          <w:rFonts w:ascii="Cambria Math" w:hAnsi="Cambria Math" w:cs="Cambria Math"/>
          <w:sz w:val="24"/>
        </w:rPr>
        <w:t xml:space="preserve"> </w:t>
      </w:r>
      <w:r>
        <w:rPr>
          <w:rFonts w:ascii="Cambria Math" w:hAnsi="Cambria Math" w:cs="Cambria Math"/>
          <w:sz w:val="24"/>
        </w:rPr>
        <w:t xml:space="preserve">pas lors de la phase de distribution » du document. Par ailleurs, la diversité documentaire</w:t>
      </w:r>
      <w:r>
        <w:rPr>
          <w:rFonts w:ascii="Cambria Math" w:hAnsi="Cambria Math" w:cs="Cambria Math"/>
          <w:sz w:val="24"/>
        </w:rPr>
        <w:t xml:space="preserve"> </w:t>
      </w:r>
      <w:r>
        <w:rPr>
          <w:rFonts w:ascii="Cambria Math" w:hAnsi="Cambria Math" w:cs="Cambria Math"/>
          <w:sz w:val="24"/>
        </w:rPr>
        <w:t xml:space="preserve">toujours plus vaste impose de s’intéresser aux autres types de documents que l’écrit (imprimé</w:t>
      </w:r>
      <w:r>
        <w:rPr>
          <w:rFonts w:ascii="Cambria Math" w:hAnsi="Cambria Math" w:cs="Cambria Math"/>
          <w:sz w:val="24"/>
        </w:rPr>
        <w:t xml:space="preserve"> </w:t>
      </w:r>
      <w:r>
        <w:rPr>
          <w:rFonts w:ascii="Cambria Math" w:hAnsi="Cambria Math" w:cs="Cambria Math"/>
          <w:sz w:val="24"/>
        </w:rPr>
        <w:t xml:space="preserve">ou manuscrit) notamment au travers des documents iconographiques ou audiovisuels qui</w:t>
      </w:r>
      <w:r>
        <w:rPr>
          <w:rFonts w:ascii="Cambria Math" w:hAnsi="Cambria Math" w:cs="Cambria Math"/>
          <w:sz w:val="24"/>
        </w:rPr>
        <w:t xml:space="preserve"> </w:t>
      </w:r>
      <w:r>
        <w:rPr>
          <w:rFonts w:ascii="Cambria Math" w:hAnsi="Cambria Math" w:cs="Cambria Math"/>
          <w:sz w:val="24"/>
        </w:rPr>
        <w:t xml:space="preserve">imposent de repenser les modalités de recherche au sein des bibliothèques numériques</w:t>
      </w:r>
      <w:r>
        <w:rPr>
          <w:rFonts w:ascii="Cambria Math" w:hAnsi="Cambria Math" w:cs="Cambria Math"/>
          <w:sz w:val="24"/>
        </w:rPr>
        <w:t xml:space="preserve">, </w:t>
      </w:r>
      <w:r>
        <w:rPr>
          <w:rFonts w:ascii="Cambria Math" w:hAnsi="Cambria Math" w:cs="Cambria Math"/>
          <w:sz w:val="24"/>
        </w:rPr>
        <w:t xml:space="preserve">originellement pensées pour le texte</w:t>
      </w:r>
      <w:r>
        <w:rPr>
          <w:rFonts w:ascii="Cambria Math" w:hAnsi="Cambria Math" w:cs="Cambria Math"/>
          <w:sz w:val="24"/>
        </w:rPr>
        <w:t xml:space="preserve">.</w:t>
      </w:r>
      <w:r>
        <w:rPr>
          <w:rFonts w:ascii="Cambria Math" w:hAnsi="Cambria Math" w:cs="Cambria Math"/>
          <w:sz w:val="24"/>
        </w:rPr>
      </w:r>
    </w:p>
    <w:p w14:paraId="265BB8D5" w14:textId="77777777">
      <w:pPr>
        <w:pBdr/>
        <w:spacing w:line="360" w:lineRule="auto"/>
        <w:ind/>
        <w:jc w:val="both"/>
        <w:rPr>
          <w:rFonts w:ascii="Cambria Math" w:hAnsi="Cambria Math" w:cs="Cambria Math"/>
          <w:sz w:val="24"/>
        </w:rPr>
      </w:pPr>
      <w:r>
        <w:rPr>
          <w:rFonts w:ascii="Cambria Math" w:hAnsi="Cambria Math" w:cs="Cambria Math"/>
          <w:sz w:val="24"/>
        </w:rPr>
        <w:t xml:space="preserve">p.41 : </w:t>
      </w:r>
      <w:r>
        <w:rPr>
          <w:rFonts w:ascii="Cambria Math" w:hAnsi="Cambria Math" w:cs="Cambria Math"/>
          <w:sz w:val="24"/>
        </w:rPr>
        <w:t xml:space="preserve">sans cesse repenser et</w:t>
      </w:r>
      <w:r>
        <w:rPr>
          <w:rFonts w:ascii="Cambria Math" w:hAnsi="Cambria Math" w:cs="Cambria Math"/>
          <w:sz w:val="24"/>
        </w:rPr>
        <w:t xml:space="preserve"> </w:t>
      </w:r>
      <w:r>
        <w:rPr>
          <w:rFonts w:ascii="Cambria Math" w:hAnsi="Cambria Math" w:cs="Cambria Math"/>
          <w:sz w:val="24"/>
        </w:rPr>
        <w:t xml:space="preserve">adapter les modalités de recherche des bibliothèques numériques à diverses évolutions :</w:t>
      </w:r>
      <w:r>
        <w:rPr>
          <w:rFonts w:ascii="Cambria Math" w:hAnsi="Cambria Math" w:cs="Cambria Math"/>
          <w:sz w:val="24"/>
        </w:rPr>
        <w:t xml:space="preserve"> </w:t>
      </w:r>
      <w:r>
        <w:rPr>
          <w:rFonts w:ascii="Cambria Math" w:hAnsi="Cambria Math" w:cs="Cambria Math"/>
          <w:sz w:val="24"/>
        </w:rPr>
        <w:t xml:space="preserve">augmentation des collections, diversification des documents, nouveaux paradigmes de</w:t>
      </w:r>
      <w:r>
        <w:rPr>
          <w:rFonts w:ascii="Cambria Math" w:hAnsi="Cambria Math" w:cs="Cambria Math"/>
          <w:sz w:val="24"/>
        </w:rPr>
        <w:t xml:space="preserve"> </w:t>
      </w:r>
      <w:r>
        <w:rPr>
          <w:rFonts w:ascii="Cambria Math" w:hAnsi="Cambria Math" w:cs="Cambria Math"/>
          <w:sz w:val="24"/>
        </w:rPr>
        <w:t xml:space="preserve">recherche, transformation des usages, fragmentation des ressources numériques</w:t>
      </w:r>
      <w:r>
        <w:rPr>
          <w:rFonts w:ascii="Cambria Math" w:hAnsi="Cambria Math" w:cs="Cambria Math"/>
          <w:sz w:val="24"/>
        </w:rPr>
        <w:t xml:space="preserve">.</w:t>
      </w:r>
      <w:r>
        <w:rPr>
          <w:rFonts w:ascii="Cambria Math" w:hAnsi="Cambria Math" w:cs="Cambria Math"/>
          <w:sz w:val="24"/>
        </w:rPr>
      </w:r>
    </w:p>
    <w:p w14:paraId="27CE7C7A" w14:textId="77777777">
      <w:pPr>
        <w:pBdr/>
        <w:spacing w:line="360" w:lineRule="auto"/>
        <w:ind/>
        <w:jc w:val="both"/>
        <w:rPr>
          <w:rFonts w:ascii="Cambria Math" w:hAnsi="Cambria Math" w:cs="Cambria Math"/>
          <w:sz w:val="24"/>
        </w:rPr>
      </w:pPr>
      <w:r>
        <w:rPr>
          <w:rFonts w:ascii="Cambria Math" w:hAnsi="Cambria Math" w:cs="Cambria Math"/>
          <w:sz w:val="24"/>
        </w:rPr>
        <w:t xml:space="preserve">p.45 : renouveau des questionnements au regard du développement des IA &amp; des agents conversationnels. </w:t>
      </w:r>
      <w:r>
        <w:rPr>
          <w:rFonts w:ascii="Cambria Math" w:hAnsi="Cambria Math" w:cs="Cambria Math"/>
          <w:sz w:val="24"/>
        </w:rPr>
      </w:r>
    </w:p>
    <w:p w14:paraId="378A1788" w14:textId="77777777">
      <w:pPr>
        <w:pBdr/>
        <w:spacing w:line="360" w:lineRule="auto"/>
        <w:ind/>
        <w:jc w:val="both"/>
        <w:rPr>
          <w:rFonts w:ascii="Cambria Math" w:hAnsi="Cambria Math" w:cs="Cambria Math"/>
          <w:sz w:val="24"/>
        </w:rPr>
      </w:pPr>
      <w:r>
        <w:rPr>
          <w:rFonts w:ascii="Cambria Math" w:hAnsi="Cambria Math" w:cs="Cambria Math"/>
          <w:sz w:val="24"/>
        </w:rPr>
        <w:t xml:space="preserve">p.49 : faire attention à l’enfermement de l’usager dans une « bulle de filtres ». </w:t>
      </w:r>
      <w:r>
        <w:rPr>
          <w:rFonts w:ascii="Cambria Math" w:hAnsi="Cambria Math" w:cs="Cambria Math"/>
          <w:sz w:val="24"/>
        </w:rPr>
        <w:t xml:space="preserve">intérêt</w:t>
      </w:r>
      <w:r>
        <w:rPr>
          <w:rFonts w:ascii="Cambria Math" w:hAnsi="Cambria Math" w:cs="Cambria Math"/>
          <w:sz w:val="24"/>
        </w:rPr>
        <w:t xml:space="preserve"> de ces algorithmes : « face à l’augmentation exponentielle du volume d’informations disponibles, les systèmes de tri ou de filtrage sont devenus indispensables et permettent d’éviter le phénomène de surabondance de choix ».</w:t>
      </w:r>
      <w:r>
        <w:rPr>
          <w:rFonts w:ascii="Cambria Math" w:hAnsi="Cambria Math" w:cs="Cambria Math"/>
          <w:sz w:val="24"/>
        </w:rPr>
      </w:r>
    </w:p>
    <w:p w14:paraId="47B5939F" w14:textId="77777777">
      <w:pPr>
        <w:pBdr/>
        <w:spacing w:line="360" w:lineRule="auto"/>
        <w:ind/>
        <w:jc w:val="both"/>
        <w:rPr>
          <w:rFonts w:ascii="Cambria Math" w:hAnsi="Cambria Math" w:cs="Cambria Math"/>
          <w:sz w:val="24"/>
        </w:rPr>
      </w:pPr>
      <w:r>
        <w:rPr>
          <w:rFonts w:ascii="Cambria Math" w:hAnsi="Cambria Math" w:cs="Cambria Math"/>
          <w:sz w:val="24"/>
        </w:rPr>
        <w:t xml:space="preserve">rôle</w:t>
      </w:r>
      <w:r>
        <w:rPr>
          <w:rFonts w:ascii="Cambria Math" w:hAnsi="Cambria Math" w:cs="Cambria Math"/>
          <w:sz w:val="24"/>
        </w:rPr>
        <w:t xml:space="preserve"> des algorithmes de faciliter la recherche de l’usager comme l’explique Marc Menard.</w:t>
      </w:r>
      <w:r>
        <w:rPr>
          <w:rFonts w:ascii="Cambria Math" w:hAnsi="Cambria Math" w:cs="Cambria Math"/>
          <w:sz w:val="24"/>
        </w:rPr>
      </w:r>
    </w:p>
    <w:p w14:paraId="1BED2516" w14:textId="77777777">
      <w:pPr>
        <w:pBdr/>
        <w:spacing w:line="360" w:lineRule="auto"/>
        <w:ind/>
        <w:jc w:val="both"/>
        <w:rPr>
          <w:rFonts w:ascii="Cambria Math" w:hAnsi="Cambria Math" w:cs="Cambria Math"/>
          <w:sz w:val="24"/>
        </w:rPr>
      </w:pPr>
      <w:r>
        <w:rPr>
          <w:rFonts w:ascii="Cambria Math" w:hAnsi="Cambria Math" w:cs="Cambria Math"/>
          <w:sz w:val="24"/>
        </w:rPr>
        <w:t xml:space="preserve">p.52 : volonté de la BNF de faire évoluer son moteur. La direction du service a souhaité évaluer la recherche à la fois du point de vue du système et dans une perspective orientée usagers. Un audit </w:t>
      </w:r>
      <w:r>
        <w:rPr>
          <w:rFonts w:ascii="Cambria Math" w:hAnsi="Cambria Math" w:cs="Cambria Math"/>
          <w:sz w:val="24"/>
        </w:rPr>
        <w:t xml:space="preserve">fonctionnel a été commandé à un prestataire afin d’évaluer les performances actuelles du moteur et de sa brique logicielle, de réaliser un état de l’art sur les solutions actuellement sur le marché qui pourraient correspondre aux besoins et contraintes de </w:t>
      </w:r>
      <w:r>
        <w:rPr>
          <w:rFonts w:ascii="Cambria Math" w:hAnsi="Cambria Math" w:cs="Cambria Math"/>
          <w:sz w:val="24"/>
        </w:rPr>
        <w:t xml:space="preserve">Gallica</w:t>
      </w:r>
      <w:r>
        <w:rPr>
          <w:rFonts w:ascii="Cambria Math" w:hAnsi="Cambria Math" w:cs="Cambria Math"/>
          <w:sz w:val="24"/>
        </w:rPr>
        <w:t xml:space="preserve"> et qui sont dotés d’outils d’IA et de proposer des recommandations pour l’amélioration à court et à long terme de la recherche dans </w:t>
      </w:r>
      <w:r>
        <w:rPr>
          <w:rFonts w:ascii="Cambria Math" w:hAnsi="Cambria Math" w:cs="Cambria Math"/>
          <w:sz w:val="24"/>
        </w:rPr>
        <w:t xml:space="preserve">Gallica</w:t>
      </w:r>
      <w:r>
        <w:rPr>
          <w:rFonts w:ascii="Cambria Math" w:hAnsi="Cambria Math" w:cs="Cambria Math"/>
          <w:sz w:val="24"/>
        </w:rPr>
        <w:t xml:space="preserve">.</w:t>
      </w:r>
      <w:r>
        <w:rPr>
          <w:rFonts w:ascii="Cambria Math" w:hAnsi="Cambria Math" w:cs="Cambria Math"/>
          <w:sz w:val="24"/>
        </w:rPr>
      </w:r>
    </w:p>
    <w:p w14:paraId="73B48D2A" w14:textId="77777777">
      <w:pPr>
        <w:pBdr/>
        <w:spacing w:line="360" w:lineRule="auto"/>
        <w:ind/>
        <w:jc w:val="both"/>
        <w:rPr>
          <w:rFonts w:ascii="Cambria Math" w:hAnsi="Cambria Math" w:cs="Cambria Math"/>
          <w:sz w:val="24"/>
        </w:rPr>
      </w:pPr>
      <w:r>
        <w:rPr>
          <w:rFonts w:ascii="Cambria Math" w:hAnsi="Cambria Math" w:cs="Cambria Math"/>
          <w:sz w:val="24"/>
        </w:rPr>
      </w:r>
      <w:r>
        <w:rPr>
          <w:rFonts w:ascii="Cambria Math" w:hAnsi="Cambria Math" w:cs="Cambria Math"/>
          <w:sz w:val="24"/>
        </w:rPr>
      </w:r>
    </w:p>
    <w:p w14:paraId="70986BBB" w14:textId="77777777">
      <w:pPr>
        <w:pBdr/>
        <w:spacing w:line="360" w:lineRule="auto"/>
        <w:ind/>
        <w:jc w:val="both"/>
        <w:rPr>
          <w:rFonts w:ascii="Cambria Math" w:hAnsi="Cambria Math" w:cs="Cambria Math"/>
          <w:sz w:val="24"/>
        </w:rPr>
      </w:pPr>
      <w:r>
        <w:rPr>
          <w:rFonts w:ascii="Cambria Math" w:hAnsi="Cambria Math" w:cs="Cambria Math"/>
          <w:sz w:val="24"/>
        </w:rPr>
      </w:r>
      <w:r>
        <w:rPr>
          <w:rFonts w:ascii="Cambria Math" w:hAnsi="Cambria Math" w:cs="Cambria Math"/>
          <w:sz w:val="24"/>
        </w:rPr>
      </w:r>
    </w:p>
    <w:p w14:paraId="2269DF4B" w14:textId="77777777">
      <w:pPr>
        <w:pBdr/>
        <w:spacing w:line="360" w:lineRule="auto"/>
        <w:ind/>
        <w:jc w:val="both"/>
        <w:rPr>
          <w:rFonts w:ascii="Cambria Math" w:hAnsi="Cambria Math" w:cs="Cambria Math"/>
          <w:sz w:val="24"/>
        </w:rPr>
      </w:pPr>
      <w:r>
        <w:rPr>
          <w:rFonts w:ascii="Cambria Math" w:hAnsi="Cambria Math" w:cs="Cambria Math"/>
          <w:sz w:val="24"/>
        </w:rPr>
      </w:r>
      <w:r>
        <w:rPr>
          <w:rFonts w:ascii="Cambria Math" w:hAnsi="Cambria Math" w:cs="Cambria Math"/>
          <w:sz w:val="24"/>
        </w:rPr>
      </w:r>
    </w:p>
    <w:p w14:paraId="52A80B8C" w14:textId="77777777">
      <w:pPr>
        <w:pBdr/>
        <w:spacing w:line="360" w:lineRule="auto"/>
        <w:ind/>
        <w:jc w:val="both"/>
        <w:rPr>
          <w:rFonts w:ascii="Cambria Math" w:hAnsi="Cambria Math" w:cs="Cambria Math"/>
          <w:sz w:val="24"/>
        </w:rPr>
      </w:pPr>
      <w:r>
        <w:rPr>
          <w:rFonts w:ascii="Cambria Math" w:hAnsi="Cambria Math" w:cs="Cambria Math"/>
          <w:sz w:val="24"/>
        </w:rPr>
      </w:r>
      <w:r>
        <w:rPr>
          <w:rFonts w:ascii="Cambria Math" w:hAnsi="Cambria Math" w:cs="Cambria Math"/>
          <w:sz w:val="24"/>
        </w:rPr>
      </w:r>
    </w:p>
    <w:p w14:paraId="13CFE8C2" w14:textId="77777777">
      <w:pPr>
        <w:pStyle w:val="677"/>
        <w:pBdr/>
        <w:spacing/>
        <w:ind/>
        <w:jc w:val="both"/>
        <w:rPr>
          <w:rFonts w:asciiTheme="minorHAnsi" w:hAnsiTheme="minorHAnsi" w:cstheme="minorHAnsi"/>
          <w:b/>
          <w:bCs/>
          <w:sz w:val="28"/>
          <w:szCs w:val="28"/>
        </w:rPr>
      </w:pPr>
      <w:r>
        <w:rPr>
          <w:rFonts w:asciiTheme="minorHAnsi" w:hAnsiTheme="minorHAnsi" w:cstheme="minorHAnsi"/>
          <w:b/>
          <w:bCs/>
          <w:color w:val="000000" w:themeColor="text1"/>
          <w:sz w:val="28"/>
          <w:szCs w:val="28"/>
        </w:rPr>
        <w:t xml:space="preserve">Creusot Thomas, Quelles perspectives pour des politiques de numérisation patrimoniale écoresponsables ?, Diplôme de conservateur de bibliothèque, mémoire d’étude, Université de Lyon, mars 2024.</w:t>
      </w:r>
      <w:r>
        <w:rPr>
          <w:rFonts w:asciiTheme="minorHAnsi" w:hAnsiTheme="minorHAnsi" w:cstheme="minorHAnsi"/>
          <w:b/>
          <w:bCs/>
          <w:sz w:val="28"/>
          <w:szCs w:val="28"/>
        </w:rPr>
      </w:r>
    </w:p>
    <w:p w14:paraId="2A21075C" w14:textId="77777777">
      <w:pPr>
        <w:pBdr/>
        <w:spacing w:line="360" w:lineRule="auto"/>
        <w:ind/>
        <w:jc w:val="both"/>
        <w:rPr>
          <w:rFonts w:ascii="Cambria Math" w:hAnsi="Cambria Math" w:cs="Cambria Math"/>
          <w:sz w:val="24"/>
        </w:rPr>
      </w:pPr>
      <w:r>
        <w:rPr>
          <w:rFonts w:ascii="Cambria Math" w:hAnsi="Cambria Math" w:cs="Cambria Math"/>
          <w:sz w:val="24"/>
        </w:rPr>
        <w:t xml:space="preserve">Résumé : Récemment mis en lumière, l’impact environnemental du numérique est une préoccupation grandissante. Dans ce contexte, concilier la poursuite des objectifs de la responsabilité environnementale apparaît comme un </w:t>
      </w:r>
      <w:r>
        <w:rPr>
          <w:rFonts w:ascii="Cambria Math" w:hAnsi="Cambria Math" w:cs="Cambria Math"/>
          <w:sz w:val="24"/>
        </w:rPr>
        <w:t xml:space="preserve">défi nouveau pour les bibliothèques. Une gestion efficiente de la ressource numérique nécessite la mise en œuvre de bonnes pratiques, à chaque étape de la chaîne de numérisation, depuis la prise de vue jusqu’à la pérennisation des données, en passant par l</w:t>
      </w:r>
      <w:r>
        <w:rPr>
          <w:rFonts w:ascii="Cambria Math" w:hAnsi="Cambria Math" w:cs="Cambria Math"/>
          <w:sz w:val="24"/>
        </w:rPr>
        <w:t xml:space="preserve">a conception des bibliothèques numériques. L’impératif environnemental invite également à repenser les stratégies de numérisation, en les inscrivant dans un écosystème digital durable et tendant à la sobriété, qui n’exclut pas l’enjeu de l’impact sociétal.</w:t>
      </w:r>
      <w:r>
        <w:rPr>
          <w:rFonts w:ascii="Cambria Math" w:hAnsi="Cambria Math" w:cs="Cambria Math"/>
          <w:sz w:val="24"/>
        </w:rPr>
      </w:r>
    </w:p>
    <w:p w14:paraId="502426B1" w14:textId="77777777">
      <w:pPr>
        <w:pBdr/>
        <w:spacing w:line="360" w:lineRule="auto"/>
        <w:ind/>
        <w:jc w:val="both"/>
        <w:rPr>
          <w:rFonts w:ascii="Cambria Math" w:hAnsi="Cambria Math" w:cs="Cambria Math"/>
          <w:sz w:val="24"/>
        </w:rPr>
      </w:pPr>
      <w:r>
        <w:rPr>
          <w:rFonts w:ascii="Cambria Math" w:hAnsi="Cambria Math" w:cs="Cambria Math"/>
          <w:sz w:val="24"/>
        </w:rPr>
        <w:t xml:space="preserve">p.9 : prise de conscience de l’impact environnemental du numérique est chose récente. Marqué par le développement de l’Internet grand public, du smartphone et des réseaux sociaux et par l’entrée soudaine dans </w:t>
      </w:r>
      <w:r>
        <w:rPr>
          <w:rFonts w:ascii="Cambria Math" w:hAnsi="Cambria Math" w:cs="Cambria Math"/>
          <w:sz w:val="24"/>
        </w:rPr>
        <w:t xml:space="preserve">lère</w:t>
      </w:r>
      <w:r>
        <w:rPr>
          <w:rFonts w:ascii="Cambria Math" w:hAnsi="Cambria Math" w:cs="Cambria Math"/>
          <w:sz w:val="24"/>
        </w:rPr>
        <w:t xml:space="preserve"> du </w:t>
      </w:r>
      <w:r>
        <w:rPr>
          <w:rFonts w:ascii="Cambria Math" w:hAnsi="Cambria Math" w:cs="Cambria Math"/>
          <w:sz w:val="24"/>
        </w:rPr>
        <w:t xml:space="preserve">big</w:t>
      </w:r>
      <w:r>
        <w:rPr>
          <w:rFonts w:ascii="Cambria Math" w:hAnsi="Cambria Math" w:cs="Cambria Math"/>
          <w:sz w:val="24"/>
        </w:rPr>
        <w:t xml:space="preserve"> data et de l’économie es données personnelles.</w:t>
      </w:r>
      <w:r>
        <w:rPr>
          <w:rFonts w:ascii="Cambria Math" w:hAnsi="Cambria Math" w:cs="Cambria Math"/>
          <w:sz w:val="24"/>
        </w:rPr>
      </w:r>
    </w:p>
    <w:p w14:paraId="15ED3F14" w14:textId="77777777">
      <w:pPr>
        <w:pBdr/>
        <w:spacing w:line="360" w:lineRule="auto"/>
        <w:ind/>
        <w:jc w:val="both"/>
        <w:rPr>
          <w:rFonts w:ascii="Cambria Math" w:hAnsi="Cambria Math" w:cs="Cambria Math"/>
          <w:sz w:val="24"/>
        </w:rPr>
      </w:pPr>
      <w:r>
        <w:rPr>
          <w:rFonts w:ascii="Cambria Math" w:hAnsi="Cambria Math" w:cs="Cambria Math"/>
          <w:sz w:val="24"/>
        </w:rPr>
        <w:t xml:space="preserve">Début des années 2000 : accélération de la numérisation =&gt; production et exploitation de quantités de données massives.</w:t>
      </w:r>
      <w:r>
        <w:rPr>
          <w:rFonts w:ascii="Cambria Math" w:hAnsi="Cambria Math" w:cs="Cambria Math"/>
          <w:sz w:val="24"/>
        </w:rPr>
        <w:t xml:space="preserve">  Amplification à prévoir avec la généralisation es objets connectés et le déploiement de l’IA.</w:t>
      </w:r>
      <w:r>
        <w:rPr>
          <w:rFonts w:ascii="Cambria Math" w:hAnsi="Cambria Math" w:cs="Cambria Math"/>
          <w:sz w:val="24"/>
        </w:rPr>
      </w:r>
    </w:p>
    <w:p w14:paraId="49998F86" w14:textId="77777777">
      <w:pPr>
        <w:pBdr/>
        <w:spacing w:line="360" w:lineRule="auto"/>
        <w:ind/>
        <w:jc w:val="both"/>
        <w:rPr>
          <w:rFonts w:ascii="Cambria Math" w:hAnsi="Cambria Math" w:cs="Cambria Math"/>
          <w:sz w:val="24"/>
        </w:rPr>
      </w:pPr>
      <w:r>
        <w:rPr>
          <w:rFonts w:ascii="Cambria Math" w:hAnsi="Cambria Math" w:cs="Cambria Math"/>
          <w:sz w:val="24"/>
        </w:rPr>
        <w:t xml:space="preserve">Numérisation patrimoniale : fonder sa légitimité sur la recherche de l’intérêt général.</w:t>
      </w:r>
      <w:r>
        <w:rPr>
          <w:rFonts w:ascii="Cambria Math" w:hAnsi="Cambria Math" w:cs="Cambria Math"/>
          <w:sz w:val="24"/>
        </w:rPr>
      </w:r>
    </w:p>
    <w:p w14:paraId="2323D66E" w14:textId="77777777">
      <w:pPr>
        <w:pBdr/>
        <w:spacing w:line="360" w:lineRule="auto"/>
        <w:ind/>
        <w:jc w:val="both"/>
        <w:rPr>
          <w:rFonts w:ascii="Cambria Math" w:hAnsi="Cambria Math" w:cs="Cambria Math"/>
          <w:sz w:val="24"/>
        </w:rPr>
      </w:pPr>
      <w:r>
        <w:rPr>
          <w:rFonts w:ascii="Cambria Math" w:hAnsi="Cambria Math" w:cs="Cambria Math"/>
          <w:sz w:val="24"/>
        </w:rPr>
        <w:t xml:space="preserve">Trois missions confiées aux bibliothèques : préservation et conservation des collections (en proposant un substitut numérique aux originaux trop fragiles ; en matériel), diffusion et val</w:t>
      </w:r>
      <w:r>
        <w:rPr>
          <w:rFonts w:ascii="Cambria Math" w:hAnsi="Cambria Math" w:cs="Cambria Math"/>
          <w:sz w:val="24"/>
        </w:rPr>
        <w:t xml:space="preserve">orisation du patrimoine (à des fins culturelles, scientifiques et pédagogiques) ; amélioration des services rendus aux usagers (accès facilité, modalités de consultation améliorées, exploitation, recherche et appropriation des corpus des outils logiciels).</w:t>
      </w:r>
      <w:r>
        <w:rPr>
          <w:rFonts w:ascii="Cambria Math" w:hAnsi="Cambria Math" w:cs="Cambria Math"/>
          <w:sz w:val="24"/>
        </w:rPr>
      </w:r>
    </w:p>
    <w:p w14:paraId="30E61021" w14:textId="77777777">
      <w:pPr>
        <w:pBdr/>
        <w:spacing w:line="360" w:lineRule="auto"/>
        <w:ind/>
        <w:jc w:val="both"/>
        <w:rPr>
          <w:rFonts w:ascii="Cambria Math" w:hAnsi="Cambria Math" w:cs="Cambria Math"/>
          <w:sz w:val="24"/>
        </w:rPr>
      </w:pPr>
      <w:r>
        <w:rPr>
          <w:rFonts w:ascii="Cambria Math" w:hAnsi="Cambria Math" w:cs="Cambria Math"/>
          <w:sz w:val="24"/>
        </w:rPr>
        <w:t xml:space="preserve">Présence des bibliothèques : pas innocent dans l’écosystème numérique : politiques de numérisation patrimoniale produisent des données numériques, dont le cycle de vie pas sans effet = production, stockage et pérennisation : consommateurs d’énergie. </w:t>
      </w:r>
      <w:r>
        <w:rPr>
          <w:rFonts w:ascii="Cambria Math" w:hAnsi="Cambria Math" w:cs="Cambria Math"/>
          <w:sz w:val="24"/>
        </w:rPr>
      </w:r>
    </w:p>
    <w:p w14:paraId="0505977C" w14:textId="77777777">
      <w:pPr>
        <w:pBdr/>
        <w:spacing w:line="360" w:lineRule="auto"/>
        <w:ind/>
        <w:jc w:val="both"/>
        <w:rPr>
          <w:rFonts w:ascii="Cambria Math" w:hAnsi="Cambria Math" w:cs="Cambria Math"/>
          <w:sz w:val="24"/>
        </w:rPr>
      </w:pPr>
      <w:r>
        <w:rPr>
          <w:rFonts w:ascii="Cambria Math" w:hAnsi="Cambria Math" w:cs="Cambria Math"/>
          <w:sz w:val="24"/>
        </w:rPr>
        <w:t xml:space="preserve">Appareils de prise de vue (numériseurs ou appareils photo) =&gt; équipement à forte composante électronique.</w:t>
      </w:r>
      <w:r>
        <w:rPr>
          <w:rFonts w:ascii="Cambria Math" w:hAnsi="Cambria Math" w:cs="Cambria Math"/>
          <w:sz w:val="24"/>
        </w:rPr>
      </w:r>
    </w:p>
    <w:p w14:paraId="42912D30" w14:textId="77777777">
      <w:pPr>
        <w:pBdr/>
        <w:spacing w:line="360" w:lineRule="auto"/>
        <w:ind/>
        <w:jc w:val="both"/>
        <w:rPr>
          <w:rFonts w:ascii="Cambria Math" w:hAnsi="Cambria Math" w:cs="Cambria Math"/>
          <w:sz w:val="24"/>
        </w:rPr>
      </w:pPr>
      <w:r>
        <w:rPr>
          <w:rFonts w:ascii="Cambria Math" w:hAnsi="Cambria Math" w:cs="Cambria Math"/>
          <w:sz w:val="24"/>
        </w:rPr>
        <w:t xml:space="preserve">p.10 : numérisation patrimoniale amène à la création de portails et de services numériques nécessaire lorsque cette question est envisagée d’avancer sur deux axes : garder à la fois à l’esprit la modestie de l’impact des numér</w:t>
      </w:r>
      <w:r>
        <w:rPr>
          <w:rFonts w:ascii="Cambria Math" w:hAnsi="Cambria Math" w:cs="Cambria Math"/>
          <w:sz w:val="24"/>
        </w:rPr>
        <w:t xml:space="preserve">isations patrimoniales contrebalancés par l’ensemble des « externalités positives » induites pour la numérisation des documents patrimoniaux), et la réalité de la responsabilité qu’engagent les bibliothèques patrimoniales en affirmant leur présence dans l’</w:t>
      </w:r>
      <w:r>
        <w:rPr>
          <w:rFonts w:ascii="Cambria Math" w:hAnsi="Cambria Math" w:cs="Cambria Math"/>
          <w:sz w:val="24"/>
        </w:rPr>
        <w:t xml:space="preserve">écosystème digital.</w:t>
      </w:r>
      <w:r>
        <w:rPr>
          <w:rFonts w:ascii="Cambria Math" w:hAnsi="Cambria Math" w:cs="Cambria Math"/>
          <w:sz w:val="24"/>
        </w:rPr>
      </w:r>
    </w:p>
    <w:p w14:paraId="567F6CAB" w14:textId="77777777">
      <w:pPr>
        <w:pBdr/>
        <w:spacing w:line="360" w:lineRule="auto"/>
        <w:ind/>
        <w:jc w:val="both"/>
        <w:rPr>
          <w:rFonts w:ascii="Cambria Math" w:hAnsi="Cambria Math" w:cs="Cambria Math"/>
          <w:sz w:val="24"/>
        </w:rPr>
      </w:pPr>
      <w:r>
        <w:rPr>
          <w:rFonts w:ascii="Cambria Math" w:hAnsi="Cambria Math" w:cs="Cambria Math"/>
          <w:sz w:val="24"/>
        </w:rPr>
        <w:t xml:space="preserve">Impact des activités numériques : objet d’un constat partagé. Mesurer l’impact </w:t>
      </w:r>
      <w:r>
        <w:rPr>
          <w:rFonts w:ascii="Cambria Math" w:hAnsi="Cambria Math" w:cs="Cambria Math"/>
          <w:sz w:val="24"/>
        </w:rPr>
        <w:t xml:space="preserve">environnemental du numérique : distinction entre les effets directs </w:t>
      </w:r>
      <w:r>
        <w:rPr>
          <w:rFonts w:ascii="Cambria Math" w:hAnsi="Cambria Math" w:cs="Cambria Math"/>
          <w:sz w:val="24"/>
        </w:rPr>
        <w:t xml:space="preserve">càd</w:t>
      </w:r>
      <w:r>
        <w:rPr>
          <w:rFonts w:ascii="Cambria Math" w:hAnsi="Cambria Math" w:cs="Cambria Math"/>
          <w:sz w:val="24"/>
        </w:rPr>
        <w:t xml:space="preserve"> « l’empreinte environnementale liée à l’extraction de ressources, la fabrication, le transport, l’usage et la fin de vie d’un service numérique et des équipements qui y sont liés ») et les effets indirects (</w:t>
      </w:r>
      <w:r>
        <w:rPr>
          <w:rFonts w:ascii="Cambria Math" w:hAnsi="Cambria Math" w:cs="Cambria Math"/>
          <w:sz w:val="24"/>
        </w:rPr>
        <w:t xml:space="preserve">càd</w:t>
      </w:r>
      <w:r>
        <w:rPr>
          <w:rFonts w:ascii="Cambria Math" w:hAnsi="Cambria Math" w:cs="Cambria Math"/>
          <w:sz w:val="24"/>
        </w:rPr>
        <w:t xml:space="preserve"> les « effets produits par l’usage d’un service numérique »), mesurable qu’à une échelle macroscopique, voire systémique.</w:t>
      </w:r>
      <w:r>
        <w:rPr>
          <w:rFonts w:ascii="Cambria Math" w:hAnsi="Cambria Math" w:cs="Cambria Math"/>
          <w:sz w:val="24"/>
        </w:rPr>
      </w:r>
    </w:p>
    <w:p w14:paraId="7178BAFA" w14:textId="77777777">
      <w:pPr>
        <w:pBdr/>
        <w:spacing w:line="360" w:lineRule="auto"/>
        <w:ind/>
        <w:jc w:val="both"/>
        <w:rPr>
          <w:rFonts w:ascii="Cambria Math" w:hAnsi="Cambria Math" w:cs="Cambria Math"/>
          <w:sz w:val="24"/>
        </w:rPr>
      </w:pPr>
      <w:r>
        <w:rPr>
          <w:rFonts w:ascii="Cambria Math" w:hAnsi="Cambria Math" w:cs="Cambria Math"/>
          <w:sz w:val="24"/>
        </w:rPr>
        <w:t xml:space="preserve">Mesurer l’impact direct du cycle de vie des données numériques.</w:t>
      </w:r>
      <w:r>
        <w:rPr>
          <w:rFonts w:ascii="Cambria Math" w:hAnsi="Cambria Math" w:cs="Cambria Math"/>
          <w:sz w:val="24"/>
        </w:rPr>
      </w:r>
    </w:p>
    <w:p w14:paraId="3FAA0760" w14:textId="77777777">
      <w:pPr>
        <w:pBdr/>
        <w:spacing w:line="360" w:lineRule="auto"/>
        <w:ind/>
        <w:jc w:val="both"/>
        <w:rPr>
          <w:rFonts w:ascii="Cambria Math" w:hAnsi="Cambria Math" w:cs="Cambria Math"/>
          <w:sz w:val="24"/>
        </w:rPr>
      </w:pPr>
      <w:r>
        <w:rPr>
          <w:rFonts w:ascii="Cambria Math" w:hAnsi="Cambria Math" w:cs="Cambria Math"/>
          <w:sz w:val="24"/>
        </w:rPr>
        <w:t xml:space="preserve">p.14 : outre l’</w:t>
      </w:r>
      <w:r>
        <w:rPr>
          <w:rFonts w:ascii="Cambria Math" w:hAnsi="Cambria Math" w:cs="Cambria Math"/>
          <w:sz w:val="24"/>
        </w:rPr>
        <w:t xml:space="preserve">enjeu environnemental, le numérique culturel met en pleine lumière, la question de l’impact sociétal. Question que pose même avec une </w:t>
      </w:r>
      <w:r>
        <w:rPr>
          <w:rFonts w:ascii="Cambria Math" w:hAnsi="Cambria Math" w:cs="Cambria Math"/>
          <w:sz w:val="24"/>
        </w:rPr>
        <w:t xml:space="preserve">singuilière</w:t>
      </w:r>
      <w:r>
        <w:rPr>
          <w:rFonts w:ascii="Cambria Math" w:hAnsi="Cambria Math" w:cs="Cambria Math"/>
          <w:sz w:val="24"/>
        </w:rPr>
        <w:t xml:space="preserve"> intensité le cas précis de la numérisation patrimoniale : outil puissant de démocratisation culturelle, d’ouverture et de partage d’un patrimoine riche mais trop souvent tenu caché, il participe toutefois à</w:t>
      </w:r>
      <w:r>
        <w:rPr>
          <w:rFonts w:ascii="Cambria Math" w:hAnsi="Cambria Math" w:cs="Cambria Math"/>
          <w:sz w:val="24"/>
        </w:rPr>
        <w:t xml:space="preserve"> son insu, d’un écosystème numérique dont le bilan sociétal, plus que contrasté, pose nombre de défis nouveaux : de la fracture numérique à la surconsommation d’écrans, en passant par les effets du numérique sur les capacités cognitives et attentionnelles.</w:t>
      </w:r>
      <w:r>
        <w:rPr>
          <w:rFonts w:ascii="Cambria Math" w:hAnsi="Cambria Math" w:cs="Cambria Math"/>
          <w:sz w:val="24"/>
        </w:rPr>
      </w:r>
    </w:p>
    <w:p w14:paraId="78E9BFC5" w14:textId="77777777">
      <w:pPr>
        <w:pBdr/>
        <w:spacing w:line="360" w:lineRule="auto"/>
        <w:ind/>
        <w:jc w:val="both"/>
        <w:rPr>
          <w:rFonts w:ascii="Cambria Math" w:hAnsi="Cambria Math" w:cs="Cambria Math"/>
          <w:sz w:val="24"/>
        </w:rPr>
      </w:pPr>
      <w:r>
        <w:rPr>
          <w:rFonts w:ascii="Cambria Math" w:hAnsi="Cambria Math" w:cs="Cambria Math"/>
          <w:sz w:val="24"/>
        </w:rPr>
        <w:t xml:space="preserve">p.23 : le monde de l’enseignement supérieur </w:t>
      </w:r>
      <w:r>
        <w:rPr>
          <w:rFonts w:ascii="Cambria Math" w:hAnsi="Cambria Math" w:cs="Cambria Math"/>
          <w:sz w:val="24"/>
        </w:rPr>
        <w:t xml:space="preserve">et de la recherche français, déjà sensibilisé à la problématique du numérique durable par l’ouverture des données, la promotion du libre et de l’interopérabilité, s’est emparé bien plus précocement de la question des impacts environnementaux du numérique. </w:t>
      </w:r>
      <w:r>
        <w:rPr>
          <w:rFonts w:ascii="Cambria Math" w:hAnsi="Cambria Math" w:cs="Cambria Math"/>
          <w:sz w:val="24"/>
        </w:rPr>
      </w:r>
    </w:p>
    <w:p w14:paraId="3A6ED6DD" w14:textId="77777777">
      <w:pPr>
        <w:pBdr/>
        <w:spacing w:line="360" w:lineRule="auto"/>
        <w:ind/>
        <w:jc w:val="both"/>
        <w:rPr>
          <w:rFonts w:ascii="Cambria Math" w:hAnsi="Cambria Math" w:cs="Cambria Math"/>
          <w:sz w:val="24"/>
        </w:rPr>
      </w:pPr>
      <w:r>
        <w:rPr>
          <w:rFonts w:ascii="Cambria Math" w:hAnsi="Cambria Math" w:cs="Cambria Math"/>
          <w:sz w:val="24"/>
        </w:rPr>
        <w:t xml:space="preserve">p.25 : la numérisation patrimoniale permet de rendre effective, à un degré encore inédit, l</w:t>
      </w:r>
      <w:r>
        <w:rPr>
          <w:rFonts w:ascii="Cambria Math" w:hAnsi="Cambria Math" w:cs="Cambria Math"/>
          <w:sz w:val="24"/>
        </w:rPr>
        <w:t xml:space="preserve">a</w:t>
      </w:r>
      <w:r>
        <w:rPr>
          <w:rFonts w:ascii="Cambria Math" w:hAnsi="Cambria Math" w:cs="Cambria Math"/>
          <w:sz w:val="24"/>
        </w:rPr>
        <w:t xml:space="preserve"> nature de « bien commun » du patrimoine conservé dans les bibliothèques, en l’envisageant </w:t>
      </w:r>
      <w:r>
        <w:rPr>
          <w:rFonts w:ascii="Cambria Math" w:hAnsi="Cambria Math" w:cs="Cambria Math"/>
          <w:sz w:val="24"/>
        </w:rPr>
        <w:t xml:space="preserve">réellement</w:t>
      </w:r>
      <w:r>
        <w:rPr>
          <w:rFonts w:ascii="Cambria Math" w:hAnsi="Cambria Math" w:cs="Cambria Math"/>
          <w:sz w:val="24"/>
        </w:rPr>
        <w:t xml:space="preserve"> comme une r</w:t>
      </w:r>
      <w:r>
        <w:rPr>
          <w:rFonts w:ascii="Cambria Math" w:hAnsi="Cambria Math" w:cs="Cambria Math"/>
          <w:sz w:val="24"/>
        </w:rPr>
        <w:t xml:space="preserve">essource collective et partagée.</w:t>
      </w:r>
      <w:r>
        <w:rPr>
          <w:rFonts w:ascii="Cambria Math" w:hAnsi="Cambria Math" w:cs="Cambria Math"/>
          <w:sz w:val="24"/>
        </w:rPr>
      </w:r>
    </w:p>
    <w:p w14:paraId="49359E26" w14:textId="77777777">
      <w:pPr>
        <w:pBdr/>
        <w:spacing w:line="360" w:lineRule="auto"/>
        <w:ind/>
        <w:jc w:val="both"/>
        <w:rPr>
          <w:rFonts w:ascii="Cambria Math" w:hAnsi="Cambria Math" w:cs="Cambria Math"/>
          <w:sz w:val="24"/>
        </w:rPr>
      </w:pPr>
      <w:r>
        <w:rPr>
          <w:rFonts w:ascii="Cambria Math" w:hAnsi="Cambria Math" w:cs="Cambria Math"/>
          <w:sz w:val="24"/>
        </w:rPr>
        <w:t xml:space="preserve">p.27 : enjeux et impacts du cycle de vie de la donnée numérique</w:t>
      </w:r>
      <w:r>
        <w:rPr>
          <w:rFonts w:ascii="Cambria Math" w:hAnsi="Cambria Math" w:cs="Cambria Math"/>
          <w:sz w:val="24"/>
        </w:rPr>
      </w:r>
    </w:p>
    <w:p w14:paraId="2900E4AF" w14:textId="77777777">
      <w:pPr>
        <w:pBdr/>
        <w:spacing w:line="360" w:lineRule="auto"/>
        <w:ind/>
        <w:jc w:val="both"/>
        <w:rPr>
          <w:rFonts w:ascii="Cambria Math" w:hAnsi="Cambria Math" w:cs="Cambria Math"/>
          <w:sz w:val="24"/>
        </w:rPr>
      </w:pPr>
      <w:r>
        <w:rPr>
          <w:rFonts w:ascii="Cambria Math" w:hAnsi="Cambria Math" w:cs="Cambria Math"/>
          <w:sz w:val="24"/>
        </w:rPr>
        <w:t xml:space="preserve">quelques</w:t>
      </w:r>
      <w:r>
        <w:rPr>
          <w:rFonts w:ascii="Cambria Math" w:hAnsi="Cambria Math" w:cs="Cambria Math"/>
          <w:sz w:val="24"/>
        </w:rPr>
        <w:t xml:space="preserve"> éléments d’introduction :</w:t>
      </w:r>
      <w:r>
        <w:rPr>
          <w:rFonts w:ascii="Cambria Math" w:hAnsi="Cambria Math" w:cs="Cambria Math"/>
          <w:sz w:val="24"/>
        </w:rPr>
      </w:r>
    </w:p>
    <w:p w14:paraId="2251CEFD" w14:textId="77777777">
      <w:pPr>
        <w:pBdr/>
        <w:spacing w:line="360" w:lineRule="auto"/>
        <w:ind/>
        <w:jc w:val="both"/>
        <w:rPr>
          <w:rFonts w:ascii="Cambria Math" w:hAnsi="Cambria Math" w:cs="Cambria Math"/>
          <w:sz w:val="24"/>
        </w:rPr>
      </w:pPr>
      <w:r>
        <w:rPr>
          <w:rFonts w:ascii="Cambria Math" w:hAnsi="Cambria Math" w:cs="Cambria Math"/>
          <w:sz w:val="24"/>
        </w:rPr>
        <w:t xml:space="preserve">Catherine </w:t>
      </w:r>
      <w:r>
        <w:rPr>
          <w:rFonts w:ascii="Cambria Math" w:hAnsi="Cambria Math" w:cs="Cambria Math"/>
          <w:sz w:val="24"/>
        </w:rPr>
        <w:t xml:space="preserve">Mocellin</w:t>
      </w:r>
      <w:r>
        <w:rPr>
          <w:rFonts w:ascii="Cambria Math" w:hAnsi="Cambria Math" w:cs="Cambria Math"/>
          <w:sz w:val="24"/>
        </w:rPr>
        <w:t xml:space="preserve"> définie la numérisation comme : « la conversion d’une information présente sur un support physique en codage numérique en mode binaire (en 0 et 1) sur un ou plusieurs bits, lisible par un programme (logiciel, périphérique, etc.) ».</w:t>
      </w:r>
      <w:r>
        <w:rPr>
          <w:rFonts w:ascii="Cambria Math" w:hAnsi="Cambria Math" w:cs="Cambria Math"/>
          <w:sz w:val="24"/>
        </w:rPr>
      </w:r>
    </w:p>
    <w:p w14:paraId="377E8957" w14:textId="77777777">
      <w:pPr>
        <w:pBdr/>
        <w:spacing w:line="360" w:lineRule="auto"/>
        <w:ind/>
        <w:jc w:val="both"/>
        <w:rPr>
          <w:rFonts w:ascii="Cambria Math" w:hAnsi="Cambria Math" w:cs="Cambria Math"/>
          <w:sz w:val="24"/>
        </w:rPr>
      </w:pPr>
      <w:r>
        <w:rPr>
          <w:rFonts w:ascii="Cambria Math" w:hAnsi="Cambria Math" w:cs="Cambria Math"/>
          <w:sz w:val="24"/>
        </w:rPr>
        <w:t xml:space="preserve">Produire une donnée nu</w:t>
      </w:r>
      <w:r>
        <w:rPr>
          <w:rFonts w:ascii="Cambria Math" w:hAnsi="Cambria Math" w:cs="Cambria Math"/>
          <w:sz w:val="24"/>
        </w:rPr>
        <w:t xml:space="preserve">mérique c’est l’intégrer dans le circuit de flux qui irrigue l’écosystème numérique. Opération : pas neutre sur le plan de la consommation énergétique : le stockage, la manipulation et la consommation par les terminaux utilisateurs de ces données entraîne,</w:t>
      </w:r>
      <w:r>
        <w:rPr>
          <w:rFonts w:ascii="Cambria Math" w:hAnsi="Cambria Math" w:cs="Cambria Math"/>
          <w:sz w:val="24"/>
        </w:rPr>
        <w:t xml:space="preserve"> une dépense énergétique qui génère un coût environnemental. </w:t>
      </w:r>
      <w:r>
        <w:rPr>
          <w:rFonts w:ascii="Cambria Math" w:hAnsi="Cambria Math" w:cs="Cambria Math"/>
          <w:sz w:val="24"/>
        </w:rPr>
      </w:r>
    </w:p>
    <w:p w14:paraId="0C67A8BF" w14:textId="77777777">
      <w:pPr>
        <w:pBdr/>
        <w:spacing w:line="360" w:lineRule="auto"/>
        <w:ind/>
        <w:jc w:val="both"/>
        <w:rPr>
          <w:rFonts w:ascii="Cambria Math" w:hAnsi="Cambria Math" w:cs="Cambria Math"/>
          <w:sz w:val="24"/>
        </w:rPr>
      </w:pPr>
      <w:r>
        <w:rPr>
          <w:rFonts w:ascii="Cambria Math" w:hAnsi="Cambria Math" w:cs="Cambria Math"/>
          <w:sz w:val="24"/>
        </w:rPr>
        <w:t xml:space="preserve">Trois étapes critiques de la chaîne de numérisation patrimoniale : la production, le stockage et la pérennisation des données.</w:t>
      </w:r>
      <w:r>
        <w:rPr>
          <w:rFonts w:ascii="Cambria Math" w:hAnsi="Cambria Math" w:cs="Cambria Math"/>
          <w:sz w:val="24"/>
        </w:rPr>
      </w:r>
    </w:p>
    <w:p w14:paraId="7FC16E91" w14:textId="77777777">
      <w:pPr>
        <w:pBdr/>
        <w:spacing w:line="360" w:lineRule="auto"/>
        <w:ind/>
        <w:jc w:val="both"/>
        <w:rPr>
          <w:rFonts w:ascii="Cambria Math" w:hAnsi="Cambria Math" w:cs="Cambria Math"/>
          <w:sz w:val="24"/>
        </w:rPr>
      </w:pPr>
      <w:r>
        <w:rPr>
          <w:rFonts w:ascii="Cambria Math" w:hAnsi="Cambria Math" w:cs="Cambria Math"/>
          <w:sz w:val="24"/>
        </w:rPr>
        <w:t xml:space="preserve">p.28 : intervenir sur l’empreinte carbone d’une donnée numérique consiste donc, en premier lieu, à intervenir sur son poids. </w:t>
      </w:r>
      <w:r>
        <w:rPr>
          <w:rFonts w:ascii="Cambria Math" w:hAnsi="Cambria Math" w:cs="Cambria Math"/>
          <w:sz w:val="24"/>
        </w:rPr>
        <w:t xml:space="preserve">Dans le cadre d’une numérisation patrimoniale, ce poids est déterminé par deux critères, réglables à deux moments différents de la chaîne de numérisation : au moment de l’acquisition de la donnée et au moment de son enregistrement sous un format déterminé.</w:t>
      </w:r>
      <w:r>
        <w:rPr>
          <w:rFonts w:ascii="Cambria Math" w:hAnsi="Cambria Math" w:cs="Cambria Math"/>
          <w:sz w:val="24"/>
        </w:rPr>
      </w:r>
    </w:p>
    <w:p w14:paraId="3ABB9FF2" w14:textId="77777777">
      <w:pPr>
        <w:pBdr/>
        <w:spacing w:line="360" w:lineRule="auto"/>
        <w:ind/>
        <w:jc w:val="both"/>
        <w:rPr>
          <w:rFonts w:ascii="Cambria Math" w:hAnsi="Cambria Math" w:cs="Cambria Math"/>
          <w:sz w:val="24"/>
        </w:rPr>
      </w:pPr>
      <w:r>
        <w:rPr>
          <w:rFonts w:ascii="Cambria Math" w:hAnsi="Cambria Math" w:cs="Cambria Math"/>
          <w:sz w:val="24"/>
        </w:rPr>
        <w:t xml:space="preserve">Question de l’empreinte carbone : solidaire de la question financière : le stockage représente, pour les tutelles, un coût considérable, qui peut même deve</w:t>
      </w:r>
      <w:r>
        <w:rPr>
          <w:rFonts w:ascii="Cambria Math" w:hAnsi="Cambria Math" w:cs="Cambria Math"/>
          <w:sz w:val="24"/>
        </w:rPr>
        <w:t xml:space="preserve">nir un sujet de crispation possible dans le dialogue entre la bibliothèque et les services informatiques. Par exemple : le coût supporté par la ville de Besançon pour le stockage, sur leur serveur, des données issues des campagnes de numérisation de leur b</w:t>
      </w:r>
      <w:r>
        <w:rPr>
          <w:rFonts w:ascii="Cambria Math" w:hAnsi="Cambria Math" w:cs="Cambria Math"/>
          <w:sz w:val="24"/>
        </w:rPr>
        <w:t xml:space="preserve">ibliothèque municipale a fini, à partir de 2011, par dépasser l’investissement initial engagé dans les chantiers de numérisation eux-mêmes. Ce constat a motivé la décision de la BM de Besançon de renoncer, à la conservation de ses masters sous format TIFF.</w:t>
      </w:r>
      <w:r>
        <w:rPr>
          <w:rFonts w:ascii="Cambria Math" w:hAnsi="Cambria Math" w:cs="Cambria Math"/>
          <w:sz w:val="24"/>
        </w:rPr>
      </w:r>
    </w:p>
    <w:p w14:paraId="4AF3D6B6" w14:textId="77777777">
      <w:pPr>
        <w:pBdr/>
        <w:spacing w:line="360" w:lineRule="auto"/>
        <w:ind/>
        <w:jc w:val="both"/>
        <w:rPr>
          <w:rFonts w:ascii="Cambria Math" w:hAnsi="Cambria Math" w:cs="Cambria Math"/>
          <w:sz w:val="24"/>
        </w:rPr>
      </w:pPr>
      <w:r>
        <w:rPr>
          <w:rFonts w:ascii="Cambria Math" w:hAnsi="Cambria Math" w:cs="Cambria Math"/>
          <w:sz w:val="24"/>
        </w:rPr>
        <w:t xml:space="preserve">p.31  comme</w:t>
      </w:r>
      <w:r>
        <w:rPr>
          <w:rFonts w:ascii="Cambria Math" w:hAnsi="Cambria Math" w:cs="Cambria Math"/>
          <w:sz w:val="24"/>
        </w:rPr>
        <w:t xml:space="preserve"> le constatent </w:t>
      </w:r>
      <w:r>
        <w:rPr>
          <w:rFonts w:ascii="Cambria Math" w:hAnsi="Cambria Math" w:cs="Cambria Math"/>
          <w:sz w:val="24"/>
        </w:rPr>
        <w:t xml:space="preserve">Pendergrass</w:t>
      </w:r>
      <w:r>
        <w:rPr>
          <w:rFonts w:ascii="Cambria Math" w:hAnsi="Cambria Math" w:cs="Cambria Math"/>
          <w:sz w:val="24"/>
        </w:rPr>
        <w:t xml:space="preserve"> et al., « les professionnels du patrimoine devraient examiner de manière critique les standards et les choix de format des contenus </w:t>
      </w:r>
      <w:r>
        <w:rPr>
          <w:rFonts w:ascii="Cambria Math" w:hAnsi="Cambria Math" w:cs="Cambria Math"/>
          <w:sz w:val="24"/>
        </w:rPr>
        <w:t xml:space="preserve">nativment</w:t>
      </w:r>
      <w:r>
        <w:rPr>
          <w:rFonts w:ascii="Cambria Math" w:hAnsi="Cambria Math" w:cs="Cambria Math"/>
          <w:sz w:val="24"/>
        </w:rPr>
        <w:t xml:space="preserve"> numériques ou numérisés. Chaque document doit-il être migré ou numérisé au plus haut niveau de qualité possible ? des substituts numériques de haute qualité présentent-ils de véritables bénéfices, en termes de conservation ? ».</w:t>
      </w:r>
      <w:r>
        <w:rPr>
          <w:rFonts w:ascii="Cambria Math" w:hAnsi="Cambria Math" w:cs="Cambria Math"/>
          <w:sz w:val="24"/>
        </w:rPr>
      </w:r>
    </w:p>
    <w:p w14:paraId="0780EF1E" w14:textId="77777777">
      <w:pPr>
        <w:pBdr/>
        <w:spacing w:line="360" w:lineRule="auto"/>
        <w:ind/>
        <w:jc w:val="both"/>
        <w:rPr>
          <w:rFonts w:ascii="Cambria Math" w:hAnsi="Cambria Math" w:cs="Cambria Math"/>
          <w:sz w:val="24"/>
        </w:rPr>
      </w:pPr>
      <w:r>
        <w:rPr>
          <w:rFonts w:ascii="Cambria Math" w:hAnsi="Cambria Math" w:cs="Cambria Math"/>
          <w:sz w:val="24"/>
        </w:rPr>
        <w:t xml:space="preserve">un</w:t>
      </w:r>
      <w:r>
        <w:rPr>
          <w:rFonts w:ascii="Cambria Math" w:hAnsi="Cambria Math" w:cs="Cambria Math"/>
          <w:sz w:val="24"/>
        </w:rPr>
        <w:t xml:space="preserve"> bon exemple d’application de ces questionnements aux pratiques de numérisation patrimoniale nous est précisément fourni par le ch</w:t>
      </w:r>
      <w:r>
        <w:rPr>
          <w:rFonts w:ascii="Cambria Math" w:hAnsi="Cambria Math" w:cs="Cambria Math"/>
          <w:sz w:val="24"/>
        </w:rPr>
        <w:t xml:space="preserve">oix de la qualité de résolution. En effet, il est admis qu’une résolution de 300 dpi est amplement suffisante pour garantir une </w:t>
      </w:r>
      <w:r>
        <w:rPr>
          <w:rFonts w:ascii="Cambria Math" w:hAnsi="Cambria Math" w:cs="Cambria Math"/>
          <w:sz w:val="24"/>
        </w:rPr>
        <w:t xml:space="preserve">bonne qualité d’affichage de l’image, comme le rappelle Dominique Maillet de la BN</w:t>
      </w:r>
      <w:r>
        <w:rPr>
          <w:rFonts w:ascii="Cambria Math" w:hAnsi="Cambria Math" w:cs="Cambria Math"/>
          <w:sz w:val="24"/>
        </w:rPr>
        <w:t xml:space="preserve">F : « ce choix de 300 dpi […] découle de l’analyse des qualités optiques de l’œil, dont celle qui nous intéresse sur ce sujet peut se résumer comme suit : l’œil possède un pouvoir séparateur qui lui permet à une distance d’observation donnée de distinguer </w:t>
      </w:r>
      <w:r>
        <w:rPr>
          <w:rFonts w:ascii="Cambria Math" w:hAnsi="Cambria Math" w:cs="Cambria Math"/>
          <w:sz w:val="24"/>
        </w:rPr>
        <w:t xml:space="preserve">2 points proches l’un de l’autre. Il est universellement observé qu’à 2,5 mètres, un œil sain distingue 2 points de 1mm séparés de 1 mm. Au-delà, les 2 points se confondent. C’est en extrapolant cette donnée physique que l’on peut affirmer qu’à 300 dpi on </w:t>
      </w:r>
      <w:r>
        <w:rPr>
          <w:rFonts w:ascii="Cambria Math" w:hAnsi="Cambria Math" w:cs="Cambria Math"/>
          <w:sz w:val="24"/>
        </w:rPr>
        <w:t xml:space="preserve">obtint une image numérisée que l’œil humain sait parfaitement lire et qui contient suffisamment d’informations pour que le produit numérisé soit estimé conforme à l’original. Numériser à 400 dpi, soit 400 X 400 points analysés sur un carré de 2,54 cm de cô</w:t>
      </w:r>
      <w:r>
        <w:rPr>
          <w:rFonts w:ascii="Cambria Math" w:hAnsi="Cambria Math" w:cs="Cambria Math"/>
          <w:sz w:val="24"/>
        </w:rPr>
        <w:t xml:space="preserve">té et non plus de 300 revient donc à capturer des pixels qui ne seront pas utiles à la lecture car notre œil n’a pas les moyens physiques de les distinguer. Le seul avantage est de pouvoir zoomer dans le document comme si nous le lisions avec une loupe ». </w:t>
      </w:r>
      <w:r>
        <w:rPr>
          <w:rFonts w:ascii="Cambria Math" w:hAnsi="Cambria Math" w:cs="Cambria Math"/>
          <w:sz w:val="24"/>
        </w:rPr>
      </w:r>
    </w:p>
    <w:p w14:paraId="7862140F" w14:textId="77777777">
      <w:pPr>
        <w:pBdr/>
        <w:spacing w:line="360" w:lineRule="auto"/>
        <w:ind/>
        <w:jc w:val="both"/>
        <w:rPr>
          <w:rFonts w:ascii="Cambria Math" w:hAnsi="Cambria Math" w:cs="Cambria Math"/>
          <w:sz w:val="24"/>
        </w:rPr>
      </w:pPr>
      <w:r>
        <w:rPr>
          <w:rFonts w:ascii="Cambria Math" w:hAnsi="Cambria Math" w:cs="Cambria Math"/>
          <w:sz w:val="24"/>
        </w:rPr>
        <w:t xml:space="preserve">passage</w:t>
      </w:r>
      <w:r>
        <w:rPr>
          <w:rFonts w:ascii="Cambria Math" w:hAnsi="Cambria Math" w:cs="Cambria Math"/>
          <w:sz w:val="24"/>
        </w:rPr>
        <w:t xml:space="preserve"> de 300 à 400 dpi représente une hausse de 33% tandis que le poids de l’image augmente lui de 78%. Choix 400 dpi : nécessaire de le justifier.</w:t>
      </w:r>
      <w:r>
        <w:rPr>
          <w:rFonts w:ascii="Cambria Math" w:hAnsi="Cambria Math" w:cs="Cambria Math"/>
          <w:sz w:val="24"/>
        </w:rPr>
      </w:r>
    </w:p>
    <w:p w14:paraId="65A86C32" w14:textId="77777777">
      <w:pPr>
        <w:pBdr/>
        <w:spacing w:line="360" w:lineRule="auto"/>
        <w:ind/>
        <w:jc w:val="both"/>
        <w:rPr>
          <w:rFonts w:ascii="Cambria Math" w:hAnsi="Cambria Math" w:cs="Cambria Math"/>
          <w:sz w:val="24"/>
        </w:rPr>
      </w:pPr>
      <w:r>
        <w:rPr>
          <w:rFonts w:ascii="Cambria Math" w:hAnsi="Cambria Math" w:cs="Cambria Math"/>
          <w:sz w:val="24"/>
        </w:rPr>
        <w:t xml:space="preserve">Exemple de cas où cela peut être accepté : motivé par l’u</w:t>
      </w:r>
      <w:r>
        <w:rPr>
          <w:rFonts w:ascii="Cambria Math" w:hAnsi="Cambria Math" w:cs="Cambria Math"/>
          <w:sz w:val="24"/>
        </w:rPr>
        <w:t xml:space="preserve">sage attendu du substitut numérique – par exemple, l’exploitation de fonds iconographiques à des fins scientifiques- ou la fragilité du document, auquel on ne peut prendre le risque de faire subir une éventuelle re-numérisation, à une meilleure définition.</w:t>
      </w:r>
      <w:r>
        <w:rPr>
          <w:rFonts w:ascii="Cambria Math" w:hAnsi="Cambria Math" w:cs="Cambria Math"/>
          <w:sz w:val="24"/>
        </w:rPr>
      </w:r>
    </w:p>
    <w:p w14:paraId="094BB7D3" w14:textId="77777777">
      <w:pPr>
        <w:pBdr/>
        <w:spacing w:line="360" w:lineRule="auto"/>
        <w:ind/>
        <w:jc w:val="both"/>
        <w:rPr>
          <w:rFonts w:ascii="Cambria Math" w:hAnsi="Cambria Math" w:cs="Cambria Math"/>
          <w:sz w:val="24"/>
        </w:rPr>
      </w:pPr>
      <w:r>
        <w:rPr>
          <w:rFonts w:ascii="Cambria Math" w:hAnsi="Cambria Math" w:cs="Cambria Math"/>
          <w:sz w:val="24"/>
        </w:rPr>
        <w:t xml:space="preserve">p.32 : qu’est-ce qu’un format ? un format « décrit la</w:t>
      </w:r>
      <w:r>
        <w:rPr>
          <w:rFonts w:ascii="Cambria Math" w:hAnsi="Cambria Math" w:cs="Cambria Math"/>
          <w:sz w:val="24"/>
        </w:rPr>
        <w:t xml:space="preserve"> manière dont les informations sont organisées dans un fichier ». Il s’agit donc d’un mode de description, de représentation et de stockage des données. Le choix du format a deux types de conséquences : d’une part sur la qualité de la numérisation ; d’autr</w:t>
      </w:r>
      <w:r>
        <w:rPr>
          <w:rFonts w:ascii="Cambria Math" w:hAnsi="Cambria Math" w:cs="Cambria Math"/>
          <w:sz w:val="24"/>
        </w:rPr>
        <w:t xml:space="preserve">e part sur la préservation à long terme des documents numériques. La BNF liste plusieurs critères déterminants dans le choix du format au cours d’un processus de numérisation : le taux d’ouverture, la possibilité d’une compression sans perte ou réversible.</w:t>
      </w:r>
      <w:r>
        <w:rPr>
          <w:rFonts w:ascii="Cambria Math" w:hAnsi="Cambria Math" w:cs="Cambria Math"/>
          <w:sz w:val="24"/>
        </w:rPr>
      </w:r>
    </w:p>
    <w:p w14:paraId="38D7BE38" w14:textId="77777777">
      <w:pPr>
        <w:pBdr/>
        <w:spacing w:line="360" w:lineRule="auto"/>
        <w:ind/>
        <w:jc w:val="both"/>
        <w:rPr>
          <w:rFonts w:ascii="Cambria Math" w:hAnsi="Cambria Math" w:cs="Cambria Math"/>
          <w:sz w:val="24"/>
        </w:rPr>
      </w:pPr>
      <w:r>
        <w:rPr>
          <w:rFonts w:ascii="Cambria Math" w:hAnsi="Cambria Math" w:cs="Cambria Math"/>
          <w:sz w:val="24"/>
        </w:rPr>
        <w:t xml:space="preserve">Qu’entend-on par le degré d’ouverture d’un format ? Par la loi du 21 juin 2004, dite « pour la co</w:t>
      </w:r>
      <w:r>
        <w:rPr>
          <w:rFonts w:ascii="Cambria Math" w:hAnsi="Cambria Math" w:cs="Cambria Math"/>
          <w:sz w:val="24"/>
        </w:rPr>
        <w:t xml:space="preserve">nfiance dans l’économie numérique », le législateur français a tenu à définir la notion de « standard ouvert ». Celui-ci est entendu comme « tout protocole de communication, d’interconnexion ou d’échange et tout format de données interopérable et dont les </w:t>
      </w:r>
      <w:r>
        <w:rPr>
          <w:rFonts w:ascii="Cambria Math" w:hAnsi="Cambria Math" w:cs="Cambria Math"/>
          <w:sz w:val="24"/>
        </w:rPr>
        <w:t xml:space="preserve">spécifications techniques sont publiques et sans restrictions d’accès ni de mise en œuvre ». </w:t>
      </w:r>
      <w:r>
        <w:rPr>
          <w:rFonts w:ascii="Cambria Math" w:hAnsi="Cambria Math" w:cs="Cambria Math"/>
          <w:sz w:val="24"/>
        </w:rPr>
      </w:r>
    </w:p>
    <w:p w14:paraId="47A93665" w14:textId="77777777">
      <w:pPr>
        <w:pBdr/>
        <w:spacing w:line="360" w:lineRule="auto"/>
        <w:ind/>
        <w:jc w:val="both"/>
        <w:rPr>
          <w:rFonts w:ascii="Cambria Math" w:hAnsi="Cambria Math" w:cs="Cambria Math"/>
          <w:sz w:val="24"/>
        </w:rPr>
      </w:pPr>
      <w:r>
        <w:rPr>
          <w:rFonts w:ascii="Cambria Math" w:hAnsi="Cambria Math" w:cs="Cambria Math"/>
          <w:sz w:val="24"/>
        </w:rPr>
        <w:t xml:space="preserve">Opposition d’un format ouvert à un format propriétaire.</w:t>
      </w:r>
      <w:r>
        <w:rPr>
          <w:rFonts w:ascii="Cambria Math" w:hAnsi="Cambria Math" w:cs="Cambria Math"/>
          <w:sz w:val="24"/>
        </w:rPr>
      </w:r>
    </w:p>
    <w:p w14:paraId="4198A88B" w14:textId="77777777">
      <w:pPr>
        <w:pBdr/>
        <w:spacing w:line="360" w:lineRule="auto"/>
        <w:ind/>
        <w:jc w:val="both"/>
        <w:rPr>
          <w:rFonts w:ascii="Cambria Math" w:hAnsi="Cambria Math" w:cs="Cambria Math"/>
          <w:sz w:val="24"/>
        </w:rPr>
      </w:pPr>
      <w:r>
        <w:rPr>
          <w:rFonts w:ascii="Cambria Math" w:hAnsi="Cambria Math" w:cs="Cambria Math"/>
          <w:sz w:val="24"/>
        </w:rPr>
        <w:t xml:space="preserve">Formats ouverts : essentiellement pour des raisons éthiques et de sécurité des données dans la fonction publique.</w:t>
      </w:r>
      <w:r>
        <w:rPr>
          <w:rFonts w:ascii="Cambria Math" w:hAnsi="Cambria Math" w:cs="Cambria Math"/>
          <w:sz w:val="24"/>
        </w:rPr>
      </w:r>
    </w:p>
    <w:p w14:paraId="1886ACE6" w14:textId="77777777">
      <w:pPr>
        <w:pBdr/>
        <w:spacing w:line="360" w:lineRule="auto"/>
        <w:ind/>
        <w:jc w:val="both"/>
        <w:rPr>
          <w:rFonts w:ascii="Cambria Math" w:hAnsi="Cambria Math" w:cs="Cambria Math"/>
          <w:sz w:val="24"/>
        </w:rPr>
      </w:pPr>
      <w:r>
        <w:rPr>
          <w:rFonts w:ascii="Cambria Math" w:hAnsi="Cambria Math" w:cs="Cambria Math"/>
          <w:sz w:val="24"/>
        </w:rPr>
        <w:t xml:space="preserve">Propre de la numérisation patrimoniale : mettre l’accent sur la qualité du résultat final : « la copie numérique doit être aussi fidèle que possible de façon à pouvoir lui être substituée autant que de besoin ». </w:t>
      </w:r>
      <w:r>
        <w:rPr>
          <w:rFonts w:ascii="Cambria Math" w:hAnsi="Cambria Math" w:cs="Cambria Math"/>
          <w:sz w:val="24"/>
        </w:rPr>
      </w:r>
    </w:p>
    <w:p w14:paraId="01A3A337" w14:textId="77777777">
      <w:pPr>
        <w:pBdr/>
        <w:spacing w:line="360" w:lineRule="auto"/>
        <w:ind/>
        <w:jc w:val="both"/>
        <w:rPr>
          <w:rFonts w:ascii="Cambria Math" w:hAnsi="Cambria Math" w:cs="Cambria Math"/>
          <w:sz w:val="24"/>
        </w:rPr>
      </w:pPr>
      <w:r>
        <w:rPr>
          <w:rFonts w:ascii="Cambria Math" w:hAnsi="Cambria Math" w:cs="Cambria Math"/>
          <w:sz w:val="24"/>
        </w:rPr>
        <w:t xml:space="preserve">1 des principaux objectifs de la numérisation : préservation de collections a</w:t>
      </w:r>
      <w:r>
        <w:rPr>
          <w:rFonts w:ascii="Cambria Math" w:hAnsi="Cambria Math" w:cs="Cambria Math"/>
          <w:sz w:val="24"/>
        </w:rPr>
        <w:t xml:space="preserve">nciennes et/ou fragiles. D’usage de considérer que l’autre principale motivation des bibliothèques qui se lancent dans un projet de numérisation est la diffusion de leur patrimoine qui peut de surcroît s’accompagner de politiques de valorisation numérique.</w:t>
      </w:r>
      <w:r>
        <w:rPr>
          <w:rFonts w:ascii="Cambria Math" w:hAnsi="Cambria Math" w:cs="Cambria Math"/>
          <w:sz w:val="24"/>
        </w:rPr>
      </w:r>
    </w:p>
    <w:p w14:paraId="7DB9162C" w14:textId="77777777">
      <w:pPr>
        <w:pBdr/>
        <w:spacing w:line="360" w:lineRule="auto"/>
        <w:ind/>
        <w:jc w:val="both"/>
        <w:rPr>
          <w:rFonts w:ascii="Cambria Math" w:hAnsi="Cambria Math" w:cs="Cambria Math"/>
          <w:sz w:val="24"/>
        </w:rPr>
      </w:pPr>
      <w:r>
        <w:rPr>
          <w:rFonts w:ascii="Cambria Math" w:hAnsi="Cambria Math" w:cs="Cambria Math"/>
          <w:sz w:val="24"/>
        </w:rPr>
        <w:t xml:space="preserve">p.33 : Quels formats pour l’archivage et la diffusion ?</w:t>
      </w:r>
      <w:r>
        <w:rPr>
          <w:rFonts w:ascii="Cambria Math" w:hAnsi="Cambria Math" w:cs="Cambria Math"/>
          <w:sz w:val="24"/>
        </w:rPr>
      </w:r>
    </w:p>
    <w:p w14:paraId="409481BC" w14:textId="77777777">
      <w:pPr>
        <w:pBdr/>
        <w:spacing w:line="360" w:lineRule="auto"/>
        <w:ind/>
        <w:jc w:val="both"/>
        <w:rPr>
          <w:rFonts w:ascii="Cambria Math" w:hAnsi="Cambria Math" w:cs="Cambria Math"/>
          <w:sz w:val="24"/>
        </w:rPr>
      </w:pPr>
      <w:r>
        <w:rPr>
          <w:rFonts w:ascii="Cambria Math" w:hAnsi="Cambria Math" w:cs="Cambria Math"/>
          <w:sz w:val="24"/>
        </w:rPr>
        <w:t xml:space="preserve">Format principalement retenu pour l’archivage est le TIFF. Format très bien adapté à la conservation, au point que le référentiel de la BNF le présente comme « un standard de facto pour la conservation de masters image ».</w:t>
      </w:r>
      <w:r>
        <w:rPr>
          <w:rFonts w:ascii="Cambria Math" w:hAnsi="Cambria Math" w:cs="Cambria Math"/>
          <w:sz w:val="24"/>
        </w:rPr>
      </w:r>
    </w:p>
    <w:p w14:paraId="1C41CFF5" w14:textId="77777777">
      <w:pPr>
        <w:pBdr/>
        <w:spacing w:line="360" w:lineRule="auto"/>
        <w:ind/>
        <w:jc w:val="both"/>
        <w:rPr>
          <w:rFonts w:ascii="Cambria Math" w:hAnsi="Cambria Math" w:cs="Cambria Math"/>
          <w:sz w:val="24"/>
        </w:rPr>
      </w:pPr>
      <w:r>
        <w:rPr>
          <w:rFonts w:ascii="Cambria Math" w:hAnsi="Cambria Math" w:cs="Cambria Math"/>
          <w:sz w:val="24"/>
        </w:rPr>
        <w:t xml:space="preserve">Pérennité du format TIFF non compressé : pas porté par une organisation internationale de normalisation (mais maintenu par Adobe), n’est pas garantie, même s’il s’agit d’un format très bien documenté. </w:t>
      </w:r>
      <w:r>
        <w:rPr>
          <w:rFonts w:ascii="Cambria Math" w:hAnsi="Cambria Math" w:cs="Cambria Math"/>
          <w:sz w:val="24"/>
        </w:rPr>
      </w:r>
    </w:p>
    <w:p w14:paraId="23D3A87F" w14:textId="77777777">
      <w:pPr>
        <w:pBdr/>
        <w:spacing w:line="360" w:lineRule="auto"/>
        <w:ind/>
        <w:jc w:val="both"/>
        <w:rPr>
          <w:rFonts w:ascii="Cambria Math" w:hAnsi="Cambria Math" w:cs="Cambria Math"/>
          <w:sz w:val="24"/>
        </w:rPr>
      </w:pPr>
      <w:r>
        <w:rPr>
          <w:rFonts w:ascii="Cambria Math" w:hAnsi="Cambria Math" w:cs="Cambria Math"/>
          <w:sz w:val="24"/>
        </w:rPr>
        <w:t xml:space="preserve">Format TIFF présente la part</w:t>
      </w:r>
      <w:r>
        <w:rPr>
          <w:rFonts w:ascii="Cambria Math" w:hAnsi="Cambria Math" w:cs="Cambria Math"/>
          <w:sz w:val="24"/>
        </w:rPr>
        <w:t xml:space="preserve">icularité d’être très lourd. Exemple INHA : choix d’1 archivage des fichiers numérisés en TIFF, et d’une diffusion en JPEG et PDF. Ensemble des fichiers confondus occupe un total de 27 To, fichiers TIFF occupent plus de 91 % de cet espace de serveur total.</w:t>
      </w:r>
      <w:r>
        <w:rPr>
          <w:rFonts w:ascii="Cambria Math" w:hAnsi="Cambria Math" w:cs="Cambria Math"/>
          <w:sz w:val="24"/>
        </w:rPr>
      </w:r>
    </w:p>
    <w:p w14:paraId="09F3D659" w14:textId="77777777">
      <w:pPr>
        <w:pBdr/>
        <w:spacing w:line="360" w:lineRule="auto"/>
        <w:ind/>
        <w:jc w:val="both"/>
        <w:rPr>
          <w:rFonts w:ascii="Cambria Math" w:hAnsi="Cambria Math" w:cs="Cambria Math"/>
          <w:sz w:val="24"/>
        </w:rPr>
      </w:pPr>
      <w:r>
        <w:rPr>
          <w:rFonts w:ascii="Cambria Math" w:hAnsi="Cambria Math" w:cs="Cambria Math"/>
          <w:sz w:val="24"/>
        </w:rPr>
        <w:t xml:space="preserve">Cas de la BSG qui au moment de lancer son programme de numérisation se tourne vers le CINES (Centre informatique national de l’enseignement supérieur) pour l’archivage pérenne.</w:t>
      </w:r>
      <w:r>
        <w:rPr>
          <w:rFonts w:ascii="Cambria Math" w:hAnsi="Cambria Math" w:cs="Cambria Math"/>
          <w:sz w:val="24"/>
        </w:rPr>
        <w:t xml:space="preserve"> La BSG se trouve confr</w:t>
      </w:r>
      <w:r>
        <w:rPr>
          <w:rFonts w:ascii="Cambria Math" w:hAnsi="Cambria Math" w:cs="Cambria Math"/>
          <w:sz w:val="24"/>
        </w:rPr>
        <w:t xml:space="preserve">ontée à</w:t>
      </w:r>
      <w:r>
        <w:rPr>
          <w:rFonts w:ascii="Cambria Math" w:hAnsi="Cambria Math" w:cs="Cambria Math"/>
          <w:sz w:val="24"/>
        </w:rPr>
        <w:t xml:space="preserve"> un coût d’archivage considérable </w:t>
      </w:r>
      <w:r>
        <w:rPr>
          <w:rFonts w:ascii="Cambria Math" w:hAnsi="Cambria Math" w:cs="Cambria Math"/>
          <w:sz w:val="24"/>
        </w:rPr>
        <w:t xml:space="preserve">– le coût </w:t>
      </w:r>
      <w:r>
        <w:rPr>
          <w:rFonts w:ascii="Cambria Math" w:hAnsi="Cambria Math" w:cs="Cambria Math"/>
          <w:sz w:val="24"/>
        </w:rPr>
        <w:t xml:space="preserve">d’archivage considérable – le coût du To de stockage sur la plateforme d’archivage du CINES étant alors, à cette époque, très élevé. </w:t>
      </w:r>
      <w:r>
        <w:rPr>
          <w:rFonts w:ascii="Cambria Math" w:hAnsi="Cambria Math" w:cs="Cambria Math"/>
          <w:sz w:val="24"/>
        </w:rPr>
      </w:r>
    </w:p>
    <w:p w14:paraId="6A72CF60" w14:textId="77777777">
      <w:pPr>
        <w:pBdr/>
        <w:spacing w:line="360" w:lineRule="auto"/>
        <w:ind/>
        <w:jc w:val="both"/>
        <w:rPr>
          <w:rFonts w:ascii="Cambria Math" w:hAnsi="Cambria Math" w:cs="Cambria Math"/>
          <w:sz w:val="24"/>
        </w:rPr>
      </w:pPr>
      <w:r>
        <w:rPr>
          <w:rFonts w:ascii="Cambria Math" w:hAnsi="Cambria Math" w:cs="Cambria Math"/>
          <w:sz w:val="24"/>
        </w:rPr>
        <w:t xml:space="preserve">p.34 : en raison de son poids le format TIFF pas pris en charge par les navigateurs Web. Tout projet de diffusion des images numérisées nécessite donc la création de fichiers de consultation dérivés du master de conservation. </w:t>
      </w:r>
      <w:r>
        <w:rPr>
          <w:rFonts w:ascii="Cambria Math" w:hAnsi="Cambria Math" w:cs="Cambria Math"/>
          <w:sz w:val="24"/>
        </w:rPr>
      </w:r>
    </w:p>
    <w:p w14:paraId="518A74CF" w14:textId="77777777">
      <w:pPr>
        <w:pBdr/>
        <w:spacing w:line="360" w:lineRule="auto"/>
        <w:ind/>
        <w:jc w:val="both"/>
        <w:rPr>
          <w:rFonts w:ascii="Cambria Math" w:hAnsi="Cambria Math" w:cs="Cambria Math"/>
          <w:sz w:val="24"/>
        </w:rPr>
      </w:pPr>
      <w:r>
        <w:rPr>
          <w:rFonts w:ascii="Cambria Math" w:hAnsi="Cambria Math" w:cs="Cambria Math"/>
          <w:sz w:val="24"/>
        </w:rPr>
        <w:t xml:space="preserve">S’agit d’anticiper l’usage du service numérique qui permettra la diffusion de l’image numérisée.</w:t>
      </w:r>
      <w:r>
        <w:rPr>
          <w:rFonts w:ascii="Cambria Math" w:hAnsi="Cambria Math" w:cs="Cambria Math"/>
          <w:sz w:val="24"/>
        </w:rPr>
      </w:r>
    </w:p>
    <w:p w14:paraId="47B0085C" w14:textId="77777777">
      <w:pPr>
        <w:pBdr/>
        <w:spacing w:line="360" w:lineRule="auto"/>
        <w:ind/>
        <w:jc w:val="both"/>
        <w:rPr>
          <w:rFonts w:ascii="Cambria Math" w:hAnsi="Cambria Math" w:cs="Cambria Math"/>
          <w:sz w:val="24"/>
        </w:rPr>
      </w:pPr>
      <w:r>
        <w:rPr>
          <w:rFonts w:ascii="Cambria Math" w:hAnsi="Cambria Math" w:cs="Cambria Math"/>
          <w:sz w:val="24"/>
        </w:rPr>
        <w:t xml:space="preserve">Lionel </w:t>
      </w:r>
      <w:r>
        <w:rPr>
          <w:rFonts w:ascii="Cambria Math" w:hAnsi="Cambria Math" w:cs="Cambria Math"/>
          <w:sz w:val="24"/>
        </w:rPr>
        <w:t xml:space="preserve">Dujol</w:t>
      </w:r>
      <w:r>
        <w:rPr>
          <w:rFonts w:ascii="Cambria Math" w:hAnsi="Cambria Math" w:cs="Cambria Math"/>
          <w:sz w:val="24"/>
        </w:rPr>
        <w:t xml:space="preserve"> : « l’enjeu est de ne pas aggraver, lors de l’utilisation du service, le poids de charge de ses contenus et le nombre de requête vers le serveur. Le choix du format, de la taille, du poids des contenus multimédias est donc primordial ». </w:t>
      </w:r>
      <w:r>
        <w:rPr>
          <w:rFonts w:ascii="Cambria Math" w:hAnsi="Cambria Math" w:cs="Cambria Math"/>
          <w:sz w:val="24"/>
        </w:rPr>
      </w:r>
    </w:p>
    <w:p w14:paraId="473D7F1F" w14:textId="77777777">
      <w:pPr>
        <w:pBdr/>
        <w:spacing w:line="360" w:lineRule="auto"/>
        <w:ind/>
        <w:jc w:val="both"/>
        <w:rPr>
          <w:rFonts w:ascii="Cambria Math" w:hAnsi="Cambria Math" w:cs="Cambria Math"/>
          <w:sz w:val="24"/>
        </w:rPr>
      </w:pPr>
      <w:r>
        <w:rPr>
          <w:rFonts w:ascii="Cambria Math" w:hAnsi="Cambria Math" w:cs="Cambria Math"/>
          <w:sz w:val="24"/>
        </w:rPr>
        <w:t xml:space="preserve">Format JPEG : standard de compression d’images avec perte, convient très bien à un usage de diffusion.</w:t>
      </w:r>
      <w:r>
        <w:rPr>
          <w:rFonts w:ascii="Cambria Math" w:hAnsi="Cambria Math" w:cs="Cambria Math"/>
          <w:sz w:val="24"/>
        </w:rPr>
      </w:r>
    </w:p>
    <w:p w14:paraId="1D42AFF7" w14:textId="77777777">
      <w:pPr>
        <w:pBdr/>
        <w:spacing w:line="360" w:lineRule="auto"/>
        <w:ind/>
        <w:jc w:val="both"/>
        <w:rPr>
          <w:rFonts w:ascii="Cambria Math" w:hAnsi="Cambria Math" w:cs="Cambria Math"/>
          <w:sz w:val="24"/>
        </w:rPr>
      </w:pPr>
      <w:r>
        <w:rPr>
          <w:rFonts w:ascii="Cambria Math" w:hAnsi="Cambria Math" w:cs="Cambria Math"/>
          <w:sz w:val="24"/>
        </w:rPr>
        <w:t xml:space="preserve">p.35 : un même format pour l’archivage et la diffusion ?</w:t>
      </w:r>
      <w:r>
        <w:rPr>
          <w:rFonts w:ascii="Cambria Math" w:hAnsi="Cambria Math" w:cs="Cambria Math"/>
          <w:sz w:val="24"/>
        </w:rPr>
      </w:r>
    </w:p>
    <w:p w14:paraId="22655932" w14:textId="77777777">
      <w:pPr>
        <w:pBdr/>
        <w:spacing w:line="360" w:lineRule="auto"/>
        <w:ind/>
        <w:jc w:val="both"/>
        <w:rPr>
          <w:rFonts w:ascii="Cambria Math" w:hAnsi="Cambria Math" w:cs="Cambria Math"/>
          <w:sz w:val="24"/>
        </w:rPr>
      </w:pPr>
      <w:r>
        <w:rPr>
          <w:rFonts w:ascii="Cambria Math" w:hAnsi="Cambria Math" w:cs="Cambria Math"/>
          <w:sz w:val="24"/>
        </w:rPr>
        <w:t xml:space="preserve">envisager</w:t>
      </w:r>
      <w:r>
        <w:rPr>
          <w:rFonts w:ascii="Cambria Math" w:hAnsi="Cambria Math" w:cs="Cambria Math"/>
          <w:sz w:val="24"/>
        </w:rPr>
        <w:t xml:space="preserve"> pour réduire le poids des fichiers issus des campagnes de numérisation, l’hypothèse de l’adoption d’un format unique, en lieu et place de la distinction entre format d’archivage et format de diffusion.</w:t>
      </w:r>
      <w:r>
        <w:rPr>
          <w:rFonts w:ascii="Cambria Math" w:hAnsi="Cambria Math" w:cs="Cambria Math"/>
          <w:sz w:val="24"/>
        </w:rPr>
      </w:r>
    </w:p>
    <w:p w14:paraId="251B8B10" w14:textId="77777777">
      <w:pPr>
        <w:pBdr/>
        <w:spacing w:line="360" w:lineRule="auto"/>
        <w:ind/>
        <w:jc w:val="both"/>
        <w:rPr>
          <w:rFonts w:ascii="Cambria Math" w:hAnsi="Cambria Math" w:cs="Cambria Math"/>
          <w:sz w:val="24"/>
        </w:rPr>
      </w:pPr>
      <w:r>
        <w:rPr>
          <w:rFonts w:ascii="Cambria Math" w:hAnsi="Cambria Math" w:cs="Cambria Math"/>
          <w:sz w:val="24"/>
        </w:rPr>
        <w:t xml:space="preserve">Solution de format unique la plus largement répandue pour répondre à la fois aux exigences de conservation et aux attentes en termes de diffusion, est le JPEG 2000.</w:t>
      </w:r>
      <w:r>
        <w:rPr>
          <w:rFonts w:ascii="Cambria Math" w:hAnsi="Cambria Math" w:cs="Cambria Math"/>
          <w:sz w:val="24"/>
        </w:rPr>
      </w:r>
    </w:p>
    <w:p w14:paraId="2CB2AB9F" w14:textId="77777777">
      <w:pPr>
        <w:pBdr/>
        <w:spacing w:line="360" w:lineRule="auto"/>
        <w:ind/>
        <w:jc w:val="both"/>
        <w:rPr>
          <w:rFonts w:ascii="Cambria Math" w:hAnsi="Cambria Math" w:cs="Cambria Math"/>
          <w:sz w:val="24"/>
        </w:rPr>
      </w:pPr>
      <w:r>
        <w:rPr>
          <w:rFonts w:ascii="Cambria Math" w:hAnsi="Cambria Math" w:cs="Cambria Math"/>
          <w:sz w:val="24"/>
        </w:rPr>
        <w:t xml:space="preserve">Format JPEG 2000 : format de compression, utilisant une technologie de compression dite par « ondelettes ». </w:t>
      </w:r>
      <w:r>
        <w:rPr>
          <w:rFonts w:ascii="Cambria Math" w:hAnsi="Cambria Math" w:cs="Cambria Math"/>
          <w:sz w:val="24"/>
        </w:rPr>
        <w:t xml:space="preserve">L’algorithme</w:t>
      </w:r>
      <w:r>
        <w:rPr>
          <w:rFonts w:ascii="Cambria Math" w:hAnsi="Cambria Math" w:cs="Cambria Math"/>
          <w:sz w:val="24"/>
        </w:rPr>
        <w:t xml:space="preserve"> de compression utilisé lui permet d’offrir un rendu de meilleure qualité que le JPEG.</w:t>
      </w:r>
      <w:r>
        <w:rPr>
          <w:rFonts w:ascii="Cambria Math" w:hAnsi="Cambria Math" w:cs="Cambria Math"/>
          <w:sz w:val="24"/>
        </w:rPr>
      </w:r>
    </w:p>
    <w:p w14:paraId="5D6EBF30" w14:textId="77777777">
      <w:pPr>
        <w:pBdr/>
        <w:spacing w:line="360" w:lineRule="auto"/>
        <w:ind/>
        <w:jc w:val="both"/>
        <w:rPr>
          <w:rFonts w:ascii="Cambria Math" w:hAnsi="Cambria Math" w:cs="Cambria Math"/>
          <w:sz w:val="24"/>
        </w:rPr>
      </w:pPr>
      <w:r>
        <w:rPr>
          <w:rFonts w:ascii="Cambria Math" w:hAnsi="Cambria Math" w:cs="Cambria Math"/>
          <w:sz w:val="24"/>
        </w:rPr>
        <w:t xml:space="preserve">Conversion sans perte garantit une réduction conséquente du poids des données par rapport à un fichier TIFF, tout en restant totalement réversible. </w:t>
      </w:r>
      <w:r>
        <w:rPr>
          <w:rFonts w:ascii="Cambria Math" w:hAnsi="Cambria Math" w:cs="Cambria Math"/>
          <w:sz w:val="24"/>
        </w:rPr>
      </w:r>
    </w:p>
    <w:p w14:paraId="7CA978C3" w14:textId="77777777">
      <w:pPr>
        <w:pBdr/>
        <w:spacing w:line="360" w:lineRule="auto"/>
        <w:ind/>
        <w:jc w:val="both"/>
        <w:rPr>
          <w:rFonts w:ascii="Cambria Math" w:hAnsi="Cambria Math" w:cs="Cambria Math"/>
          <w:sz w:val="24"/>
        </w:rPr>
      </w:pPr>
      <w:r>
        <w:rPr>
          <w:rFonts w:ascii="Cambria Math" w:hAnsi="Cambria Math" w:cs="Cambria Math"/>
          <w:sz w:val="24"/>
        </w:rPr>
        <w:t xml:space="preserve">p.36 : Le choix du JPEG 2000 permet de réaliser des économies significatives d’espace serveur, tant au moment des échanges de fichiers avec le prestataire que dans une perspective de stockage à plus long terme. </w:t>
      </w:r>
      <w:r>
        <w:rPr>
          <w:rFonts w:ascii="Cambria Math" w:hAnsi="Cambria Math" w:cs="Cambria Math"/>
          <w:sz w:val="24"/>
        </w:rPr>
        <w:t xml:space="preserve">« L’argument décisi</w:t>
      </w:r>
      <w:r>
        <w:rPr>
          <w:rFonts w:ascii="Cambria Math" w:hAnsi="Cambria Math" w:cs="Cambria Math"/>
          <w:sz w:val="24"/>
        </w:rPr>
        <w:t xml:space="preserve">f », selon les termes de Julien Baudry, est de nature plus prospective : c’est avant out pour anticiper l’adoption du standard IIIF qu’a été choisi le JPEG 2000, le format le plus compatible avec cette technologie permettant l’interopérabilité des données.</w:t>
      </w:r>
      <w:r>
        <w:rPr>
          <w:rFonts w:ascii="Cambria Math" w:hAnsi="Cambria Math" w:cs="Cambria Math"/>
          <w:sz w:val="24"/>
        </w:rPr>
      </w:r>
    </w:p>
    <w:p w14:paraId="0C8AD95D" w14:textId="77777777">
      <w:pPr>
        <w:pBdr/>
        <w:spacing w:line="360" w:lineRule="auto"/>
        <w:ind/>
        <w:jc w:val="both"/>
        <w:rPr>
          <w:rFonts w:ascii="Cambria Math" w:hAnsi="Cambria Math" w:cs="Cambria Math"/>
          <w:sz w:val="24"/>
        </w:rPr>
      </w:pPr>
      <w:r>
        <w:rPr>
          <w:rFonts w:ascii="Cambria Math" w:hAnsi="Cambria Math" w:cs="Cambria Math"/>
          <w:sz w:val="24"/>
        </w:rPr>
        <w:t xml:space="preserve">JPEG 2000 présente l’avantage d’être compatible avec la technologie IIIF, comme en témoigne Pauline Rivière : « Quand nous avons voulu utiliser </w:t>
      </w:r>
      <w:r>
        <w:rPr>
          <w:rFonts w:ascii="Cambria Math" w:hAnsi="Cambria Math" w:cs="Cambria Math"/>
          <w:sz w:val="24"/>
        </w:rPr>
        <w:t xml:space="preserve">Cantaloupe</w:t>
      </w:r>
      <w:r>
        <w:rPr>
          <w:rFonts w:ascii="Cambria Math" w:hAnsi="Cambria Math" w:cs="Cambria Math"/>
          <w:sz w:val="24"/>
        </w:rPr>
        <w:t xml:space="preserve"> Server, qui est </w:t>
      </w:r>
      <w:r>
        <w:rPr>
          <w:rFonts w:ascii="Cambria Math" w:hAnsi="Cambria Math" w:cs="Cambria Math"/>
          <w:sz w:val="24"/>
        </w:rPr>
        <w:t xml:space="preserve">le serveur où nous exposons nos images pour avoir les métadonnées au format JSON, que nous mettons e</w:t>
      </w:r>
      <w:r>
        <w:rPr>
          <w:rFonts w:ascii="Cambria Math" w:hAnsi="Cambria Math" w:cs="Cambria Math"/>
          <w:sz w:val="24"/>
        </w:rPr>
        <w:t xml:space="preserve">nsuite dans notre bibliothèque numérique, nous avons vu que le format PNG n’était pas recommandé pour utiliser un serveur IIIF d’images. Comme il était hors de question de passer au TIFF pour une question de poids, nous sommes passés au format JPEG 2000 ».</w:t>
      </w:r>
      <w:r>
        <w:rPr>
          <w:rFonts w:ascii="Cambria Math" w:hAnsi="Cambria Math" w:cs="Cambria Math"/>
          <w:sz w:val="24"/>
        </w:rPr>
      </w:r>
    </w:p>
    <w:p w14:paraId="45C17650" w14:textId="77777777">
      <w:pPr>
        <w:pBdr/>
        <w:spacing w:line="360" w:lineRule="auto"/>
        <w:ind/>
        <w:jc w:val="both"/>
        <w:rPr>
          <w:rFonts w:ascii="Cambria Math" w:hAnsi="Cambria Math" w:cs="Cambria Math"/>
          <w:sz w:val="24"/>
        </w:rPr>
      </w:pPr>
      <w:r>
        <w:rPr>
          <w:rFonts w:ascii="Cambria Math" w:hAnsi="Cambria Math" w:cs="Cambria Math"/>
          <w:sz w:val="24"/>
        </w:rPr>
        <w:t xml:space="preserve">Ensuite 3 /4 mois de conversion de tous leurs fichiers haute définition archivés au </w:t>
      </w:r>
      <w:r>
        <w:rPr>
          <w:rFonts w:ascii="Cambria Math" w:hAnsi="Cambria Math" w:cs="Cambria Math"/>
          <w:sz w:val="24"/>
        </w:rPr>
        <w:t xml:space="preserve">Cines</w:t>
      </w:r>
      <w:r>
        <w:rPr>
          <w:rFonts w:ascii="Cambria Math" w:hAnsi="Cambria Math" w:cs="Cambria Math"/>
          <w:sz w:val="24"/>
        </w:rPr>
        <w:t xml:space="preserve"> sous format PNG, grâce à OpenJPEG.</w:t>
      </w:r>
      <w:r>
        <w:rPr>
          <w:rFonts w:ascii="Cambria Math" w:hAnsi="Cambria Math" w:cs="Cambria Math"/>
          <w:sz w:val="24"/>
        </w:rPr>
      </w:r>
    </w:p>
    <w:p w14:paraId="29E4B760" w14:textId="77777777">
      <w:pPr>
        <w:pBdr/>
        <w:spacing w:line="360" w:lineRule="auto"/>
        <w:ind/>
        <w:jc w:val="both"/>
        <w:rPr>
          <w:rFonts w:ascii="Cambria Math" w:hAnsi="Cambria Math" w:cs="Cambria Math"/>
          <w:sz w:val="24"/>
        </w:rPr>
      </w:pPr>
      <w:r>
        <w:rPr>
          <w:rFonts w:ascii="Cambria Math" w:hAnsi="Cambria Math" w:cs="Cambria Math"/>
          <w:sz w:val="24"/>
        </w:rPr>
        <w:t xml:space="preserve">p.37 : Stocker et pérenniser la donnée numérique </w:t>
      </w:r>
      <w:r>
        <w:rPr>
          <w:rFonts w:ascii="Cambria Math" w:hAnsi="Cambria Math" w:cs="Cambria Math"/>
          <w:sz w:val="24"/>
        </w:rPr>
      </w:r>
    </w:p>
    <w:p w14:paraId="465BAF52" w14:textId="77777777">
      <w:pPr>
        <w:pBdr/>
        <w:spacing w:line="360" w:lineRule="auto"/>
        <w:ind/>
        <w:jc w:val="both"/>
        <w:rPr>
          <w:rFonts w:ascii="Cambria Math" w:hAnsi="Cambria Math" w:cs="Cambria Math"/>
          <w:sz w:val="24"/>
        </w:rPr>
      </w:pPr>
      <w:r>
        <w:rPr>
          <w:rFonts w:ascii="Cambria Math" w:hAnsi="Cambria Math" w:cs="Cambria Math"/>
          <w:sz w:val="24"/>
        </w:rPr>
        <w:t xml:space="preserve">l’impact</w:t>
      </w:r>
      <w:r>
        <w:rPr>
          <w:rFonts w:ascii="Cambria Math" w:hAnsi="Cambria Math" w:cs="Cambria Math"/>
          <w:sz w:val="24"/>
        </w:rPr>
        <w:t xml:space="preserve"> des choix d’hébergement</w:t>
      </w:r>
      <w:r>
        <w:rPr>
          <w:rFonts w:ascii="Cambria Math" w:hAnsi="Cambria Math" w:cs="Cambria Math"/>
          <w:sz w:val="24"/>
        </w:rPr>
      </w:r>
    </w:p>
    <w:p w14:paraId="4661C7A3" w14:textId="77777777">
      <w:pPr>
        <w:pBdr/>
        <w:spacing w:line="360" w:lineRule="auto"/>
        <w:ind/>
        <w:jc w:val="both"/>
        <w:rPr>
          <w:rFonts w:ascii="Cambria Math" w:hAnsi="Cambria Math" w:cs="Cambria Math"/>
          <w:sz w:val="24"/>
        </w:rPr>
      </w:pPr>
      <w:r>
        <w:rPr>
          <w:rFonts w:ascii="Cambria Math" w:hAnsi="Cambria Math" w:cs="Cambria Math"/>
          <w:sz w:val="24"/>
        </w:rPr>
        <w:t xml:space="preserve">sauvegarde</w:t>
      </w:r>
      <w:r>
        <w:rPr>
          <w:rFonts w:ascii="Cambria Math" w:hAnsi="Cambria Math" w:cs="Cambria Math"/>
          <w:sz w:val="24"/>
        </w:rPr>
        <w:t xml:space="preserve"> et archivage pérenne</w:t>
      </w:r>
      <w:r>
        <w:rPr>
          <w:rFonts w:ascii="Cambria Math" w:hAnsi="Cambria Math" w:cs="Cambria Math"/>
          <w:sz w:val="24"/>
        </w:rPr>
      </w:r>
    </w:p>
    <w:p w14:paraId="303492CE" w14:textId="77777777">
      <w:pPr>
        <w:pBdr/>
        <w:spacing w:line="360" w:lineRule="auto"/>
        <w:ind/>
        <w:jc w:val="both"/>
        <w:rPr>
          <w:rFonts w:ascii="Cambria Math" w:hAnsi="Cambria Math" w:cs="Cambria Math"/>
          <w:sz w:val="24"/>
        </w:rPr>
      </w:pPr>
      <w:r>
        <w:rPr>
          <w:rFonts w:ascii="Cambria Math" w:hAnsi="Cambria Math" w:cs="Cambria Math"/>
          <w:sz w:val="24"/>
        </w:rPr>
        <w:t xml:space="preserve">la</w:t>
      </w:r>
      <w:r>
        <w:rPr>
          <w:rFonts w:ascii="Cambria Math" w:hAnsi="Cambria Math" w:cs="Cambria Math"/>
          <w:sz w:val="24"/>
        </w:rPr>
        <w:t xml:space="preserve"> plupart des répondants stockent en interne à la fois leurs </w:t>
      </w:r>
      <w:r>
        <w:rPr>
          <w:rFonts w:ascii="Cambria Math" w:hAnsi="Cambria Math" w:cs="Cambria Math"/>
          <w:sz w:val="24"/>
        </w:rPr>
        <w:t xml:space="preserve">fihciers</w:t>
      </w:r>
      <w:r>
        <w:rPr>
          <w:rFonts w:ascii="Cambria Math" w:hAnsi="Cambria Math" w:cs="Cambria Math"/>
          <w:sz w:val="24"/>
        </w:rPr>
        <w:t xml:space="preserve"> d’archivage et de diffusion. </w:t>
      </w:r>
      <w:r>
        <w:rPr>
          <w:rFonts w:ascii="Cambria Math" w:hAnsi="Cambria Math" w:cs="Cambria Math"/>
          <w:sz w:val="24"/>
        </w:rPr>
      </w:r>
    </w:p>
    <w:p w14:paraId="6BF0B376" w14:textId="77777777">
      <w:pPr>
        <w:pBdr/>
        <w:spacing w:line="360" w:lineRule="auto"/>
        <w:ind/>
        <w:jc w:val="both"/>
        <w:rPr>
          <w:rFonts w:ascii="Cambria Math" w:hAnsi="Cambria Math" w:cs="Cambria Math"/>
          <w:sz w:val="24"/>
        </w:rPr>
      </w:pPr>
      <w:r>
        <w:rPr>
          <w:rFonts w:ascii="Cambria Math" w:hAnsi="Cambria Math" w:cs="Cambria Math"/>
          <w:sz w:val="24"/>
        </w:rPr>
        <w:t xml:space="preserve">Trois types de solutions : </w:t>
      </w:r>
      <w:r>
        <w:rPr>
          <w:rFonts w:ascii="Cambria Math" w:hAnsi="Cambria Math" w:cs="Cambria Math"/>
          <w:sz w:val="24"/>
        </w:rPr>
      </w:r>
    </w:p>
    <w:p w14:paraId="0C21B2C7" w14:textId="77777777">
      <w:pPr>
        <w:pStyle w:val="683"/>
        <w:numPr>
          <w:ilvl w:val="0"/>
          <w:numId w:val="3"/>
        </w:numPr>
        <w:pBdr/>
        <w:spacing/>
        <w:ind/>
        <w:rPr>
          <w:rFonts w:ascii="Cambria Math" w:hAnsi="Cambria Math" w:cs="Cambria Math"/>
          <w:sz w:val="24"/>
        </w:rPr>
      </w:pPr>
      <w:r>
        <w:rPr>
          <w:rFonts w:ascii="Cambria Math" w:hAnsi="Cambria Math" w:cs="Cambria Math"/>
          <w:sz w:val="24"/>
        </w:rPr>
        <w:t xml:space="preserve">Archivage pérenne (externalisé au CINES) pour les fichiers de conservation (au format JPEG 2000) et </w:t>
      </w:r>
      <w:r>
        <w:rPr>
          <w:rFonts w:ascii="Cambria Math" w:hAnsi="Cambria Math" w:cs="Cambria Math"/>
          <w:sz w:val="24"/>
        </w:rPr>
        <w:t xml:space="preserve">hébregement</w:t>
      </w:r>
      <w:r>
        <w:rPr>
          <w:rFonts w:ascii="Cambria Math" w:hAnsi="Cambria Math" w:cs="Cambria Math"/>
          <w:sz w:val="24"/>
        </w:rPr>
        <w:t xml:space="preserve"> en local des </w:t>
      </w:r>
      <w:r>
        <w:rPr>
          <w:rFonts w:ascii="Cambria Math" w:hAnsi="Cambria Math" w:cs="Cambria Math"/>
          <w:sz w:val="24"/>
        </w:rPr>
        <w:t xml:space="preserve">fichiesr</w:t>
      </w:r>
      <w:r>
        <w:rPr>
          <w:rFonts w:ascii="Cambria Math" w:hAnsi="Cambria Math" w:cs="Cambria Math"/>
          <w:sz w:val="24"/>
        </w:rPr>
        <w:t xml:space="preserve"> de diffusion (au format PDF et JPEG) : il s’agit de la solution la plus économe en espace disque local, tout en s’inscrivant dans une démarche de préservation sur le très LT des données numérisées.</w:t>
      </w:r>
      <w:r>
        <w:rPr>
          <w:rFonts w:ascii="Cambria Math" w:hAnsi="Cambria Math" w:cs="Cambria Math"/>
          <w:sz w:val="24"/>
        </w:rPr>
      </w:r>
    </w:p>
    <w:p w14:paraId="03D427FB" w14:textId="77777777">
      <w:pPr>
        <w:pStyle w:val="683"/>
        <w:numPr>
          <w:ilvl w:val="0"/>
          <w:numId w:val="3"/>
        </w:numPr>
        <w:pBdr/>
        <w:spacing/>
        <w:ind/>
        <w:rPr>
          <w:rFonts w:ascii="Cambria Math" w:hAnsi="Cambria Math" w:cs="Cambria Math"/>
          <w:sz w:val="24"/>
        </w:rPr>
      </w:pPr>
      <w:r>
        <w:rPr>
          <w:rFonts w:ascii="Cambria Math" w:hAnsi="Cambria Math" w:cs="Cambria Math"/>
          <w:sz w:val="24"/>
        </w:rPr>
        <w:t xml:space="preserve">Archivage des fichiers de conservation en interne (avec procédures de redondance assurées par les DSI) et des fich</w:t>
      </w:r>
      <w:r>
        <w:rPr>
          <w:rFonts w:ascii="Cambria Math" w:hAnsi="Cambria Math" w:cs="Cambria Math"/>
          <w:sz w:val="24"/>
        </w:rPr>
        <w:t xml:space="preserve">iers de diffusion sur les serveurs du prestataire de la bibliothèque numérique : il s’agit d’une solution gourmande en espace de stockage interne, et qui ne présente pas les garanties offertes par le cadre réglementaire et technique de l’archivage pérenne.</w:t>
      </w:r>
      <w:r>
        <w:rPr>
          <w:rFonts w:ascii="Cambria Math" w:hAnsi="Cambria Math" w:cs="Cambria Math"/>
          <w:sz w:val="24"/>
        </w:rPr>
      </w:r>
    </w:p>
    <w:p w14:paraId="7D0E77AF" w14:textId="77777777">
      <w:pPr>
        <w:pStyle w:val="683"/>
        <w:numPr>
          <w:ilvl w:val="0"/>
          <w:numId w:val="3"/>
        </w:numPr>
        <w:pBdr/>
        <w:spacing/>
        <w:ind/>
        <w:rPr>
          <w:rFonts w:ascii="Cambria Math" w:hAnsi="Cambria Math" w:cs="Cambria Math"/>
          <w:sz w:val="24"/>
        </w:rPr>
      </w:pPr>
      <w:r>
        <w:rPr>
          <w:rFonts w:ascii="Cambria Math" w:hAnsi="Cambria Math" w:cs="Cambria Math"/>
          <w:sz w:val="24"/>
        </w:rPr>
        <w:t xml:space="preserve">Archivage pérenne des masters au </w:t>
      </w:r>
      <w:r>
        <w:rPr>
          <w:rFonts w:ascii="Cambria Math" w:hAnsi="Cambria Math" w:cs="Cambria Math"/>
          <w:sz w:val="24"/>
        </w:rPr>
        <w:t xml:space="preserve">Cines</w:t>
      </w:r>
      <w:r>
        <w:rPr>
          <w:rFonts w:ascii="Cambria Math" w:hAnsi="Cambria Math" w:cs="Cambria Math"/>
          <w:sz w:val="24"/>
        </w:rPr>
        <w:t xml:space="preserve">, conservation des JPEG basse définition, dévolus à la diffusion, sur un serveur interne, et double copie des fichiers de diffusion sur les serveurs du prestataire de la bibliothèque numérique.</w:t>
      </w:r>
      <w:r>
        <w:rPr>
          <w:rFonts w:ascii="Cambria Math" w:hAnsi="Cambria Math" w:cs="Cambria Math"/>
          <w:sz w:val="24"/>
        </w:rPr>
      </w:r>
    </w:p>
    <w:p w14:paraId="2F127AEC" w14:textId="77777777">
      <w:pPr>
        <w:pBdr/>
        <w:spacing/>
        <w:ind/>
        <w:jc w:val="both"/>
        <w:rPr>
          <w:rFonts w:ascii="Cambria Math" w:hAnsi="Cambria Math" w:cs="Cambria Math"/>
          <w:sz w:val="24"/>
        </w:rPr>
      </w:pPr>
      <w:r>
        <w:rPr>
          <w:rFonts w:ascii="Cambria Math" w:hAnsi="Cambria Math" w:cs="Cambria Math"/>
          <w:sz w:val="24"/>
        </w:rPr>
        <w:t xml:space="preserve">Sauvegarde : héberger les données numérisées sur des serveurs internes.</w:t>
      </w:r>
      <w:r>
        <w:rPr>
          <w:rFonts w:ascii="Cambria Math" w:hAnsi="Cambria Math" w:cs="Cambria Math"/>
          <w:sz w:val="24"/>
        </w:rPr>
      </w:r>
    </w:p>
    <w:p w14:paraId="73027D6F" w14:textId="77777777">
      <w:pPr>
        <w:pBdr/>
        <w:spacing/>
        <w:ind/>
        <w:jc w:val="both"/>
        <w:rPr>
          <w:rFonts w:ascii="Cambria Math" w:hAnsi="Cambria Math" w:cs="Cambria Math"/>
          <w:sz w:val="24"/>
        </w:rPr>
      </w:pPr>
      <w:r>
        <w:rPr>
          <w:rFonts w:ascii="Cambria Math" w:hAnsi="Cambria Math" w:cs="Cambria Math"/>
          <w:sz w:val="24"/>
        </w:rPr>
        <w:t xml:space="preserve">p.38 : but archivage pérenne « conserver le document et l’information qu’il </w:t>
      </w:r>
      <w:r>
        <w:rPr>
          <w:rFonts w:ascii="Cambria Math" w:hAnsi="Cambria Math" w:cs="Cambria Math"/>
          <w:sz w:val="24"/>
        </w:rPr>
        <w:t xml:space="preserve">contient</w:t>
      </w:r>
      <w:r>
        <w:rPr>
          <w:rFonts w:ascii="Cambria Math" w:hAnsi="Cambria Math" w:cs="Cambria Math"/>
          <w:sz w:val="24"/>
        </w:rPr>
        <w:t xml:space="preserve"> dans son aspect physique comme dans son aspect intellectuel, de manière à pouvoir le rendre accessible à long terme et à pouvoir demander une remontée d’archive ». </w:t>
      </w:r>
      <w:r>
        <w:rPr>
          <w:rFonts w:ascii="Cambria Math" w:hAnsi="Cambria Math" w:cs="Cambria Math"/>
          <w:sz w:val="24"/>
        </w:rPr>
      </w:r>
    </w:p>
    <w:p w14:paraId="4192F306" w14:textId="77777777">
      <w:pPr>
        <w:pBdr/>
        <w:spacing/>
        <w:ind/>
        <w:jc w:val="both"/>
        <w:rPr>
          <w:rFonts w:ascii="Cambria Math" w:hAnsi="Cambria Math" w:cs="Cambria Math"/>
          <w:sz w:val="24"/>
        </w:rPr>
      </w:pPr>
      <w:r>
        <w:rPr>
          <w:rFonts w:ascii="Cambria Math" w:hAnsi="Cambria Math" w:cs="Cambria Math"/>
          <w:sz w:val="24"/>
        </w:rPr>
        <w:t xml:space="preserve">enjeux</w:t>
      </w:r>
      <w:r>
        <w:rPr>
          <w:rFonts w:ascii="Cambria Math" w:hAnsi="Cambria Math" w:cs="Cambria Math"/>
          <w:sz w:val="24"/>
        </w:rPr>
        <w:t xml:space="preserve"> de la pérennisation concernent ainsi tous les niveaux de l’information numérique : </w:t>
      </w:r>
      <w:r>
        <w:rPr>
          <w:rFonts w:ascii="Cambria Math" w:hAnsi="Cambria Math" w:cs="Cambria Math"/>
          <w:sz w:val="24"/>
        </w:rPr>
      </w:r>
    </w:p>
    <w:p w14:paraId="3D821601" w14:textId="77777777">
      <w:pPr>
        <w:pBdr/>
        <w:spacing/>
        <w:ind/>
        <w:jc w:val="both"/>
        <w:rPr>
          <w:rFonts w:ascii="Cambria Math" w:hAnsi="Cambria Math" w:cs="Cambria Math"/>
          <w:sz w:val="24"/>
        </w:rPr>
      </w:pPr>
      <w:r>
        <w:rPr>
          <w:rFonts w:ascii="Cambria Math" w:hAnsi="Cambria Math" w:cs="Cambria Math"/>
          <w:sz w:val="24"/>
        </w:rPr>
        <w:t xml:space="preserve">« </w:t>
      </w:r>
      <w:r>
        <w:rPr>
          <w:rFonts w:ascii="Cambria Math" w:hAnsi="Cambria Math" w:cs="Cambria Math"/>
          <w:sz w:val="24"/>
        </w:rPr>
        <w:t xml:space="preserve">pérenniser</w:t>
      </w:r>
      <w:r>
        <w:rPr>
          <w:rFonts w:ascii="Cambria Math" w:hAnsi="Cambria Math" w:cs="Cambria Math"/>
          <w:sz w:val="24"/>
        </w:rPr>
        <w:t xml:space="preserve"> consiste donc à assurer la lisibilité des contenus en gérant les supports de stockage de manière raisonnée pour garantir l’intégrité des informations qu’ils contiennent (couche support). C’est également prendre en</w:t>
      </w:r>
      <w:r>
        <w:rPr>
          <w:rFonts w:ascii="Cambria Math" w:hAnsi="Cambria Math" w:cs="Cambria Math"/>
          <w:sz w:val="24"/>
        </w:rPr>
        <w:t xml:space="preserve"> compte l’obsolescence des matériels, notamment de lecture, pour permettre l’accès aux informations conservées (couche matérielle) et prévoir si nécessaire des migrations. Mais il n’est pas suffisant de garantir qu’un support est lisible et qu’il n’a pas s</w:t>
      </w:r>
      <w:r>
        <w:rPr>
          <w:rFonts w:ascii="Cambria Math" w:hAnsi="Cambria Math" w:cs="Cambria Math"/>
          <w:sz w:val="24"/>
        </w:rPr>
        <w:t xml:space="preserve">ubi d’altération, il faut également s’assurer que l’information qu’il contient est intelligible dans le temps, qu’elle pourra être décodée d’un point de vue technique (formats et contexte de création) et humain (métadonnées de gestion et de description) ».</w:t>
      </w:r>
      <w:r>
        <w:rPr>
          <w:rFonts w:ascii="Cambria Math" w:hAnsi="Cambria Math" w:cs="Cambria Math"/>
          <w:sz w:val="24"/>
        </w:rPr>
      </w:r>
    </w:p>
    <w:p w14:paraId="429302A0" w14:textId="77777777">
      <w:pPr>
        <w:pBdr/>
        <w:spacing/>
        <w:ind/>
        <w:jc w:val="both"/>
        <w:rPr>
          <w:rFonts w:ascii="Cambria Math" w:hAnsi="Cambria Math" w:cs="Cambria Math"/>
          <w:sz w:val="24"/>
        </w:rPr>
      </w:pPr>
      <w:r>
        <w:rPr>
          <w:rFonts w:ascii="Cambria Math" w:hAnsi="Cambria Math" w:cs="Cambria Math"/>
          <w:sz w:val="24"/>
        </w:rPr>
        <w:t xml:space="preserve">Archivage pérenne doit s’appuyer sur un ensemble de pratiques normalisées, définies par la norme de référence OAIS (Reference Model for an Open </w:t>
      </w:r>
      <w:r>
        <w:rPr>
          <w:rFonts w:ascii="Cambria Math" w:hAnsi="Cambria Math" w:cs="Cambria Math"/>
          <w:sz w:val="24"/>
        </w:rPr>
        <w:t xml:space="preserve">Archival</w:t>
      </w:r>
      <w:r>
        <w:rPr>
          <w:rFonts w:ascii="Cambria Math" w:hAnsi="Cambria Math" w:cs="Cambria Math"/>
          <w:sz w:val="24"/>
        </w:rPr>
        <w:t xml:space="preserve"> Information System, norme Iso 14721).</w:t>
      </w:r>
      <w:r>
        <w:rPr>
          <w:rFonts w:ascii="Cambria Math" w:hAnsi="Cambria Math" w:cs="Cambria Math"/>
          <w:sz w:val="24"/>
        </w:rPr>
      </w:r>
    </w:p>
    <w:p w14:paraId="1CD87AEF" w14:textId="77777777">
      <w:pPr>
        <w:pBdr/>
        <w:spacing/>
        <w:ind/>
        <w:jc w:val="both"/>
        <w:rPr>
          <w:rFonts w:ascii="Cambria Math" w:hAnsi="Cambria Math" w:cs="Cambria Math"/>
          <w:sz w:val="24"/>
        </w:rPr>
      </w:pPr>
      <w:r>
        <w:rPr>
          <w:rFonts w:ascii="Cambria Math" w:hAnsi="Cambria Math" w:cs="Cambria Math"/>
          <w:sz w:val="24"/>
        </w:rPr>
        <w:t xml:space="preserve">Le ministère de la Culture recommande le double archivage des images et des métadonnées associées produites lors de chantiers de numérisation patrimoniale : à la fois </w:t>
      </w:r>
      <w:r>
        <w:rPr>
          <w:rFonts w:ascii="Cambria Math" w:hAnsi="Cambria Math" w:cs="Cambria Math"/>
          <w:sz w:val="24"/>
        </w:rPr>
        <w:t xml:space="preserve">a</w:t>
      </w:r>
      <w:r>
        <w:rPr>
          <w:rFonts w:ascii="Cambria Math" w:hAnsi="Cambria Math" w:cs="Cambria Math"/>
          <w:sz w:val="24"/>
        </w:rPr>
        <w:t xml:space="preserve">u sein de l’établissement de conservation des documents reproduits et en externe</w:t>
      </w:r>
      <w:r>
        <w:rPr>
          <w:rFonts w:ascii="Cambria Math" w:hAnsi="Cambria Math" w:cs="Cambria Math"/>
          <w:sz w:val="24"/>
        </w:rPr>
        <w:t xml:space="preserve"> (prestataire public / privé).</w:t>
      </w:r>
      <w:r>
        <w:rPr>
          <w:rFonts w:ascii="Cambria Math" w:hAnsi="Cambria Math" w:cs="Cambria Math"/>
          <w:sz w:val="24"/>
        </w:rPr>
      </w:r>
    </w:p>
    <w:p w14:paraId="37F0EF40" w14:textId="77777777">
      <w:pPr>
        <w:pBdr/>
        <w:spacing w:line="360" w:lineRule="auto"/>
        <w:ind/>
        <w:jc w:val="both"/>
        <w:rPr>
          <w:rFonts w:ascii="Cambria Math" w:hAnsi="Cambria Math" w:cs="Cambria Math"/>
          <w:sz w:val="24"/>
        </w:rPr>
      </w:pPr>
      <w:r>
        <w:rPr>
          <w:rFonts w:ascii="Cambria Math" w:hAnsi="Cambria Math" w:cs="Cambria Math"/>
          <w:sz w:val="24"/>
        </w:rPr>
        <w:t xml:space="preserve">Politique de numérisation patrimoniale responsable se doit de placer l’enjeu de la préservation des données au centre de ses préoccupations. </w:t>
      </w:r>
      <w:r>
        <w:rPr>
          <w:rFonts w:ascii="Cambria Math" w:hAnsi="Cambria Math" w:cs="Cambria Math"/>
          <w:sz w:val="24"/>
        </w:rPr>
      </w:r>
    </w:p>
    <w:p w14:paraId="31174E95" w14:textId="77777777">
      <w:pPr>
        <w:pBdr/>
        <w:spacing w:line="360" w:lineRule="auto"/>
        <w:ind/>
        <w:jc w:val="both"/>
        <w:rPr>
          <w:rFonts w:ascii="Cambria Math" w:hAnsi="Cambria Math" w:cs="Cambria Math"/>
          <w:sz w:val="24"/>
        </w:rPr>
      </w:pPr>
      <w:r>
        <w:rPr>
          <w:rFonts w:ascii="Cambria Math" w:hAnsi="Cambria Math" w:cs="Cambria Math"/>
          <w:sz w:val="24"/>
        </w:rPr>
        <w:t xml:space="preserve">p.38-39 : « l’archivage pérenne peut a</w:t>
      </w:r>
      <w:r>
        <w:rPr>
          <w:rFonts w:ascii="Cambria Math" w:hAnsi="Cambria Math" w:cs="Cambria Math"/>
          <w:sz w:val="24"/>
        </w:rPr>
        <w:t xml:space="preserve">lors être envisagé comme la réponse à une nouvelle vision patrimoniale à long terme des données, images et documents produits par les établissements de l’ESR (numérisations, produits pédagogiques, thèses, écrits scientifiques, données de natures diverses).</w:t>
      </w:r>
      <w:r>
        <w:rPr>
          <w:rFonts w:ascii="Cambria Math" w:hAnsi="Cambria Math" w:cs="Cambria Math"/>
          <w:sz w:val="24"/>
        </w:rPr>
      </w:r>
    </w:p>
    <w:p w14:paraId="662E65EB" w14:textId="77777777">
      <w:pPr>
        <w:pBdr/>
        <w:spacing w:line="360" w:lineRule="auto"/>
        <w:ind/>
        <w:jc w:val="both"/>
        <w:rPr>
          <w:rFonts w:ascii="Cambria Math" w:hAnsi="Cambria Math" w:cs="Cambria Math"/>
          <w:sz w:val="24"/>
        </w:rPr>
      </w:pPr>
      <w:r>
        <w:rPr>
          <w:rFonts w:ascii="Cambria Math" w:hAnsi="Cambria Math" w:cs="Cambria Math"/>
          <w:sz w:val="24"/>
        </w:rPr>
        <w:t xml:space="preserve">p.44 : </w:t>
      </w:r>
      <w:r>
        <w:rPr>
          <w:rFonts w:ascii="Cambria Math" w:hAnsi="Cambria Math" w:cs="Cambria Math"/>
          <w:sz w:val="24"/>
        </w:rPr>
        <w:t xml:space="preserve">archivage pérenne : solu</w:t>
      </w:r>
      <w:r>
        <w:rPr>
          <w:rFonts w:ascii="Cambria Math" w:hAnsi="Cambria Math" w:cs="Cambria Math"/>
          <w:sz w:val="24"/>
        </w:rPr>
        <w:t xml:space="preserve">tion gourmande : au-delà des coûts engendrés par le stockage sur disques (énergie utilisée pour l’alimentation et le refroidissement des disques, des processeurs et des infrastructures réseau ; fabrication et transport de ces composants électroniques), le </w:t>
      </w:r>
      <w:r>
        <w:rPr>
          <w:rFonts w:ascii="Cambria Math" w:hAnsi="Cambria Math" w:cs="Cambria Math"/>
          <w:sz w:val="24"/>
        </w:rPr>
        <w:t xml:space="preserve">respect des normes de préservation numérique oblige à répliquer des copies des fichiers sur  des serveurs distants et à calculer régulièrement des sommes de contrôle (ou checksums), qui permettent de vérifier que l’intégralité des données a été préservée. </w:t>
      </w:r>
      <w:r>
        <w:rPr>
          <w:rFonts w:ascii="Cambria Math" w:hAnsi="Cambria Math" w:cs="Cambria Math"/>
          <w:sz w:val="24"/>
        </w:rPr>
      </w:r>
    </w:p>
    <w:p w14:paraId="1D08E6A1" w14:textId="77777777">
      <w:pPr>
        <w:pBdr/>
        <w:spacing w:line="360" w:lineRule="auto"/>
        <w:ind/>
        <w:jc w:val="both"/>
        <w:rPr>
          <w:rFonts w:ascii="Cambria Math" w:hAnsi="Cambria Math" w:cs="Cambria Math"/>
          <w:sz w:val="24"/>
        </w:rPr>
      </w:pPr>
      <w:r>
        <w:rPr>
          <w:rFonts w:ascii="Cambria Math" w:hAnsi="Cambria Math" w:cs="Cambria Math"/>
          <w:sz w:val="24"/>
        </w:rPr>
        <w:t xml:space="preserve">Migrations de format nécessaires pour garantir la lisibilité, sur le LT, des fichiers archivés sont très énergivores.</w:t>
      </w:r>
      <w:r>
        <w:rPr>
          <w:rFonts w:ascii="Cambria Math" w:hAnsi="Cambria Math" w:cs="Cambria Math"/>
          <w:sz w:val="24"/>
        </w:rPr>
      </w:r>
    </w:p>
    <w:p w14:paraId="7984646F" w14:textId="77777777">
      <w:pPr>
        <w:pBdr/>
        <w:spacing w:line="360" w:lineRule="auto"/>
        <w:ind/>
        <w:jc w:val="both"/>
        <w:rPr>
          <w:rFonts w:ascii="Cambria Math" w:hAnsi="Cambria Math" w:cs="Cambria Math"/>
          <w:sz w:val="24"/>
        </w:rPr>
      </w:pPr>
      <w:r>
        <w:rPr>
          <w:rFonts w:ascii="Cambria Math" w:hAnsi="Cambria Math" w:cs="Cambria Math"/>
          <w:sz w:val="24"/>
        </w:rPr>
        <w:t xml:space="preserve">p.54 : distinction entre obsolescence matérielle et obsolescence logicielle. Durabilité d’un processus de numérisation ne repose pas exclusivement sur l’allongement de la durée de vie des appareils utilisés au moment de la prise de vue. </w:t>
      </w:r>
      <w:r>
        <w:rPr>
          <w:rFonts w:ascii="Cambria Math" w:hAnsi="Cambria Math" w:cs="Cambria Math"/>
          <w:sz w:val="24"/>
        </w:rPr>
      </w:r>
    </w:p>
    <w:p w14:paraId="670DEE22" w14:textId="77777777">
      <w:pPr>
        <w:pBdr/>
        <w:spacing w:line="360" w:lineRule="auto"/>
        <w:ind/>
        <w:jc w:val="both"/>
        <w:rPr>
          <w:rFonts w:ascii="Cambria Math" w:hAnsi="Cambria Math" w:cs="Cambria Math"/>
          <w:sz w:val="24"/>
        </w:rPr>
      </w:pPr>
      <w:r>
        <w:rPr>
          <w:rFonts w:ascii="Cambria Math" w:hAnsi="Cambria Math" w:cs="Cambria Math"/>
          <w:sz w:val="24"/>
        </w:rPr>
        <w:t xml:space="preserve">Envisager la pérennité de la chaîne de numérisation : à travers emploi de solutions logicielles performantes permettant de rationaliser le workflow.</w:t>
      </w:r>
      <w:r>
        <w:rPr>
          <w:rFonts w:ascii="Cambria Math" w:hAnsi="Cambria Math" w:cs="Cambria Math"/>
          <w:sz w:val="24"/>
        </w:rPr>
      </w:r>
    </w:p>
    <w:p w14:paraId="1C757947" w14:textId="77777777">
      <w:pPr>
        <w:pBdr/>
        <w:spacing w:line="360" w:lineRule="auto"/>
        <w:ind/>
        <w:jc w:val="both"/>
        <w:rPr>
          <w:rFonts w:ascii="Cambria Math" w:hAnsi="Cambria Math" w:cs="Cambria Math"/>
          <w:sz w:val="24"/>
        </w:rPr>
      </w:pPr>
      <w:r>
        <w:rPr>
          <w:rFonts w:ascii="Cambria Math" w:hAnsi="Cambria Math" w:cs="Cambria Math"/>
          <w:sz w:val="24"/>
        </w:rPr>
        <w:t xml:space="preserve">Dvlpt</w:t>
      </w:r>
      <w:r>
        <w:rPr>
          <w:rFonts w:ascii="Cambria Math" w:hAnsi="Cambria Math" w:cs="Cambria Math"/>
          <w:sz w:val="24"/>
        </w:rPr>
        <w:t xml:space="preserve"> logiciel </w:t>
      </w:r>
      <w:r>
        <w:rPr>
          <w:rFonts w:ascii="Cambria Math" w:hAnsi="Cambria Math" w:cs="Cambria Math"/>
          <w:sz w:val="24"/>
        </w:rPr>
        <w:t xml:space="preserve">NumaHOP</w:t>
      </w:r>
      <w:r>
        <w:rPr>
          <w:rFonts w:ascii="Cambria Math" w:hAnsi="Cambria Math" w:cs="Cambria Math"/>
          <w:sz w:val="24"/>
        </w:rPr>
        <w:t xml:space="preserve"> : solution digne d’être mise en lumière.</w:t>
      </w:r>
      <w:r>
        <w:rPr>
          <w:rFonts w:ascii="Cambria Math" w:hAnsi="Cambria Math" w:cs="Cambria Math"/>
          <w:sz w:val="24"/>
        </w:rPr>
      </w:r>
    </w:p>
    <w:p w14:paraId="61BA53FC" w14:textId="77777777">
      <w:pPr>
        <w:pBdr/>
        <w:spacing w:line="360" w:lineRule="auto"/>
        <w:ind/>
        <w:jc w:val="both"/>
        <w:rPr>
          <w:rFonts w:ascii="Cambria Math" w:hAnsi="Cambria Math" w:cs="Cambria Math"/>
          <w:sz w:val="24"/>
        </w:rPr>
      </w:pPr>
      <w:r>
        <w:rPr>
          <w:rFonts w:ascii="Cambria Math" w:hAnsi="Cambria Math" w:cs="Cambria Math"/>
          <w:sz w:val="24"/>
        </w:rPr>
        <w:t xml:space="preserve">NumaHOP</w:t>
      </w:r>
      <w:r>
        <w:rPr>
          <w:rFonts w:ascii="Cambria Math" w:hAnsi="Cambria Math" w:cs="Cambria Math"/>
          <w:sz w:val="24"/>
        </w:rPr>
        <w:t xml:space="preserve"> : progiciel open source qui permet de gérer l’ensemble de la chaîne de numérisation. </w:t>
      </w:r>
      <w:r>
        <w:rPr>
          <w:rFonts w:ascii="Cambria Math" w:hAnsi="Cambria Math" w:cs="Cambria Math"/>
          <w:sz w:val="24"/>
        </w:rPr>
        <w:t xml:space="preserve">Dvlpé</w:t>
      </w:r>
      <w:r>
        <w:rPr>
          <w:rFonts w:ascii="Cambria Math" w:hAnsi="Cambria Math" w:cs="Cambria Math"/>
          <w:sz w:val="24"/>
        </w:rPr>
        <w:t xml:space="preserve"> entre 2016 et 2018 par la </w:t>
      </w:r>
      <w:r>
        <w:rPr>
          <w:rFonts w:ascii="Cambria Math" w:hAnsi="Cambria Math" w:cs="Cambria Math"/>
          <w:sz w:val="24"/>
        </w:rPr>
        <w:t xml:space="preserve">scté</w:t>
      </w:r>
      <w:r>
        <w:rPr>
          <w:rFonts w:ascii="Cambria Math" w:hAnsi="Cambria Math" w:cs="Cambria Math"/>
          <w:sz w:val="24"/>
        </w:rPr>
        <w:t xml:space="preserve"> </w:t>
      </w:r>
      <w:r>
        <w:rPr>
          <w:rFonts w:ascii="Cambria Math" w:hAnsi="Cambria Math" w:cs="Cambria Math"/>
          <w:sz w:val="24"/>
        </w:rPr>
        <w:t xml:space="preserve">TechAdvantage</w:t>
      </w:r>
      <w:r>
        <w:rPr>
          <w:rFonts w:ascii="Cambria Math" w:hAnsi="Cambria Math" w:cs="Cambria Math"/>
          <w:sz w:val="24"/>
        </w:rPr>
        <w:t xml:space="preserve">, en collaboration avec la </w:t>
      </w:r>
      <w:r>
        <w:rPr>
          <w:rFonts w:ascii="Cambria Math" w:hAnsi="Cambria Math" w:cs="Cambria Math"/>
          <w:sz w:val="24"/>
        </w:rPr>
        <w:t xml:space="preserve">Bulac</w:t>
      </w:r>
      <w:r>
        <w:rPr>
          <w:rFonts w:ascii="Cambria Math" w:hAnsi="Cambria Math" w:cs="Cambria Math"/>
          <w:sz w:val="24"/>
        </w:rPr>
        <w:t xml:space="preserve">, la BSG et la bibliothèque de Sc</w:t>
      </w:r>
      <w:r>
        <w:rPr>
          <w:rFonts w:ascii="Cambria Math" w:hAnsi="Cambria Math" w:cs="Cambria Math"/>
          <w:sz w:val="24"/>
        </w:rPr>
        <w:t xml:space="preserve">iences Po. Composition : 3 modules principaux = gèrent les imports (de métadonnées et de fichiers numériques), le contrôle qualité et les exports (vers les plateformes d’archivage – par exemple au </w:t>
      </w:r>
      <w:r>
        <w:rPr>
          <w:rFonts w:ascii="Cambria Math" w:hAnsi="Cambria Math" w:cs="Cambria Math"/>
          <w:sz w:val="24"/>
        </w:rPr>
        <w:t xml:space="preserve">Cines</w:t>
      </w:r>
      <w:r>
        <w:rPr>
          <w:rFonts w:ascii="Cambria Math" w:hAnsi="Cambria Math" w:cs="Cambria Math"/>
          <w:sz w:val="24"/>
        </w:rPr>
        <w:t xml:space="preserve"> – et de diffusion – bibliothèques numériques). </w:t>
      </w:r>
      <w:r>
        <w:rPr>
          <w:rFonts w:ascii="Cambria Math" w:hAnsi="Cambria Math" w:cs="Cambria Math"/>
          <w:sz w:val="24"/>
        </w:rPr>
        <w:t xml:space="preserve">Ajout de modules annexes : gérer les lots, procéder aux constats d’état, de piloter les indicateurs et de paramétrer l’outil.</w:t>
      </w:r>
      <w:r>
        <w:rPr>
          <w:rFonts w:ascii="Cambria Math" w:hAnsi="Cambria Math" w:cs="Cambria Math"/>
          <w:sz w:val="24"/>
        </w:rPr>
      </w:r>
    </w:p>
    <w:p w14:paraId="4434D76B" w14:textId="77777777">
      <w:pPr>
        <w:pBdr/>
        <w:spacing w:line="360" w:lineRule="auto"/>
        <w:ind/>
        <w:jc w:val="both"/>
        <w:rPr>
          <w:rFonts w:ascii="Cambria Math" w:hAnsi="Cambria Math" w:cs="Cambria Math"/>
          <w:sz w:val="24"/>
        </w:rPr>
      </w:pPr>
      <w:r>
        <w:rPr>
          <w:rFonts w:ascii="Cambria Math" w:hAnsi="Cambria Math" w:cs="Cambria Math"/>
          <w:sz w:val="24"/>
        </w:rPr>
        <w:t xml:space="preserve">En simplifiant et en automatisant les liens avec le prestataire (pour le dépôt des images et les bordereaux de contrôle, notamment), en économisant les manipulations de fichiers et le </w:t>
      </w:r>
      <w:r>
        <w:rPr>
          <w:rFonts w:ascii="Cambria Math" w:hAnsi="Cambria Math" w:cs="Cambria Math"/>
          <w:sz w:val="24"/>
        </w:rPr>
        <w:t xml:space="preserve">dvlpt</w:t>
      </w:r>
      <w:r>
        <w:rPr>
          <w:rFonts w:ascii="Cambria Math" w:hAnsi="Cambria Math" w:cs="Cambria Math"/>
          <w:sz w:val="24"/>
        </w:rPr>
        <w:t xml:space="preserve"> d’outils locaux, en ne sollicitant plus les serveurs locaux pour les opérations de « transition » (réalisées désormais sur un serveur de transition mutualisé), </w:t>
      </w:r>
      <w:r>
        <w:rPr>
          <w:rFonts w:ascii="Cambria Math" w:hAnsi="Cambria Math" w:cs="Cambria Math"/>
          <w:sz w:val="24"/>
        </w:rPr>
        <w:t xml:space="preserve">NumaHOP</w:t>
      </w:r>
      <w:r>
        <w:rPr>
          <w:rFonts w:ascii="Cambria Math" w:hAnsi="Cambria Math" w:cs="Cambria Math"/>
          <w:sz w:val="24"/>
        </w:rPr>
        <w:t xml:space="preserve"> permet assurément de réaliser des gains de consommation énergétique.</w:t>
      </w:r>
      <w:r>
        <w:rPr>
          <w:rFonts w:ascii="Cambria Math" w:hAnsi="Cambria Math" w:cs="Cambria Math"/>
          <w:sz w:val="24"/>
        </w:rPr>
      </w:r>
    </w:p>
    <w:p w14:paraId="3A38FACA" w14:textId="77777777">
      <w:pPr>
        <w:pBdr/>
        <w:spacing w:line="360" w:lineRule="auto"/>
        <w:ind/>
        <w:jc w:val="both"/>
        <w:rPr>
          <w:rFonts w:ascii="Cambria Math" w:hAnsi="Cambria Math" w:cs="Cambria Math"/>
          <w:sz w:val="24"/>
        </w:rPr>
      </w:pPr>
      <w:r>
        <w:rPr>
          <w:rFonts w:ascii="Cambria Math" w:hAnsi="Cambria Math" w:cs="Cambria Math"/>
          <w:sz w:val="24"/>
        </w:rPr>
        <w:t xml:space="preserve">Gains de </w:t>
      </w:r>
      <w:r>
        <w:rPr>
          <w:rFonts w:ascii="Cambria Math" w:hAnsi="Cambria Math" w:cs="Cambria Math"/>
          <w:sz w:val="24"/>
        </w:rPr>
        <w:t xml:space="preserve">NumaHOP</w:t>
      </w:r>
      <w:r>
        <w:rPr>
          <w:rFonts w:ascii="Cambria Math" w:hAnsi="Cambria Math" w:cs="Cambria Math"/>
          <w:sz w:val="24"/>
        </w:rPr>
        <w:t xml:space="preserve"> : effets induits d’économies d’échelle, d’arbitrage entre recherche de l’efficience (adéquation des moyens – financiers et énergétiques – et des résultats attendus) et recherche de la performance.</w:t>
      </w:r>
      <w:r>
        <w:rPr>
          <w:rFonts w:ascii="Cambria Math" w:hAnsi="Cambria Math" w:cs="Cambria Math"/>
          <w:sz w:val="24"/>
        </w:rPr>
      </w:r>
    </w:p>
    <w:p w14:paraId="36F9E5D5" w14:textId="77777777">
      <w:pPr>
        <w:pBdr/>
        <w:spacing w:line="360" w:lineRule="auto"/>
        <w:ind/>
        <w:jc w:val="both"/>
        <w:rPr>
          <w:rFonts w:ascii="Cambria Math" w:hAnsi="Cambria Math" w:cs="Cambria Math"/>
          <w:sz w:val="24"/>
        </w:rPr>
      </w:pPr>
      <w:r>
        <w:rPr>
          <w:rFonts w:ascii="Cambria Math" w:hAnsi="Cambria Math" w:cs="Cambria Math"/>
          <w:sz w:val="24"/>
        </w:rPr>
        <w:t xml:space="preserve">p.55 : BSU =&gt; adoption de </w:t>
      </w:r>
      <w:r>
        <w:rPr>
          <w:rFonts w:ascii="Cambria Math" w:hAnsi="Cambria Math" w:cs="Cambria Math"/>
          <w:sz w:val="24"/>
        </w:rPr>
        <w:t xml:space="preserve">NumaHOP</w:t>
      </w:r>
      <w:r>
        <w:rPr>
          <w:rFonts w:ascii="Cambria Math" w:hAnsi="Cambria Math" w:cs="Cambria Math"/>
          <w:sz w:val="24"/>
        </w:rPr>
        <w:t xml:space="preserve"> : internaliser l’</w:t>
      </w:r>
      <w:r>
        <w:rPr>
          <w:rFonts w:ascii="Cambria Math" w:hAnsi="Cambria Math" w:cs="Cambria Math"/>
          <w:sz w:val="24"/>
        </w:rPr>
        <w:t xml:space="preserve">océrisation</w:t>
      </w:r>
      <w:r>
        <w:rPr>
          <w:rFonts w:ascii="Cambria Math" w:hAnsi="Cambria Math" w:cs="Cambria Math"/>
          <w:sz w:val="24"/>
        </w:rPr>
        <w:t xml:space="preserve">, a renoncé à confier cette opération à son prestataire de numérisation. Choix : permis de diviser la fa</w:t>
      </w:r>
      <w:r>
        <w:rPr>
          <w:rFonts w:ascii="Cambria Math" w:hAnsi="Cambria Math" w:cs="Cambria Math"/>
          <w:sz w:val="24"/>
        </w:rPr>
        <w:t xml:space="preserve">cture par deux la facture de son prestataire. Internalisation de l’OCR : entraîné une diminution de la qualité de la lisibilité du format texte ainsi produit, car celui-ci ne bénéficie plus du contrôle qualité scrupuleux (et très onéreux) que proposait le </w:t>
      </w:r>
      <w:r>
        <w:rPr>
          <w:rFonts w:ascii="Cambria Math" w:hAnsi="Cambria Math" w:cs="Cambria Math"/>
          <w:sz w:val="24"/>
        </w:rPr>
        <w:t xml:space="preserve">prestataire</w:t>
      </w:r>
      <w:r>
        <w:rPr>
          <w:rFonts w:ascii="Cambria Math" w:hAnsi="Cambria Math" w:cs="Cambria Math"/>
          <w:sz w:val="24"/>
        </w:rPr>
        <w:t xml:space="preserve">, qui par exemple, corrigeait les transcriptions de formules mathématiques. </w:t>
      </w:r>
      <w:r>
        <w:rPr>
          <w:rFonts w:ascii="Cambria Math" w:hAnsi="Cambria Math" w:cs="Cambria Math"/>
          <w:sz w:val="24"/>
        </w:rPr>
      </w:r>
    </w:p>
    <w:p w14:paraId="2BF2FD0A" w14:textId="77777777">
      <w:pPr>
        <w:pBdr/>
        <w:spacing w:line="360" w:lineRule="auto"/>
        <w:ind/>
        <w:jc w:val="both"/>
        <w:rPr>
          <w:rFonts w:ascii="Cambria Math" w:hAnsi="Cambria Math" w:cs="Cambria Math"/>
          <w:sz w:val="24"/>
        </w:rPr>
      </w:pPr>
      <w:r>
        <w:rPr>
          <w:rFonts w:ascii="Cambria Math" w:hAnsi="Cambria Math" w:cs="Cambria Math"/>
          <w:sz w:val="24"/>
        </w:rPr>
        <w:t xml:space="preserve">Mise en balance des coûts et des bénéfices induits par ce choix a joué en faveur de l’abandon du contrôle qualité de l’</w:t>
      </w:r>
      <w:r>
        <w:rPr>
          <w:rFonts w:ascii="Cambria Math" w:hAnsi="Cambria Math" w:cs="Cambria Math"/>
          <w:sz w:val="24"/>
        </w:rPr>
        <w:t xml:space="preserve">océrisation</w:t>
      </w:r>
      <w:r>
        <w:rPr>
          <w:rFonts w:ascii="Cambria Math" w:hAnsi="Cambria Math" w:cs="Cambria Math"/>
          <w:sz w:val="24"/>
        </w:rPr>
        <w:t xml:space="preserve">.</w:t>
      </w:r>
      <w:r>
        <w:rPr>
          <w:rFonts w:ascii="Cambria Math" w:hAnsi="Cambria Math" w:cs="Cambria Math"/>
          <w:sz w:val="24"/>
        </w:rPr>
      </w:r>
    </w:p>
    <w:p w14:paraId="23E22840" w14:textId="77777777">
      <w:pPr>
        <w:pBdr/>
        <w:spacing w:line="360" w:lineRule="auto"/>
        <w:ind/>
        <w:jc w:val="both"/>
        <w:rPr>
          <w:rFonts w:ascii="Cambria Math" w:hAnsi="Cambria Math" w:cs="Cambria Math"/>
          <w:sz w:val="24"/>
        </w:rPr>
      </w:pPr>
      <w:r>
        <w:rPr>
          <w:rFonts w:ascii="Cambria Math" w:hAnsi="Cambria Math" w:cs="Cambria Math"/>
          <w:sz w:val="24"/>
        </w:rPr>
        <w:t xml:space="preserve">BSU : choisi de privilégier le rapport entre les moyens engagés et les résultats attendus. Priorité à la recherche de l’efficience de la chaîne de numérisation sur la recherche de la performance. </w:t>
      </w:r>
      <w:r>
        <w:rPr>
          <w:rFonts w:ascii="Cambria Math" w:hAnsi="Cambria Math" w:cs="Cambria Math"/>
          <w:sz w:val="24"/>
        </w:rPr>
      </w:r>
    </w:p>
    <w:p w14:paraId="362EDAE5" w14:textId="77777777">
      <w:pPr>
        <w:pBdr/>
        <w:spacing w:line="360" w:lineRule="auto"/>
        <w:ind/>
        <w:jc w:val="both"/>
        <w:rPr>
          <w:rFonts w:ascii="Cambria Math" w:hAnsi="Cambria Math" w:cs="Cambria Math"/>
          <w:sz w:val="24"/>
        </w:rPr>
      </w:pPr>
      <w:r>
        <w:rPr>
          <w:rFonts w:ascii="Cambria Math" w:hAnsi="Cambria Math" w:cs="Cambria Math"/>
          <w:sz w:val="24"/>
        </w:rPr>
        <w:t xml:space="preserve">1</w:t>
      </w:r>
      <w:r>
        <w:rPr>
          <w:rFonts w:ascii="Cambria Math" w:hAnsi="Cambria Math" w:cs="Cambria Math"/>
          <w:sz w:val="24"/>
          <w:vertAlign w:val="superscript"/>
        </w:rPr>
        <w:t xml:space="preserve">er</w:t>
      </w:r>
      <w:r>
        <w:rPr>
          <w:rFonts w:ascii="Cambria Math" w:hAnsi="Cambria Math" w:cs="Cambria Math"/>
          <w:sz w:val="24"/>
        </w:rPr>
        <w:t xml:space="preserve"> exemple = forme d’illustration d’une gestion responsable des ressources numériques.</w:t>
      </w:r>
      <w:r>
        <w:rPr>
          <w:rFonts w:ascii="Cambria Math" w:hAnsi="Cambria Math" w:cs="Cambria Math"/>
          <w:sz w:val="24"/>
        </w:rPr>
      </w:r>
    </w:p>
    <w:p w14:paraId="3E904D25" w14:textId="77777777">
      <w:pPr>
        <w:pBdr/>
        <w:spacing w:line="360" w:lineRule="auto"/>
        <w:ind/>
        <w:jc w:val="both"/>
        <w:rPr>
          <w:rFonts w:ascii="Cambria Math" w:hAnsi="Cambria Math" w:cs="Cambria Math"/>
          <w:sz w:val="24"/>
        </w:rPr>
      </w:pPr>
      <w:r>
        <w:rPr>
          <w:rFonts w:ascii="Cambria Math" w:hAnsi="Cambria Math" w:cs="Cambria Math"/>
          <w:sz w:val="24"/>
        </w:rPr>
        <w:t xml:space="preserve">Notion d’efficience (</w:t>
      </w:r>
      <w:r>
        <w:rPr>
          <w:rFonts w:ascii="Cambria Math" w:hAnsi="Cambria Math" w:cs="Cambria Math"/>
          <w:sz w:val="24"/>
        </w:rPr>
        <w:t xml:space="preserve">efficiency</w:t>
      </w:r>
      <w:r>
        <w:rPr>
          <w:rFonts w:ascii="Cambria Math" w:hAnsi="Cambria Math" w:cs="Cambria Math"/>
          <w:sz w:val="24"/>
        </w:rPr>
        <w:t xml:space="preserve">) : optimisation des moyens engagés, sans affecter le volume de données numériques produites et/ou conservées : simplement, l’accomplissement de ces opérations </w:t>
      </w:r>
      <w:r>
        <w:rPr>
          <w:rFonts w:ascii="Cambria Math" w:hAnsi="Cambria Math" w:cs="Cambria Math"/>
          <w:sz w:val="24"/>
        </w:rPr>
        <w:t xml:space="preserve">« nécessite moins de matériel et moins d’énergie ». </w:t>
      </w:r>
      <w:r>
        <w:rPr>
          <w:rFonts w:ascii="Cambria Math" w:hAnsi="Cambria Math" w:cs="Cambria Math"/>
          <w:sz w:val="24"/>
        </w:rPr>
      </w:r>
    </w:p>
    <w:p w14:paraId="40EC68FF" w14:textId="77777777">
      <w:pPr>
        <w:pBdr/>
        <w:spacing w:line="360" w:lineRule="auto"/>
        <w:ind/>
        <w:jc w:val="both"/>
        <w:rPr>
          <w:rFonts w:ascii="Cambria Math" w:hAnsi="Cambria Math" w:cs="Cambria Math"/>
          <w:sz w:val="24"/>
        </w:rPr>
      </w:pPr>
      <w:r>
        <w:rPr>
          <w:rFonts w:ascii="Cambria Math" w:hAnsi="Cambria Math" w:cs="Cambria Math"/>
          <w:sz w:val="24"/>
        </w:rPr>
        <w:t xml:space="preserve">Faire converger la con</w:t>
      </w:r>
      <w:r>
        <w:rPr>
          <w:rFonts w:ascii="Cambria Math" w:hAnsi="Cambria Math" w:cs="Cambria Math"/>
          <w:sz w:val="24"/>
        </w:rPr>
        <w:t xml:space="preserve">trainte économique et l’impératif environnemental : recherche de l’efficacité énergétique qui consiste à « réduire la quantité d’énergie nécessaire à la satisfaction [des] besoins en privilégiant les chaînes énergétiques efficaces de la source à l’usage ».</w:t>
      </w:r>
      <w:r>
        <w:rPr>
          <w:rFonts w:ascii="Cambria Math" w:hAnsi="Cambria Math" w:cs="Cambria Math"/>
          <w:sz w:val="24"/>
        </w:rPr>
      </w:r>
    </w:p>
    <w:p w14:paraId="4884CF56" w14:textId="77777777">
      <w:pPr>
        <w:pBdr/>
        <w:spacing w:line="360" w:lineRule="auto"/>
        <w:ind/>
        <w:jc w:val="both"/>
        <w:rPr>
          <w:rFonts w:ascii="Cambria Math" w:hAnsi="Cambria Math" w:cs="Cambria Math"/>
          <w:sz w:val="24"/>
        </w:rPr>
      </w:pPr>
      <w:r>
        <w:rPr>
          <w:rFonts w:ascii="Cambria Math" w:hAnsi="Cambria Math" w:cs="Cambria Math"/>
          <w:sz w:val="24"/>
        </w:rPr>
        <w:t xml:space="preserve">Inscription de </w:t>
      </w:r>
      <w:r>
        <w:rPr>
          <w:rFonts w:ascii="Cambria Math" w:hAnsi="Cambria Math" w:cs="Cambria Math"/>
          <w:sz w:val="24"/>
        </w:rPr>
        <w:t xml:space="preserve">NumaHOP</w:t>
      </w:r>
      <w:r>
        <w:rPr>
          <w:rFonts w:ascii="Cambria Math" w:hAnsi="Cambria Math" w:cs="Cambria Math"/>
          <w:sz w:val="24"/>
        </w:rPr>
        <w:t xml:space="preserve"> : logique de mutualisation à l’œuvre dès la mise en </w:t>
      </w:r>
      <w:r>
        <w:rPr>
          <w:rFonts w:ascii="Cambria Math" w:hAnsi="Cambria Math" w:cs="Cambria Math"/>
          <w:sz w:val="24"/>
        </w:rPr>
        <w:t xml:space="preserve">dvlpt</w:t>
      </w:r>
      <w:r>
        <w:rPr>
          <w:rFonts w:ascii="Cambria Math" w:hAnsi="Cambria Math" w:cs="Cambria Math"/>
          <w:sz w:val="24"/>
        </w:rPr>
        <w:t xml:space="preserve"> du logiciel. S’appuie sur une communauté d’utilisateurs </w:t>
      </w:r>
      <w:r>
        <w:rPr>
          <w:rFonts w:ascii="Cambria Math" w:hAnsi="Cambria Math" w:cs="Cambria Math"/>
          <w:sz w:val="24"/>
        </w:rPr>
        <w:t xml:space="preserve">qui rassemble aujourd’hui une quinzaine d’établissements et veille collectivement à son évolution. </w:t>
      </w:r>
      <w:r>
        <w:rPr>
          <w:rFonts w:ascii="Cambria Math" w:hAnsi="Cambria Math" w:cs="Cambria Math"/>
          <w:sz w:val="24"/>
        </w:rPr>
      </w:r>
    </w:p>
    <w:p w14:paraId="2A12E1C6" w14:textId="77777777">
      <w:pPr>
        <w:pBdr/>
        <w:spacing w:line="360" w:lineRule="auto"/>
        <w:ind/>
        <w:jc w:val="both"/>
        <w:rPr>
          <w:rFonts w:ascii="Cambria Math" w:hAnsi="Cambria Math" w:cs="Cambria Math"/>
          <w:sz w:val="24"/>
        </w:rPr>
      </w:pPr>
      <w:r>
        <w:rPr>
          <w:rFonts w:ascii="Cambria Math" w:hAnsi="Cambria Math" w:cs="Cambria Math"/>
          <w:sz w:val="24"/>
        </w:rPr>
        <w:t xml:space="preserve">p.56 : harmonisation des pratiques pouvant amener à la pérennité des protocoles de numérisation et de l’organisation du travail elle-même. </w:t>
      </w:r>
      <w:r>
        <w:rPr>
          <w:rFonts w:ascii="Cambria Math" w:hAnsi="Cambria Math" w:cs="Cambria Math"/>
          <w:sz w:val="24"/>
        </w:rPr>
      </w:r>
    </w:p>
    <w:p w14:paraId="316C2001" w14:textId="77777777">
      <w:pPr>
        <w:pBdr/>
        <w:spacing w:line="360" w:lineRule="auto"/>
        <w:ind/>
        <w:jc w:val="both"/>
        <w:rPr>
          <w:rFonts w:ascii="Cambria Math" w:hAnsi="Cambria Math" w:cs="Cambria Math"/>
          <w:sz w:val="24"/>
        </w:rPr>
      </w:pPr>
      <w:r>
        <w:rPr>
          <w:rFonts w:ascii="Cambria Math" w:hAnsi="Cambria Math" w:cs="Cambria Math"/>
          <w:sz w:val="24"/>
        </w:rPr>
        <w:t xml:space="preserve">Intervention d’</w:t>
      </w:r>
      <w:r>
        <w:rPr>
          <w:rFonts w:ascii="Cambria Math" w:hAnsi="Cambria Math" w:cs="Cambria Math"/>
          <w:sz w:val="24"/>
        </w:rPr>
        <w:t xml:space="preserve">Olesea</w:t>
      </w:r>
      <w:r>
        <w:rPr>
          <w:rFonts w:ascii="Cambria Math" w:hAnsi="Cambria Math" w:cs="Cambria Math"/>
          <w:sz w:val="24"/>
        </w:rPr>
        <w:t xml:space="preserve"> Dubois : un des objectifs de </w:t>
      </w:r>
      <w:r>
        <w:rPr>
          <w:rFonts w:ascii="Cambria Math" w:hAnsi="Cambria Math" w:cs="Cambria Math"/>
          <w:sz w:val="24"/>
        </w:rPr>
        <w:t xml:space="preserve">NumaHOP</w:t>
      </w:r>
      <w:r>
        <w:rPr>
          <w:rFonts w:ascii="Cambria Math" w:hAnsi="Cambria Math" w:cs="Cambria Math"/>
          <w:sz w:val="24"/>
        </w:rPr>
        <w:t xml:space="preserve"> réside dans l’utilisation de méthodes de </w:t>
      </w:r>
      <w:r>
        <w:rPr>
          <w:rFonts w:ascii="Cambria Math" w:hAnsi="Cambria Math" w:cs="Cambria Math"/>
          <w:sz w:val="24"/>
        </w:rPr>
        <w:t xml:space="preserve">travail</w:t>
      </w:r>
      <w:r>
        <w:rPr>
          <w:rFonts w:ascii="Cambria Math" w:hAnsi="Cambria Math" w:cs="Cambria Math"/>
          <w:sz w:val="24"/>
        </w:rPr>
        <w:t xml:space="preserve"> standardisées, tout en offrant la souplesse d’adapter l’outil </w:t>
      </w:r>
      <w:r>
        <w:rPr>
          <w:rFonts w:ascii="Cambria Math" w:hAnsi="Cambria Math" w:cs="Cambria Math"/>
          <w:sz w:val="24"/>
        </w:rPr>
        <w:t xml:space="preserve">a</w:t>
      </w:r>
      <w:r>
        <w:rPr>
          <w:rFonts w:ascii="Cambria Math" w:hAnsi="Cambria Math" w:cs="Cambria Math"/>
          <w:sz w:val="24"/>
        </w:rPr>
        <w:t xml:space="preserve">ux réalités locales. L’instance mutualisée qui dessert les trois établissements [la </w:t>
      </w:r>
      <w:r>
        <w:rPr>
          <w:rFonts w:ascii="Cambria Math" w:hAnsi="Cambria Math" w:cs="Cambria Math"/>
          <w:sz w:val="24"/>
        </w:rPr>
        <w:t xml:space="preserve">Bulac</w:t>
      </w:r>
      <w:r>
        <w:rPr>
          <w:rFonts w:ascii="Cambria Math" w:hAnsi="Cambria Math" w:cs="Cambria Math"/>
          <w:sz w:val="24"/>
        </w:rPr>
        <w:t xml:space="preserve">, la BSG et la bibliothèque de Science Po] a ainsi conduit à une harmonisation des pratiques, tout en maintenant des paramétrages distincts pour chacun des modules par établissement.</w:t>
      </w:r>
      <w:r>
        <w:rPr>
          <w:rFonts w:ascii="Cambria Math" w:hAnsi="Cambria Math" w:cs="Cambria Math"/>
          <w:sz w:val="24"/>
        </w:rPr>
      </w:r>
    </w:p>
    <w:p w14:paraId="1C148D3F" w14:textId="77777777">
      <w:pPr>
        <w:pBdr/>
        <w:spacing w:line="360" w:lineRule="auto"/>
        <w:ind/>
        <w:jc w:val="both"/>
        <w:rPr>
          <w:rFonts w:ascii="Cambria Math" w:hAnsi="Cambria Math" w:cs="Cambria Math"/>
          <w:sz w:val="24"/>
        </w:rPr>
      </w:pPr>
      <w:r>
        <w:rPr>
          <w:rFonts w:ascii="Cambria Math" w:hAnsi="Cambria Math" w:cs="Cambria Math"/>
          <w:sz w:val="24"/>
        </w:rPr>
        <w:t xml:space="preserve">Entretien avec Adeline Batailler : On ne peut passer notre temps, tous les dix ans, à reconstruire des infrastructures numériques. Donc là on a effectivemen</w:t>
      </w:r>
      <w:r>
        <w:rPr>
          <w:rFonts w:ascii="Cambria Math" w:hAnsi="Cambria Math" w:cs="Cambria Math"/>
          <w:sz w:val="24"/>
        </w:rPr>
        <w:t xml:space="preserve">t investi beaucoup d’argent, mais dans une structure qui, à mon avis, est pérenne et durable. En termes de travail, on a un workflow qui fonctionne bien, avec des équipes qui sont formées, des agents polyvalents : si je m’en vais, la numérisation continue.</w:t>
      </w:r>
      <w:r>
        <w:rPr>
          <w:rFonts w:ascii="Cambria Math" w:hAnsi="Cambria Math" w:cs="Cambria Math"/>
          <w:sz w:val="24"/>
        </w:rPr>
      </w:r>
    </w:p>
    <w:p w14:paraId="5B7B7D48" w14:textId="77777777">
      <w:pPr>
        <w:pBdr/>
        <w:spacing w:line="360" w:lineRule="auto"/>
        <w:ind/>
        <w:jc w:val="both"/>
        <w:rPr>
          <w:rFonts w:ascii="Cambria Math" w:hAnsi="Cambria Math" w:cs="Cambria Math"/>
          <w:sz w:val="24"/>
        </w:rPr>
      </w:pPr>
      <w:r>
        <w:rPr>
          <w:rFonts w:ascii="Cambria Math" w:hAnsi="Cambria Math" w:cs="Cambria Math"/>
          <w:sz w:val="24"/>
        </w:rPr>
        <w:t xml:space="preserve">p.57 : </w:t>
      </w:r>
      <w:r>
        <w:rPr>
          <w:rFonts w:ascii="Cambria Math" w:hAnsi="Cambria Math" w:cs="Cambria Math"/>
          <w:sz w:val="24"/>
        </w:rPr>
        <w:t xml:space="preserve">dvlpt</w:t>
      </w:r>
      <w:r>
        <w:rPr>
          <w:rFonts w:ascii="Cambria Math" w:hAnsi="Cambria Math" w:cs="Cambria Math"/>
          <w:sz w:val="24"/>
        </w:rPr>
        <w:t xml:space="preserve"> des </w:t>
      </w:r>
      <w:r>
        <w:rPr>
          <w:rFonts w:ascii="Cambria Math" w:hAnsi="Cambria Math" w:cs="Cambria Math"/>
          <w:sz w:val="24"/>
        </w:rPr>
        <w:t xml:space="preserve">bn</w:t>
      </w:r>
      <w:r>
        <w:rPr>
          <w:rFonts w:ascii="Cambria Math" w:hAnsi="Cambria Math" w:cs="Cambria Math"/>
          <w:sz w:val="24"/>
        </w:rPr>
        <w:t xml:space="preserve">, en France s’est historiquement construit face à un modèle marchand de diffusion de la connaissance sur le Web, promu par le géant américain Google. </w:t>
      </w:r>
      <w:r>
        <w:rPr>
          <w:rFonts w:ascii="Cambria Math" w:hAnsi="Cambria Math" w:cs="Cambria Math"/>
          <w:sz w:val="24"/>
        </w:rPr>
      </w:r>
    </w:p>
    <w:p w14:paraId="2B82135E" w14:textId="77777777">
      <w:pPr>
        <w:pBdr/>
        <w:spacing w:line="360" w:lineRule="auto"/>
        <w:ind/>
        <w:jc w:val="both"/>
        <w:rPr>
          <w:rFonts w:ascii="Cambria Math" w:hAnsi="Cambria Math" w:cs="Cambria Math"/>
          <w:sz w:val="24"/>
        </w:rPr>
      </w:pPr>
      <w:r>
        <w:rPr>
          <w:rFonts w:ascii="Cambria Math" w:hAnsi="Cambria Math" w:cs="Cambria Math"/>
          <w:sz w:val="24"/>
        </w:rPr>
        <w:t xml:space="preserve">Si volonté de prolonger cette logique d’indépendance à l’égard des acteurs marchands, la promotion d’un modèle de </w:t>
      </w:r>
      <w:r>
        <w:rPr>
          <w:rFonts w:ascii="Cambria Math" w:hAnsi="Cambria Math" w:cs="Cambria Math"/>
          <w:sz w:val="24"/>
        </w:rPr>
        <w:t xml:space="preserve">dvlpt</w:t>
      </w:r>
      <w:r>
        <w:rPr>
          <w:rFonts w:ascii="Cambria Math" w:hAnsi="Cambria Math" w:cs="Cambria Math"/>
          <w:sz w:val="24"/>
        </w:rPr>
        <w:t xml:space="preserve"> numérique responsable doit s’appuyer sur les logiciels libres.</w:t>
      </w:r>
      <w:r>
        <w:rPr>
          <w:rFonts w:ascii="Cambria Math" w:hAnsi="Cambria Math" w:cs="Cambria Math"/>
          <w:sz w:val="24"/>
        </w:rPr>
      </w:r>
    </w:p>
    <w:p w14:paraId="382DB951" w14:textId="77777777">
      <w:pPr>
        <w:pBdr/>
        <w:spacing w:line="360" w:lineRule="auto"/>
        <w:ind/>
        <w:jc w:val="both"/>
        <w:rPr>
          <w:rFonts w:ascii="Cambria Math" w:hAnsi="Cambria Math" w:cs="Cambria Math"/>
          <w:sz w:val="24"/>
        </w:rPr>
      </w:pPr>
      <w:r>
        <w:rPr>
          <w:rFonts w:ascii="Cambria Math" w:hAnsi="Cambria Math" w:cs="Cambria Math"/>
          <w:sz w:val="24"/>
        </w:rPr>
        <w:t xml:space="preserve">Logiciels libres : augmenter la durabilité d’utilisation des hardwares, et dc de prolonger la durée de vie du matériel et de diminuer le rythme de remplacement.</w:t>
      </w:r>
      <w:r>
        <w:rPr>
          <w:rFonts w:ascii="Cambria Math" w:hAnsi="Cambria Math" w:cs="Cambria Math"/>
          <w:sz w:val="24"/>
        </w:rPr>
      </w:r>
    </w:p>
    <w:p w14:paraId="4D2B2CCB" w14:textId="77777777">
      <w:pPr>
        <w:pBdr/>
        <w:spacing w:line="360" w:lineRule="auto"/>
        <w:ind/>
        <w:jc w:val="both"/>
        <w:rPr>
          <w:rFonts w:ascii="Cambria Math" w:hAnsi="Cambria Math" w:cs="Cambria Math"/>
          <w:sz w:val="24"/>
        </w:rPr>
      </w:pPr>
      <w:r>
        <w:rPr>
          <w:rFonts w:ascii="Cambria Math" w:hAnsi="Cambria Math" w:cs="Cambria Math"/>
          <w:sz w:val="24"/>
        </w:rPr>
        <w:t xml:space="preserve">L’ouverture du code source permet de lutter contre l’obsolescence logicielle, laquelle est souvent entretenue par les propriétaires.</w:t>
      </w:r>
      <w:r>
        <w:rPr>
          <w:rFonts w:ascii="Cambria Math" w:hAnsi="Cambria Math" w:cs="Cambria Math"/>
          <w:sz w:val="24"/>
        </w:rPr>
      </w:r>
    </w:p>
    <w:p w14:paraId="0C6255D2" w14:textId="77777777">
      <w:pPr>
        <w:pBdr/>
        <w:spacing w:line="360" w:lineRule="auto"/>
        <w:ind/>
        <w:jc w:val="both"/>
        <w:rPr>
          <w:rFonts w:ascii="Cambria Math" w:hAnsi="Cambria Math" w:cs="Cambria Math"/>
          <w:sz w:val="24"/>
        </w:rPr>
      </w:pPr>
      <w:r>
        <w:rPr>
          <w:rFonts w:ascii="Cambria Math" w:hAnsi="Cambria Math" w:cs="Cambria Math"/>
          <w:sz w:val="24"/>
        </w:rPr>
        <w:t xml:space="preserve">p.58 : </w:t>
      </w:r>
      <w:r>
        <w:rPr>
          <w:rFonts w:ascii="Cambria Math" w:hAnsi="Cambria Math" w:cs="Cambria Math"/>
          <w:sz w:val="24"/>
        </w:rPr>
        <w:t xml:space="preserve">Standards propriétaires créent une dépendance </w:t>
      </w:r>
      <w:r>
        <w:rPr>
          <w:rFonts w:ascii="Cambria Math" w:hAnsi="Cambria Math" w:cs="Cambria Math"/>
          <w:sz w:val="24"/>
        </w:rPr>
        <w:t xml:space="preserve">technique</w:t>
      </w:r>
      <w:r>
        <w:rPr>
          <w:rFonts w:ascii="Cambria Math" w:hAnsi="Cambria Math" w:cs="Cambria Math"/>
          <w:sz w:val="24"/>
        </w:rPr>
        <w:t xml:space="preserve">, qui </w:t>
      </w:r>
      <w:r>
        <w:rPr>
          <w:rFonts w:ascii="Cambria Math" w:hAnsi="Cambria Math" w:cs="Cambria Math"/>
          <w:sz w:val="24"/>
        </w:rPr>
        <w:t xml:space="preserve">placent</w:t>
      </w:r>
      <w:r>
        <w:rPr>
          <w:rFonts w:ascii="Cambria Math" w:hAnsi="Cambria Math" w:cs="Cambria Math"/>
          <w:sz w:val="24"/>
        </w:rPr>
        <w:t xml:space="preserve"> les éditeurs de logiciel dans une situation monopolistique.</w:t>
      </w:r>
      <w:r>
        <w:rPr>
          <w:rFonts w:ascii="Cambria Math" w:hAnsi="Cambria Math" w:cs="Cambria Math"/>
          <w:sz w:val="24"/>
        </w:rPr>
      </w:r>
    </w:p>
    <w:p w14:paraId="3383063F" w14:textId="77777777">
      <w:pPr>
        <w:pBdr/>
        <w:spacing w:line="360" w:lineRule="auto"/>
        <w:ind/>
        <w:jc w:val="both"/>
        <w:rPr>
          <w:rFonts w:ascii="Cambria Math" w:hAnsi="Cambria Math" w:cs="Cambria Math"/>
          <w:sz w:val="24"/>
        </w:rPr>
      </w:pPr>
      <w:r>
        <w:rPr>
          <w:rFonts w:ascii="Cambria Math" w:hAnsi="Cambria Math" w:cs="Cambria Math"/>
          <w:sz w:val="24"/>
        </w:rPr>
        <w:t xml:space="preserve">Logiciels libres présentent l’avantage de pouvoir être installés localement, au contraire des « logiciels en tant que service » (software as </w:t>
      </w:r>
      <w:r>
        <w:rPr>
          <w:rFonts w:ascii="Cambria Math" w:hAnsi="Cambria Math" w:cs="Cambria Math"/>
          <w:sz w:val="24"/>
        </w:rPr>
        <w:t xml:space="preserve">a</w:t>
      </w:r>
      <w:r>
        <w:rPr>
          <w:rFonts w:ascii="Cambria Math" w:hAnsi="Cambria Math" w:cs="Cambria Math"/>
          <w:sz w:val="24"/>
        </w:rPr>
        <w:t xml:space="preserve"> service ou SaaS) auxquels on accède via un navigateur</w:t>
      </w:r>
      <w:r>
        <w:rPr>
          <w:rFonts w:ascii="Cambria Math" w:hAnsi="Cambria Math" w:cs="Cambria Math"/>
          <w:sz w:val="24"/>
        </w:rPr>
        <w:t xml:space="preserve"> Web et qui sont hébergés sur le cloud, qu’il posait d’</w:t>
      </w:r>
      <w:r>
        <w:rPr>
          <w:rFonts w:ascii="Cambria Math" w:hAnsi="Cambria Math" w:cs="Cambria Math"/>
          <w:sz w:val="24"/>
        </w:rPr>
        <w:t xml:space="preserve">évidnets</w:t>
      </w:r>
      <w:r>
        <w:rPr>
          <w:rFonts w:ascii="Cambria Math" w:hAnsi="Cambria Math" w:cs="Cambria Math"/>
          <w:sz w:val="24"/>
        </w:rPr>
        <w:t xml:space="preserve"> </w:t>
      </w:r>
      <w:r>
        <w:rPr>
          <w:rFonts w:ascii="Cambria Math" w:hAnsi="Cambria Math" w:cs="Cambria Math"/>
          <w:sz w:val="24"/>
        </w:rPr>
        <w:t xml:space="preserve">pbs</w:t>
      </w:r>
      <w:r>
        <w:rPr>
          <w:rFonts w:ascii="Cambria Math" w:hAnsi="Cambria Math" w:cs="Cambria Math"/>
          <w:sz w:val="24"/>
        </w:rPr>
        <w:t xml:space="preserve"> d souveraineté numérique et de faible visibilité sur les solutions techniques déployées.</w:t>
      </w:r>
      <w:r>
        <w:rPr>
          <w:rFonts w:ascii="Cambria Math" w:hAnsi="Cambria Math" w:cs="Cambria Math"/>
          <w:sz w:val="24"/>
        </w:rPr>
      </w:r>
    </w:p>
    <w:p w14:paraId="44937820" w14:textId="77777777">
      <w:pPr>
        <w:pBdr/>
        <w:spacing w:line="360" w:lineRule="auto"/>
        <w:ind/>
        <w:jc w:val="both"/>
        <w:rPr>
          <w:rFonts w:ascii="Cambria Math" w:hAnsi="Cambria Math" w:cs="Cambria Math"/>
          <w:sz w:val="24"/>
        </w:rPr>
      </w:pPr>
      <w:r>
        <w:rPr>
          <w:rFonts w:ascii="Cambria Math" w:hAnsi="Cambria Math" w:cs="Cambria Math"/>
          <w:sz w:val="24"/>
        </w:rPr>
        <w:t xml:space="preserve">Prestataires des bibliothèques qui </w:t>
      </w:r>
      <w:r>
        <w:rPr>
          <w:rFonts w:ascii="Cambria Math" w:hAnsi="Cambria Math" w:cs="Cambria Math"/>
          <w:sz w:val="24"/>
        </w:rPr>
        <w:t xml:space="preserve">dvlpt</w:t>
      </w:r>
      <w:r>
        <w:rPr>
          <w:rFonts w:ascii="Cambria Math" w:hAnsi="Cambria Math" w:cs="Cambria Math"/>
          <w:sz w:val="24"/>
        </w:rPr>
        <w:t xml:space="preserve"> des portails ou des SIGB st souverains dans le choix des outils qu’ils utilisent ». </w:t>
      </w:r>
      <w:r>
        <w:rPr>
          <w:rFonts w:ascii="Cambria Math" w:hAnsi="Cambria Math" w:cs="Cambria Math"/>
          <w:sz w:val="24"/>
        </w:rPr>
      </w:r>
    </w:p>
    <w:p w14:paraId="68744A46" w14:textId="77777777">
      <w:pPr>
        <w:pBdr/>
        <w:spacing w:line="360" w:lineRule="auto"/>
        <w:ind/>
        <w:jc w:val="both"/>
        <w:rPr>
          <w:rFonts w:ascii="Cambria Math" w:hAnsi="Cambria Math" w:cs="Cambria Math"/>
          <w:sz w:val="24"/>
        </w:rPr>
      </w:pPr>
      <w:r>
        <w:rPr>
          <w:rFonts w:ascii="Cambria Math" w:hAnsi="Cambria Math" w:cs="Cambria Math"/>
          <w:sz w:val="24"/>
        </w:rPr>
        <w:t xml:space="preserve">Choix du libre : réduire </w:t>
      </w:r>
      <w:r>
        <w:rPr>
          <w:rFonts w:ascii="Cambria Math" w:hAnsi="Cambria Math" w:cs="Cambria Math"/>
          <w:sz w:val="24"/>
        </w:rPr>
        <w:t xml:space="preserve">cettedépendance</w:t>
      </w:r>
      <w:r>
        <w:rPr>
          <w:rFonts w:ascii="Cambria Math" w:hAnsi="Cambria Math" w:cs="Cambria Math"/>
          <w:sz w:val="24"/>
        </w:rPr>
        <w:t xml:space="preserve"> : ainsi, le recours à un logiciel de bibliothèque numérique libre installé localement, tel qu’</w:t>
      </w:r>
      <w:r>
        <w:rPr>
          <w:rFonts w:ascii="Cambria Math" w:hAnsi="Cambria Math" w:cs="Cambria Math"/>
          <w:sz w:val="24"/>
        </w:rPr>
        <w:t xml:space="preserve">Omeka</w:t>
      </w:r>
      <w:r>
        <w:rPr>
          <w:rFonts w:ascii="Cambria Math" w:hAnsi="Cambria Math" w:cs="Cambria Math"/>
          <w:sz w:val="24"/>
        </w:rPr>
        <w:t xml:space="preserve">, permet à l’institution de garder la main sur les modalités de stockage.</w:t>
      </w:r>
      <w:r>
        <w:rPr>
          <w:rFonts w:ascii="Cambria Math" w:hAnsi="Cambria Math" w:cs="Cambria Math"/>
          <w:sz w:val="24"/>
        </w:rPr>
      </w:r>
    </w:p>
    <w:p w14:paraId="505259C9" w14:textId="77777777">
      <w:pPr>
        <w:pBdr/>
        <w:spacing w:line="360" w:lineRule="auto"/>
        <w:ind/>
        <w:jc w:val="both"/>
        <w:rPr>
          <w:rFonts w:ascii="Cambria Math" w:hAnsi="Cambria Math" w:cs="Cambria Math"/>
          <w:sz w:val="24"/>
        </w:rPr>
      </w:pPr>
      <w:r>
        <w:rPr>
          <w:rFonts w:ascii="Cambria Math" w:hAnsi="Cambria Math" w:cs="Cambria Math"/>
          <w:sz w:val="24"/>
        </w:rPr>
        <w:t xml:space="preserve">Association OpenDataFrance, a publié un </w:t>
      </w:r>
      <w:r>
        <w:rPr>
          <w:rFonts w:ascii="Cambria Math" w:hAnsi="Cambria Math" w:cs="Cambria Math"/>
          <w:i/>
          <w:sz w:val="24"/>
        </w:rPr>
        <w:t xml:space="preserve">Référentiel GreenData</w:t>
      </w:r>
      <w:r>
        <w:rPr>
          <w:rFonts w:ascii="Cambria Math" w:hAnsi="Cambria Math" w:cs="Cambria Math"/>
          <w:sz w:val="24"/>
        </w:rPr>
        <w:t xml:space="preserve"> avec deux recommandations qui concernent directement le cœur de métier des bibliothécaires. </w:t>
      </w:r>
      <w:r>
        <w:rPr>
          <w:rFonts w:ascii="Cambria Math" w:hAnsi="Cambria Math" w:cs="Cambria Math"/>
          <w:sz w:val="24"/>
        </w:rPr>
      </w:r>
    </w:p>
    <w:p w14:paraId="024B659D" w14:textId="77777777">
      <w:pPr>
        <w:pBdr/>
        <w:spacing w:line="360" w:lineRule="auto"/>
        <w:ind/>
        <w:jc w:val="both"/>
        <w:rPr>
          <w:rFonts w:ascii="Cambria Math" w:hAnsi="Cambria Math" w:cs="Cambria Math"/>
          <w:sz w:val="24"/>
        </w:rPr>
      </w:pPr>
      <w:r>
        <w:rPr>
          <w:rFonts w:ascii="Cambria Math" w:hAnsi="Cambria Math" w:cs="Cambria Math"/>
          <w:sz w:val="24"/>
        </w:rPr>
        <w:t xml:space="preserve">Trait au signal</w:t>
      </w:r>
      <w:r>
        <w:rPr>
          <w:rFonts w:ascii="Cambria Math" w:hAnsi="Cambria Math" w:cs="Cambria Math"/>
          <w:sz w:val="24"/>
        </w:rPr>
        <w:t xml:space="preserve">ement des données : il s’agit de la standardisation des données et de la documentation précise des métadonnées. Présence de ces préconisations, dont l’intérêt en termes bibliothéconomiques, est l’évidence même, peut surprendre dans un document relatif à l’</w:t>
      </w:r>
      <w:r>
        <w:rPr>
          <w:rFonts w:ascii="Cambria Math" w:hAnsi="Cambria Math" w:cs="Cambria Math"/>
          <w:sz w:val="24"/>
        </w:rPr>
        <w:t xml:space="preserve">écoresponsabilité</w:t>
      </w:r>
      <w:r>
        <w:rPr>
          <w:rFonts w:ascii="Cambria Math" w:hAnsi="Cambria Math" w:cs="Cambria Math"/>
          <w:sz w:val="24"/>
        </w:rPr>
        <w:t xml:space="preserve"> du web. Signalement exemplaire contribue efficacement à une optimisation des pratiques de recherche ; or une recherche efficace est aussi, en termes énergétiques, une recherche sobre : </w:t>
      </w:r>
      <w:r>
        <w:rPr>
          <w:rFonts w:ascii="Cambria Math" w:hAnsi="Cambria Math" w:cs="Cambria Math"/>
          <w:sz w:val="24"/>
        </w:rPr>
      </w:r>
    </w:p>
    <w:p w14:paraId="2185F999" w14:textId="77777777">
      <w:pPr>
        <w:pBdr/>
        <w:spacing w:line="360" w:lineRule="auto"/>
        <w:ind/>
        <w:jc w:val="both"/>
        <w:rPr>
          <w:rFonts w:ascii="Cambria Math" w:hAnsi="Cambria Math" w:cs="Cambria Math"/>
          <w:sz w:val="24"/>
        </w:rPr>
      </w:pPr>
      <w:r>
        <w:rPr>
          <w:rFonts w:ascii="Cambria Math" w:hAnsi="Cambria Math" w:cs="Cambria Math"/>
          <w:sz w:val="24"/>
        </w:rPr>
        <w:t xml:space="preserve">[Les métadonnées] permettent de comprendre exactement la nature des données qui sont mises à disposition. Grâce à une bonne compréhension des données disponibles</w:t>
      </w:r>
      <w:r>
        <w:rPr>
          <w:rFonts w:ascii="Cambria Math" w:hAnsi="Cambria Math" w:cs="Cambria Math"/>
          <w:sz w:val="24"/>
        </w:rPr>
        <w:t xml:space="preserve">, on peut donc choisir les données les plus intéressantes pour un usage donné et réduire les téléchargements inutiles.</w:t>
      </w:r>
      <w:r>
        <w:rPr>
          <w:rFonts w:ascii="Cambria Math" w:hAnsi="Cambria Math" w:cs="Cambria Math"/>
          <w:sz w:val="24"/>
        </w:rPr>
      </w:r>
    </w:p>
    <w:p w14:paraId="2BC539F4" w14:textId="77777777">
      <w:pPr>
        <w:pBdr/>
        <w:spacing w:line="360" w:lineRule="auto"/>
        <w:ind/>
        <w:jc w:val="both"/>
        <w:rPr>
          <w:rFonts w:ascii="Cambria Math" w:hAnsi="Cambria Math" w:cs="Cambria Math"/>
          <w:sz w:val="24"/>
        </w:rPr>
      </w:pPr>
      <w:r>
        <w:rPr>
          <w:rFonts w:ascii="Cambria Math" w:hAnsi="Cambria Math" w:cs="Cambria Math"/>
          <w:sz w:val="24"/>
        </w:rPr>
        <w:t xml:space="preserve">p.60 : l’enjeu de l’interopérabilité des données : l’exemple de la bibliothèque numérique « </w:t>
      </w:r>
      <w:r>
        <w:rPr>
          <w:rFonts w:ascii="Cambria Math" w:hAnsi="Cambria Math" w:cs="Cambria Math"/>
          <w:sz w:val="24"/>
        </w:rPr>
        <w:t xml:space="preserve">Genovefa</w:t>
      </w:r>
      <w:r>
        <w:rPr>
          <w:rFonts w:ascii="Cambria Math" w:hAnsi="Cambria Math" w:cs="Cambria Math"/>
          <w:sz w:val="24"/>
        </w:rPr>
        <w:t xml:space="preserve"> ».</w:t>
      </w:r>
      <w:r>
        <w:rPr>
          <w:rFonts w:ascii="Cambria Math" w:hAnsi="Cambria Math" w:cs="Cambria Math"/>
          <w:sz w:val="24"/>
        </w:rPr>
      </w:r>
    </w:p>
    <w:p w14:paraId="484D082D" w14:textId="77777777">
      <w:pPr>
        <w:pBdr/>
        <w:spacing w:line="360" w:lineRule="auto"/>
        <w:ind/>
        <w:jc w:val="both"/>
        <w:rPr>
          <w:rFonts w:ascii="Cambria Math" w:hAnsi="Cambria Math" w:cs="Cambria Math"/>
          <w:sz w:val="24"/>
        </w:rPr>
      </w:pPr>
      <w:r>
        <w:rPr>
          <w:rFonts w:ascii="Cambria Math" w:hAnsi="Cambria Math" w:cs="Cambria Math"/>
          <w:sz w:val="24"/>
        </w:rPr>
        <w:t xml:space="preserve">standardisation</w:t>
      </w:r>
      <w:r>
        <w:rPr>
          <w:rFonts w:ascii="Cambria Math" w:hAnsi="Cambria Math" w:cs="Cambria Math"/>
          <w:sz w:val="24"/>
        </w:rPr>
        <w:t xml:space="preserve"> des données : selon </w:t>
      </w:r>
      <w:r>
        <w:rPr>
          <w:rFonts w:ascii="Cambria Math" w:hAnsi="Cambria Math" w:cs="Cambria Math"/>
          <w:sz w:val="24"/>
        </w:rPr>
        <w:t xml:space="preserve">OpenDataFrancec</w:t>
      </w:r>
      <w:r>
        <w:rPr>
          <w:rFonts w:ascii="Cambria Math" w:hAnsi="Cambria Math" w:cs="Cambria Math"/>
          <w:sz w:val="24"/>
        </w:rPr>
        <w:t xml:space="preserve"> « un gage de qualité donc de réutilisation et un bénéfice potentiellement positif au regard du coût écologique de sa </w:t>
      </w:r>
      <w:r>
        <w:rPr>
          <w:rFonts w:ascii="Cambria Math" w:hAnsi="Cambria Math" w:cs="Cambria Math"/>
          <w:sz w:val="24"/>
        </w:rPr>
        <w:t xml:space="preserve">publication ». Utilisation d’un standard pour la description des données « facilite l’interopérabilité des données et leurs exploitations par les </w:t>
      </w:r>
      <w:r>
        <w:rPr>
          <w:rFonts w:ascii="Cambria Math" w:hAnsi="Cambria Math" w:cs="Cambria Math"/>
          <w:sz w:val="24"/>
        </w:rPr>
        <w:t xml:space="preserve">réutilisateurs</w:t>
      </w:r>
      <w:r>
        <w:rPr>
          <w:rFonts w:ascii="Cambria Math" w:hAnsi="Cambria Math" w:cs="Cambria Math"/>
          <w:sz w:val="24"/>
        </w:rPr>
        <w:t xml:space="preserve"> ».</w:t>
      </w:r>
      <w:r>
        <w:rPr>
          <w:rFonts w:ascii="Cambria Math" w:hAnsi="Cambria Math" w:cs="Cambria Math"/>
          <w:sz w:val="24"/>
        </w:rPr>
      </w:r>
    </w:p>
    <w:p w14:paraId="4E3F8B93" w14:textId="77777777">
      <w:pPr>
        <w:pBdr/>
        <w:spacing w:line="360" w:lineRule="auto"/>
        <w:ind/>
        <w:jc w:val="both"/>
        <w:rPr>
          <w:rFonts w:ascii="Cambria Math" w:hAnsi="Cambria Math" w:cs="Cambria Math"/>
          <w:sz w:val="24"/>
        </w:rPr>
      </w:pPr>
      <w:r>
        <w:rPr>
          <w:rFonts w:ascii="Cambria Math" w:hAnsi="Cambria Math" w:cs="Cambria Math"/>
          <w:sz w:val="24"/>
        </w:rPr>
        <w:t xml:space="preserve">Une des conséquences les plus notables de la multiplication des ressources numérisées accessibles sur le Web. Présence numérique des bibliothèques est particulièrement concernée par cette problématique.</w:t>
      </w:r>
      <w:r>
        <w:rPr>
          <w:rFonts w:ascii="Cambria Math" w:hAnsi="Cambria Math" w:cs="Cambria Math"/>
          <w:sz w:val="24"/>
        </w:rPr>
      </w:r>
    </w:p>
    <w:p w14:paraId="76DA6F73" w14:textId="77777777">
      <w:pPr>
        <w:pBdr/>
        <w:spacing w:line="360" w:lineRule="auto"/>
        <w:ind/>
        <w:jc w:val="both"/>
        <w:rPr>
          <w:rFonts w:ascii="Cambria Math" w:hAnsi="Cambria Math" w:cs="Cambria Math"/>
          <w:sz w:val="24"/>
        </w:rPr>
      </w:pPr>
      <w:r>
        <w:rPr>
          <w:rFonts w:ascii="Cambria Math" w:hAnsi="Cambria Math" w:cs="Cambria Math"/>
          <w:sz w:val="24"/>
        </w:rPr>
        <w:t xml:space="preserve">Essor des bibliothèques numériques : trop rarement accompagné d’une coordination technique qui aurait permis de rendre les solutions développées compatibles entre elles.</w:t>
      </w:r>
      <w:r>
        <w:rPr>
          <w:rFonts w:ascii="Cambria Math" w:hAnsi="Cambria Math" w:cs="Cambria Math"/>
          <w:sz w:val="24"/>
        </w:rPr>
      </w:r>
    </w:p>
    <w:p w14:paraId="34F281F1" w14:textId="77777777">
      <w:pPr>
        <w:pBdr/>
        <w:spacing w:line="360" w:lineRule="auto"/>
        <w:ind/>
        <w:jc w:val="both"/>
        <w:rPr>
          <w:rFonts w:ascii="Cambria Math" w:hAnsi="Cambria Math" w:cs="Cambria Math"/>
          <w:sz w:val="24"/>
        </w:rPr>
      </w:pPr>
      <w:r>
        <w:rPr>
          <w:rFonts w:ascii="Cambria Math" w:hAnsi="Cambria Math" w:cs="Cambria Math"/>
          <w:sz w:val="24"/>
        </w:rPr>
        <w:t xml:space="preserve">Dans un environnement cloisonné et peu interopérable, les applications (programmes de recherche, ex</w:t>
      </w:r>
      <w:r>
        <w:rPr>
          <w:rFonts w:ascii="Cambria Math" w:hAnsi="Cambria Math" w:cs="Cambria Math"/>
          <w:sz w:val="24"/>
        </w:rPr>
        <w:t xml:space="preserve">position en ligne, reconstitutions virtuelles, etc.) souhaitant exploiter les fichiers numérisés mis à disposition par les bibliothèques numériques, n’ont d’autre choix que de les importer et de les stocker à leur tour dans leur propre entrepôt de données.</w:t>
      </w:r>
      <w:r>
        <w:rPr>
          <w:rFonts w:ascii="Cambria Math" w:hAnsi="Cambria Math" w:cs="Cambria Math"/>
          <w:sz w:val="24"/>
        </w:rPr>
      </w:r>
    </w:p>
    <w:p w14:paraId="566FDB6F" w14:textId="77777777">
      <w:pPr>
        <w:pBdr/>
        <w:spacing w:line="360" w:lineRule="auto"/>
        <w:ind/>
        <w:jc w:val="both"/>
        <w:rPr>
          <w:rFonts w:ascii="Cambria Math" w:hAnsi="Cambria Math" w:cs="Cambria Math"/>
          <w:sz w:val="24"/>
        </w:rPr>
      </w:pPr>
      <w:r>
        <w:rPr>
          <w:rFonts w:ascii="Cambria Math" w:hAnsi="Cambria Math" w:cs="Cambria Math"/>
          <w:sz w:val="24"/>
        </w:rPr>
        <w:t xml:space="preserve">Il convient de privilégier des technologies évitant la duplication des fichiers.</w:t>
      </w:r>
      <w:r>
        <w:rPr>
          <w:rFonts w:ascii="Cambria Math" w:hAnsi="Cambria Math" w:cs="Cambria Math"/>
          <w:sz w:val="24"/>
        </w:rPr>
      </w:r>
    </w:p>
    <w:p w14:paraId="1C4205D9" w14:textId="77777777">
      <w:pPr>
        <w:pBdr/>
        <w:spacing w:line="360" w:lineRule="auto"/>
        <w:ind/>
        <w:jc w:val="both"/>
        <w:rPr>
          <w:rFonts w:ascii="Cambria Math" w:hAnsi="Cambria Math" w:cs="Cambria Math"/>
          <w:sz w:val="24"/>
        </w:rPr>
      </w:pPr>
      <w:r>
        <w:rPr>
          <w:rFonts w:ascii="Cambria Math" w:hAnsi="Cambria Math" w:cs="Cambria Math"/>
          <w:sz w:val="24"/>
        </w:rPr>
        <w:t xml:space="preserve">Sigle IIIF (International Image </w:t>
      </w:r>
      <w:r>
        <w:rPr>
          <w:rFonts w:ascii="Cambria Math" w:hAnsi="Cambria Math" w:cs="Cambria Math"/>
          <w:sz w:val="24"/>
        </w:rPr>
        <w:t xml:space="preserve">Interoperability</w:t>
      </w:r>
      <w:r>
        <w:rPr>
          <w:rFonts w:ascii="Cambria Math" w:hAnsi="Cambria Math" w:cs="Cambria Math"/>
          <w:sz w:val="24"/>
        </w:rPr>
        <w:t xml:space="preserve"> Framework) : d’usage de désigner à la fois une communauté d’utilisateurs et un cadre d’interopérabilité. Réunissant des institutions culturelles et académiques comme des sociétés privées (musées, bibliothèques, archives, universités, </w:t>
      </w:r>
      <w:r>
        <w:rPr>
          <w:rFonts w:ascii="Cambria Math" w:hAnsi="Cambria Math" w:cs="Cambria Math"/>
          <w:sz w:val="24"/>
        </w:rPr>
        <w:t xml:space="preserve">éditeurs de logiciels, etc.).</w:t>
      </w:r>
      <w:r>
        <w:rPr>
          <w:rFonts w:ascii="Cambria Math" w:hAnsi="Cambria Math" w:cs="Cambria Math"/>
          <w:sz w:val="24"/>
        </w:rPr>
      </w:r>
    </w:p>
    <w:p w14:paraId="2BE7051D" w14:textId="77777777">
      <w:pPr>
        <w:pBdr/>
        <w:spacing w:line="360" w:lineRule="auto"/>
        <w:ind/>
        <w:jc w:val="both"/>
        <w:rPr>
          <w:rFonts w:ascii="Cambria Math" w:hAnsi="Cambria Math" w:cs="Cambria Math"/>
          <w:sz w:val="24"/>
        </w:rPr>
      </w:pPr>
      <w:r>
        <w:rPr>
          <w:rFonts w:ascii="Cambria Math" w:hAnsi="Cambria Math" w:cs="Cambria Math"/>
          <w:sz w:val="24"/>
        </w:rPr>
        <w:t xml:space="preserve">p.61 : Ces diverses institutions oeuvrent ainsi à l’élaboration d’un cadre technique commun </w:t>
      </w:r>
      <w:r>
        <w:rPr>
          <w:rFonts w:ascii="Cambria Math" w:hAnsi="Cambria Math" w:cs="Cambria Math"/>
          <w:sz w:val="24"/>
        </w:rPr>
        <w:t xml:space="preserve">permettan</w:t>
      </w:r>
      <w:r>
        <w:rPr>
          <w:rFonts w:ascii="Cambria Math" w:hAnsi="Cambria Math" w:cs="Cambria Math"/>
          <w:sz w:val="24"/>
        </w:rPr>
        <w:t xml:space="preserve"> la diffusion et l’échange d’images haute résolution sur le Web. Par la création et la mise à jour </w:t>
      </w:r>
      <w:r>
        <w:rPr>
          <w:rFonts w:ascii="Cambria Math" w:hAnsi="Cambria Math" w:cs="Cambria Math"/>
          <w:sz w:val="24"/>
        </w:rPr>
        <w:t xml:space="preserve">despécifications</w:t>
      </w:r>
      <w:r>
        <w:rPr>
          <w:rFonts w:ascii="Cambria Math" w:hAnsi="Cambria Math" w:cs="Cambria Math"/>
          <w:sz w:val="24"/>
        </w:rPr>
        <w:t xml:space="preserve"> techniques, ensuite implémentées dans des logiciels (serveurs d’images, </w:t>
      </w:r>
      <w:r>
        <w:rPr>
          <w:rFonts w:ascii="Cambria Math" w:hAnsi="Cambria Math" w:cs="Cambria Math"/>
          <w:sz w:val="24"/>
        </w:rPr>
        <w:t xml:space="preserve">visualiseurs</w:t>
      </w:r>
      <w:r>
        <w:rPr>
          <w:rFonts w:ascii="Cambria Math" w:hAnsi="Cambria Math" w:cs="Cambria Math"/>
          <w:sz w:val="24"/>
        </w:rPr>
        <w:t xml:space="preserve">, outils d’annotation, etc.), elles accomplissent un travail de standardisation qui permet aux bibliothèques numériques de diffuser leurs </w:t>
      </w:r>
      <w:r>
        <w:rPr>
          <w:rFonts w:ascii="Cambria Math" w:hAnsi="Cambria Math" w:cs="Cambria Math"/>
          <w:sz w:val="24"/>
        </w:rPr>
        <w:t xml:space="preserve">imagges</w:t>
      </w:r>
      <w:r>
        <w:rPr>
          <w:rFonts w:ascii="Cambria Math" w:hAnsi="Cambria Math" w:cs="Cambria Math"/>
          <w:sz w:val="24"/>
        </w:rPr>
        <w:t xml:space="preserve"> sur le web et de les rendre consultables, manipulables et </w:t>
      </w:r>
      <w:r>
        <w:rPr>
          <w:rFonts w:ascii="Cambria Math" w:hAnsi="Cambria Math" w:cs="Cambria Math"/>
          <w:sz w:val="24"/>
        </w:rPr>
        <w:t xml:space="preserve">annotables</w:t>
      </w:r>
      <w:r>
        <w:rPr>
          <w:rFonts w:ascii="Cambria Math" w:hAnsi="Cambria Math" w:cs="Cambria Math"/>
          <w:sz w:val="24"/>
        </w:rPr>
        <w:t xml:space="preserve"> par n’importe quelle application ou logiciel compatible.</w:t>
      </w:r>
      <w:r>
        <w:rPr>
          <w:rFonts w:ascii="Cambria Math" w:hAnsi="Cambria Math" w:cs="Cambria Math"/>
          <w:sz w:val="24"/>
        </w:rPr>
      </w:r>
    </w:p>
    <w:p w14:paraId="58BBF49D" w14:textId="77777777">
      <w:pPr>
        <w:pBdr/>
        <w:spacing w:line="360" w:lineRule="auto"/>
        <w:ind/>
        <w:jc w:val="both"/>
        <w:rPr>
          <w:rFonts w:ascii="Cambria Math" w:hAnsi="Cambria Math" w:cs="Cambria Math"/>
          <w:sz w:val="24"/>
        </w:rPr>
      </w:pPr>
      <w:r>
        <w:rPr>
          <w:rFonts w:ascii="Cambria Math" w:hAnsi="Cambria Math" w:cs="Cambria Math"/>
          <w:sz w:val="24"/>
        </w:rPr>
      </w:r>
      <w:r>
        <w:rPr>
          <w:rFonts w:ascii="Cambria Math" w:hAnsi="Cambria Math" w:cs="Cambria Math"/>
          <w:sz w:val="24"/>
        </w:rPr>
      </w:r>
    </w:p>
    <w:p w14:paraId="3DA40506" w14:textId="77777777">
      <w:pPr>
        <w:pBdr/>
        <w:spacing w:line="360" w:lineRule="auto"/>
        <w:ind/>
        <w:jc w:val="both"/>
        <w:rPr>
          <w:rFonts w:ascii="Cambria Math" w:hAnsi="Cambria Math" w:cs="Cambria Math"/>
          <w:sz w:val="24"/>
        </w:rPr>
      </w:pPr>
      <w:r>
        <w:rPr>
          <w:rFonts w:ascii="Cambria Math" w:hAnsi="Cambria Math" w:cs="Cambria Math"/>
          <w:sz w:val="24"/>
        </w:rPr>
      </w:r>
      <w:r>
        <w:rPr>
          <w:rFonts w:ascii="Cambria Math" w:hAnsi="Cambria Math" w:cs="Cambria Math"/>
          <w:sz w:val="24"/>
        </w:rPr>
      </w:r>
    </w:p>
    <w:p w14:paraId="586196C9" w14:textId="77777777">
      <w:pPr>
        <w:pBdr/>
        <w:spacing w:line="360" w:lineRule="auto"/>
        <w:ind/>
        <w:jc w:val="both"/>
        <w:rPr>
          <w:rFonts w:ascii="Cambria Math" w:hAnsi="Cambria Math" w:cs="Cambria Math"/>
          <w:sz w:val="24"/>
        </w:rPr>
      </w:pPr>
      <w:r>
        <w:rPr>
          <w:rFonts w:ascii="Cambria Math" w:hAnsi="Cambria Math" w:cs="Cambria Math"/>
          <w:sz w:val="24"/>
        </w:rPr>
      </w:r>
      <w:r>
        <w:rPr>
          <w:rFonts w:ascii="Cambria Math" w:hAnsi="Cambria Math" w:cs="Cambria Math"/>
          <w:sz w:val="24"/>
        </w:rPr>
      </w:r>
    </w:p>
    <w:p w14:paraId="32E29488" w14:textId="77777777">
      <w:pPr>
        <w:pBdr/>
        <w:spacing w:line="360" w:lineRule="auto"/>
        <w:ind/>
        <w:jc w:val="both"/>
        <w:rPr>
          <w:rFonts w:ascii="Cambria Math" w:hAnsi="Cambria Math" w:cs="Cambria Math"/>
          <w:sz w:val="24"/>
        </w:rPr>
      </w:pPr>
      <w:r>
        <w:rPr>
          <w:rFonts w:ascii="Cambria Math" w:hAnsi="Cambria Math" w:cs="Cambria Math"/>
          <w:sz w:val="24"/>
        </w:rPr>
      </w:r>
      <w:r>
        <w:rPr>
          <w:rFonts w:ascii="Cambria Math" w:hAnsi="Cambria Math" w:cs="Cambria Math"/>
          <w:sz w:val="24"/>
        </w:rPr>
      </w:r>
    </w:p>
    <w:p w14:paraId="3968F462" w14:textId="77777777">
      <w:pPr>
        <w:pBdr/>
        <w:spacing w:line="360" w:lineRule="auto"/>
        <w:ind/>
        <w:jc w:val="both"/>
        <w:rPr>
          <w:rFonts w:ascii="Cambria Math" w:hAnsi="Cambria Math" w:cs="Cambria Math"/>
          <w:sz w:val="24"/>
        </w:rPr>
      </w:pPr>
      <w:r>
        <w:rPr>
          <w:rFonts w:ascii="Cambria Math" w:hAnsi="Cambria Math" w:cs="Cambria Math"/>
          <w:sz w:val="24"/>
        </w:rPr>
      </w:r>
      <w:r>
        <w:rPr>
          <w:rFonts w:ascii="Cambria Math" w:hAnsi="Cambria Math" w:cs="Cambria Math"/>
          <w:sz w:val="24"/>
        </w:rPr>
      </w:r>
    </w:p>
    <w:p w14:paraId="0A741850" w14:textId="77777777">
      <w:pPr>
        <w:pStyle w:val="677"/>
        <w:pBdr/>
        <w:spacing/>
        <w:ind/>
        <w:jc w:val="both"/>
        <w:rPr>
          <w:rFonts w:asciiTheme="minorHAnsi" w:hAnsiTheme="minorHAnsi" w:cstheme="minorHAnsi"/>
          <w:b/>
          <w:bCs/>
          <w:color w:val="000000" w:themeColor="text1"/>
          <w:sz w:val="28"/>
          <w:szCs w:val="28"/>
        </w:rPr>
      </w:pPr>
      <w:r>
        <w:rPr>
          <w:rFonts w:asciiTheme="minorHAnsi" w:hAnsiTheme="minorHAnsi" w:cstheme="minorHAnsi"/>
          <w:b/>
          <w:bCs/>
          <w:color w:val="000000" w:themeColor="text1"/>
          <w:sz w:val="28"/>
          <w:szCs w:val="28"/>
        </w:rPr>
        <w:t xml:space="preserve">Lavenne</w:t>
      </w:r>
      <w:r>
        <w:rPr>
          <w:rFonts w:asciiTheme="minorHAnsi" w:hAnsiTheme="minorHAnsi" w:cstheme="minorHAnsi"/>
          <w:b/>
          <w:bCs/>
          <w:color w:val="000000" w:themeColor="text1"/>
          <w:sz w:val="28"/>
          <w:szCs w:val="28"/>
        </w:rPr>
        <w:t xml:space="preserve"> de la Montoise Vincent de, OAI-PMH à « l’heure du web sémantique » : bilans et perspectives, Diplôme de conservateur de bibliothèque, mémoire d’étude, Université de Lyon, mars 2020.</w:t>
      </w:r>
      <w:r>
        <w:rPr>
          <w:rFonts w:asciiTheme="minorHAnsi" w:hAnsiTheme="minorHAnsi" w:cstheme="minorHAnsi"/>
          <w:b/>
          <w:bCs/>
          <w:color w:val="000000" w:themeColor="text1"/>
          <w:sz w:val="28"/>
          <w:szCs w:val="28"/>
        </w:rPr>
      </w:r>
    </w:p>
    <w:p w14:paraId="5B5447B0" w14:textId="77777777">
      <w:pPr>
        <w:pBdr/>
        <w:spacing/>
        <w:ind/>
        <w:jc w:val="both"/>
        <w:rPr/>
      </w:pPr>
      <w:r/>
      <w:r/>
    </w:p>
    <w:p w14:paraId="22D57E32" w14:textId="77777777">
      <w:pPr>
        <w:pBdr/>
        <w:spacing/>
        <w:ind/>
        <w:jc w:val="both"/>
        <w:rPr>
          <w:rFonts w:cstheme="minorHAnsi"/>
          <w:sz w:val="24"/>
          <w:szCs w:val="24"/>
        </w:rPr>
      </w:pPr>
      <w:r>
        <w:rPr>
          <w:rFonts w:cstheme="minorHAnsi"/>
          <w:sz w:val="24"/>
          <w:szCs w:val="24"/>
        </w:rPr>
        <w:t xml:space="preserve">Résumé : à l’ap</w:t>
      </w:r>
      <w:r>
        <w:rPr>
          <w:rFonts w:cstheme="minorHAnsi"/>
          <w:sz w:val="24"/>
          <w:szCs w:val="24"/>
        </w:rPr>
        <w:t xml:space="preserve">proche du vingtième anniversaire du protocole OAI-PMH, et dans un environnement web qui a subi de profondes évolutions (technologiques et d’usages), quelle est l’actualité de l’échange de données ? Comment se sont construit les usages des professionnel-le-</w:t>
      </w:r>
      <w:r>
        <w:rPr>
          <w:rFonts w:cstheme="minorHAnsi"/>
          <w:sz w:val="24"/>
          <w:szCs w:val="24"/>
        </w:rPr>
        <w:t xml:space="preserve">s en la matière ? Sont-ils adaptés aux défis actuels ? Ce travail propose d’analyser l’exposition et l’échange de données sous un angle historique, avant d’essayer de comprendre les enjeux actuels qui détermineront quelle(s) solution(s) techniques choisir.</w:t>
      </w:r>
      <w:r>
        <w:rPr>
          <w:rFonts w:cstheme="minorHAnsi"/>
          <w:sz w:val="24"/>
          <w:szCs w:val="24"/>
        </w:rPr>
      </w:r>
    </w:p>
    <w:p w14:paraId="7357026D" w14:textId="77777777">
      <w:pPr>
        <w:pBdr/>
        <w:spacing/>
        <w:ind/>
        <w:jc w:val="both"/>
        <w:rPr>
          <w:rFonts w:cstheme="minorHAnsi"/>
          <w:sz w:val="24"/>
          <w:szCs w:val="24"/>
        </w:rPr>
      </w:pPr>
      <w:r>
        <w:rPr>
          <w:rFonts w:cstheme="minorHAnsi"/>
          <w:sz w:val="24"/>
          <w:szCs w:val="24"/>
        </w:rPr>
      </w:r>
      <w:r>
        <w:rPr>
          <w:rFonts w:cstheme="minorHAnsi"/>
          <w:sz w:val="24"/>
          <w:szCs w:val="24"/>
        </w:rPr>
      </w:r>
    </w:p>
    <w:p w14:paraId="6C050DA0" w14:textId="77777777">
      <w:pPr>
        <w:pBdr/>
        <w:spacing/>
        <w:ind/>
        <w:jc w:val="both"/>
        <w:rPr>
          <w:rFonts w:cstheme="minorHAnsi"/>
          <w:sz w:val="24"/>
          <w:szCs w:val="24"/>
        </w:rPr>
      </w:pPr>
      <w:r>
        <w:rPr>
          <w:rFonts w:cstheme="minorHAnsi"/>
          <w:sz w:val="24"/>
          <w:szCs w:val="24"/>
        </w:rPr>
        <w:t xml:space="preserve">p.10 : à quoi sert une bibliothèque ? de David </w:t>
      </w:r>
      <w:r>
        <w:rPr>
          <w:rFonts w:cstheme="minorHAnsi"/>
          <w:sz w:val="24"/>
          <w:szCs w:val="24"/>
        </w:rPr>
        <w:t xml:space="preserve">Lankes</w:t>
      </w:r>
      <w:r>
        <w:rPr>
          <w:rFonts w:cstheme="minorHAnsi"/>
          <w:sz w:val="24"/>
          <w:szCs w:val="24"/>
        </w:rPr>
        <w:t xml:space="preserve">. Une bonne bibliothèque ne construit pas de collections, ni de services, mais une communauté ; ou plutôt, une excellente bibliothèque construit des collections, qui lui permettent d’offrir des services qui </w:t>
      </w:r>
      <w:r>
        <w:rPr>
          <w:rFonts w:cstheme="minorHAnsi"/>
          <w:sz w:val="24"/>
          <w:szCs w:val="24"/>
        </w:rPr>
        <w:t xml:space="preserve">aidnet</w:t>
      </w:r>
      <w:r>
        <w:rPr>
          <w:rFonts w:cstheme="minorHAnsi"/>
          <w:sz w:val="24"/>
          <w:szCs w:val="24"/>
        </w:rPr>
        <w:t xml:space="preserve"> à construire une communauté. </w:t>
      </w:r>
      <w:r>
        <w:rPr>
          <w:rFonts w:cstheme="minorHAnsi"/>
          <w:sz w:val="24"/>
          <w:szCs w:val="24"/>
        </w:rPr>
      </w:r>
    </w:p>
    <w:p w14:paraId="18E8A0E6" w14:textId="77777777">
      <w:pPr>
        <w:pBdr/>
        <w:spacing w:line="360" w:lineRule="auto"/>
        <w:ind/>
        <w:jc w:val="both"/>
        <w:rPr>
          <w:rFonts w:ascii="Cambria Math" w:hAnsi="Cambria Math" w:cs="Cambria Math"/>
          <w:sz w:val="24"/>
        </w:rPr>
      </w:pPr>
      <w:r>
        <w:rPr>
          <w:rFonts w:ascii="Cambria Math" w:hAnsi="Cambria Math" w:cs="Cambria Math"/>
          <w:sz w:val="24"/>
        </w:rPr>
        <w:t xml:space="preserve">Construction des collections : 1 élément primordial, le 1</w:t>
      </w:r>
      <w:r>
        <w:rPr>
          <w:rFonts w:ascii="Cambria Math" w:hAnsi="Cambria Math" w:cs="Cambria Math"/>
          <w:sz w:val="24"/>
          <w:vertAlign w:val="superscript"/>
        </w:rPr>
        <w:t xml:space="preserve">er</w:t>
      </w:r>
      <w:r>
        <w:rPr>
          <w:rFonts w:ascii="Cambria Math" w:hAnsi="Cambria Math" w:cs="Cambria Math"/>
          <w:sz w:val="24"/>
        </w:rPr>
        <w:t xml:space="preserve"> bloc de la construction « identitaire » d’une bibliothèque. Une partie importante de la construction du travail sur une collection réside dans sa description. Pour fournir un doc : convient de savoir le décrire et d’en </w:t>
      </w:r>
      <w:r>
        <w:rPr>
          <w:rFonts w:ascii="Cambria Math" w:hAnsi="Cambria Math" w:cs="Cambria Math"/>
          <w:sz w:val="24"/>
        </w:rPr>
        <w:t xml:space="preserve">nôter</w:t>
      </w:r>
      <w:r>
        <w:rPr>
          <w:rFonts w:ascii="Cambria Math" w:hAnsi="Cambria Math" w:cs="Cambria Math"/>
          <w:sz w:val="24"/>
        </w:rPr>
        <w:t xml:space="preserve"> la possession. La description des docs, catalogage sont devenus en partie un processus coopératif à l’échelle nationale ou internationale. </w:t>
      </w:r>
      <w:r>
        <w:rPr>
          <w:rFonts w:ascii="Cambria Math" w:hAnsi="Cambria Math" w:cs="Cambria Math"/>
          <w:sz w:val="24"/>
        </w:rPr>
      </w:r>
    </w:p>
    <w:p w14:paraId="2F714F14" w14:textId="77777777">
      <w:pPr>
        <w:pBdr/>
        <w:spacing w:line="360" w:lineRule="auto"/>
        <w:ind/>
        <w:jc w:val="both"/>
        <w:rPr>
          <w:rFonts w:ascii="Cambria Math" w:hAnsi="Cambria Math" w:cs="Cambria Math"/>
          <w:sz w:val="24"/>
        </w:rPr>
      </w:pPr>
      <w:r>
        <w:rPr>
          <w:rFonts w:ascii="Cambria Math" w:hAnsi="Cambria Math" w:cs="Cambria Math"/>
          <w:sz w:val="24"/>
        </w:rPr>
        <w:t xml:space="preserve">Echange des données descriptives est un enjeu crucial. Données descriptives = métadonnées </w:t>
      </w:r>
      <w:r>
        <w:rPr>
          <w:rFonts w:ascii="Cambria Math" w:hAnsi="Cambria Math" w:cs="Cambria Math"/>
          <w:sz w:val="24"/>
        </w:rPr>
        <w:t xml:space="preserve">soit selon la norme ISO 19115 des « données qui définissent et décrivent d’autres données », or elles peuvent être descriptives, mais aussi administratives ou structurelles, et dans tous les cas elles permettent de signaler et de gérer l’information numéri</w:t>
      </w:r>
      <w:r>
        <w:rPr>
          <w:rFonts w:ascii="Cambria Math" w:hAnsi="Cambria Math" w:cs="Cambria Math"/>
          <w:sz w:val="24"/>
        </w:rPr>
        <w:t xml:space="preserve">que, en documentant sa création, sa structuration, sa diffusion et ses conditions d’utilisation. Produire des métadonnées permet de rendre des objets numériques (qu’ils le soient nativement ou pas) accessibles par des humains, et lisibles par des machines.</w:t>
      </w:r>
      <w:r>
        <w:rPr>
          <w:rFonts w:ascii="Cambria Math" w:hAnsi="Cambria Math" w:cs="Cambria Math"/>
          <w:sz w:val="24"/>
        </w:rPr>
      </w:r>
    </w:p>
    <w:p w14:paraId="28F37C99" w14:textId="77777777">
      <w:pPr>
        <w:pBdr/>
        <w:spacing w:line="360" w:lineRule="auto"/>
        <w:ind/>
        <w:jc w:val="both"/>
        <w:rPr>
          <w:rFonts w:ascii="Cambria Math" w:hAnsi="Cambria Math" w:cs="Cambria Math"/>
          <w:sz w:val="24"/>
        </w:rPr>
      </w:pPr>
      <w:r>
        <w:rPr>
          <w:rFonts w:ascii="Cambria Math" w:hAnsi="Cambria Math" w:cs="Cambria Math"/>
          <w:sz w:val="24"/>
        </w:rPr>
        <w:t xml:space="preserve">p.11 : </w:t>
      </w:r>
      <w:r>
        <w:rPr>
          <w:rFonts w:ascii="Cambria Math" w:hAnsi="Cambria Math" w:cs="Cambria Math"/>
          <w:sz w:val="24"/>
        </w:rPr>
        <w:t xml:space="preserve">échanger les métadonnées = éviter la multiplication du travail de description par le nb d’établissements. Contribuer à </w:t>
      </w:r>
      <w:r>
        <w:rPr>
          <w:rFonts w:ascii="Cambria Math" w:hAnsi="Cambria Math" w:cs="Cambria Math"/>
          <w:sz w:val="24"/>
        </w:rPr>
        <w:t xml:space="preserve">crer</w:t>
      </w:r>
      <w:r>
        <w:rPr>
          <w:rFonts w:ascii="Cambria Math" w:hAnsi="Cambria Math" w:cs="Cambria Math"/>
          <w:sz w:val="24"/>
        </w:rPr>
        <w:t xml:space="preserve"> une information cohérente, à permettre à chacun-e d’accéder à l’information par les mêmes biais.</w:t>
      </w:r>
      <w:r>
        <w:rPr>
          <w:rFonts w:ascii="Cambria Math" w:hAnsi="Cambria Math" w:cs="Cambria Math"/>
          <w:sz w:val="24"/>
        </w:rPr>
      </w:r>
    </w:p>
    <w:p w14:paraId="1FFFB441" w14:textId="77777777">
      <w:pPr>
        <w:pBdr/>
        <w:spacing w:line="360" w:lineRule="auto"/>
        <w:ind/>
        <w:jc w:val="both"/>
        <w:rPr>
          <w:rFonts w:ascii="Cambria Math" w:hAnsi="Cambria Math" w:cs="Cambria Math"/>
          <w:sz w:val="24"/>
        </w:rPr>
      </w:pPr>
      <w:r>
        <w:rPr>
          <w:rFonts w:ascii="Cambria Math" w:hAnsi="Cambria Math" w:cs="Cambria Math"/>
          <w:sz w:val="24"/>
        </w:rPr>
        <w:t xml:space="preserve">Echange des métadonnées : clé de voûte du </w:t>
      </w:r>
      <w:r>
        <w:rPr>
          <w:rFonts w:ascii="Cambria Math" w:hAnsi="Cambria Math" w:cs="Cambria Math"/>
          <w:sz w:val="24"/>
        </w:rPr>
        <w:t xml:space="preserve">dvlpt</w:t>
      </w:r>
      <w:r>
        <w:rPr>
          <w:rFonts w:ascii="Cambria Math" w:hAnsi="Cambria Math" w:cs="Cambria Math"/>
          <w:sz w:val="24"/>
        </w:rPr>
        <w:t xml:space="preserve"> des archives ouvertes.</w:t>
      </w:r>
      <w:r>
        <w:rPr>
          <w:rFonts w:ascii="Cambria Math" w:hAnsi="Cambria Math" w:cs="Cambria Math"/>
          <w:sz w:val="24"/>
        </w:rPr>
      </w:r>
    </w:p>
    <w:p w14:paraId="2FB2DDB5" w14:textId="77777777">
      <w:pPr>
        <w:pBdr/>
        <w:spacing w:line="360" w:lineRule="auto"/>
        <w:ind/>
        <w:jc w:val="both"/>
        <w:rPr>
          <w:rFonts w:ascii="Cambria Math" w:hAnsi="Cambria Math" w:cs="Cambria Math"/>
          <w:sz w:val="24"/>
        </w:rPr>
      </w:pPr>
      <w:r>
        <w:rPr>
          <w:rFonts w:ascii="Cambria Math" w:hAnsi="Cambria Math" w:cs="Cambria Math"/>
          <w:sz w:val="24"/>
        </w:rPr>
        <w:t xml:space="preserve">Comment faire communiquer des structures entre elles, indiquer des ressources dans des formats différents, lister un ensemble de documents qui sont disponibles librement dans </w:t>
      </w:r>
      <w:r>
        <w:rPr>
          <w:rFonts w:ascii="Cambria Math" w:hAnsi="Cambria Math" w:cs="Cambria Math"/>
          <w:sz w:val="24"/>
        </w:rPr>
        <w:t xml:space="preserve">ces archives ouvertes nouvellement créées ? Comme faire en sorte que ce </w:t>
      </w:r>
      <w:r>
        <w:rPr>
          <w:rFonts w:ascii="Cambria Math" w:hAnsi="Cambria Math" w:cs="Cambria Math"/>
          <w:sz w:val="24"/>
        </w:rPr>
        <w:t xml:space="preserve">snouveaux</w:t>
      </w:r>
      <w:r>
        <w:rPr>
          <w:rFonts w:ascii="Cambria Math" w:hAnsi="Cambria Math" w:cs="Cambria Math"/>
          <w:sz w:val="24"/>
        </w:rPr>
        <w:t xml:space="preserve"> li</w:t>
      </w:r>
      <w:r>
        <w:rPr>
          <w:rFonts w:ascii="Cambria Math" w:hAnsi="Cambria Math" w:cs="Cambria Math"/>
          <w:sz w:val="24"/>
        </w:rPr>
        <w:t xml:space="preserve">eux de savoir « discutent » entre eux, et les lier avec d’autres institutions dépositaires de ce savoir, au premier rang desquelles les bibliothèques (mais aussi les archives et musées), dont bine des usager-e-s peuvent être intéressés par leurs contenus ?</w:t>
      </w:r>
      <w:r>
        <w:rPr>
          <w:rFonts w:ascii="Cambria Math" w:hAnsi="Cambria Math" w:cs="Cambria Math"/>
          <w:sz w:val="24"/>
        </w:rPr>
      </w:r>
    </w:p>
    <w:p w14:paraId="7BF03627" w14:textId="77777777">
      <w:pPr>
        <w:pBdr/>
        <w:spacing w:line="360" w:lineRule="auto"/>
        <w:ind/>
        <w:jc w:val="both"/>
        <w:rPr>
          <w:rFonts w:ascii="Cambria Math" w:hAnsi="Cambria Math" w:cs="Cambria Math"/>
          <w:sz w:val="24"/>
        </w:rPr>
      </w:pPr>
      <w:r>
        <w:rPr>
          <w:rFonts w:ascii="Cambria Math" w:hAnsi="Cambria Math" w:cs="Cambria Math"/>
          <w:sz w:val="24"/>
        </w:rPr>
        <w:t xml:space="preserve">Naissance d’un nouveau besoin : interopérabilité </w:t>
      </w:r>
      <w:r>
        <w:rPr>
          <w:rFonts w:ascii="Cambria Math" w:hAnsi="Cambria Math" w:cs="Cambria Math"/>
          <w:sz w:val="24"/>
        </w:rPr>
        <w:t xml:space="preserve">càd</w:t>
      </w:r>
      <w:r>
        <w:rPr>
          <w:rFonts w:ascii="Cambria Math" w:hAnsi="Cambria Math" w:cs="Cambria Math"/>
          <w:sz w:val="24"/>
        </w:rPr>
        <w:t xml:space="preserve"> </w:t>
      </w:r>
      <w:r>
        <w:rPr>
          <w:rFonts w:ascii="Cambria Math" w:hAnsi="Cambria Math" w:cs="Cambria Math"/>
          <w:sz w:val="24"/>
        </w:rPr>
        <w:t xml:space="preserve">«  la</w:t>
      </w:r>
      <w:r>
        <w:rPr>
          <w:rFonts w:ascii="Cambria Math" w:hAnsi="Cambria Math" w:cs="Cambria Math"/>
          <w:sz w:val="24"/>
        </w:rPr>
        <w:t xml:space="preserve"> capacité que possède un produit ou un système, dont les interfaces sont intégralement connues, à fonctionner avec d’autres produits ou systèmes existants ou futurs et ce sans restriction d’accès ou de mise en œuvre ».</w:t>
      </w:r>
      <w:r>
        <w:rPr>
          <w:rFonts w:ascii="Cambria Math" w:hAnsi="Cambria Math" w:cs="Cambria Math"/>
          <w:sz w:val="24"/>
        </w:rPr>
      </w:r>
    </w:p>
    <w:p w14:paraId="495A685C" w14:textId="77777777">
      <w:pPr>
        <w:pBdr/>
        <w:spacing w:line="360" w:lineRule="auto"/>
        <w:ind/>
        <w:jc w:val="both"/>
        <w:rPr>
          <w:rFonts w:ascii="Cambria Math" w:hAnsi="Cambria Math" w:cs="Cambria Math"/>
          <w:sz w:val="24"/>
        </w:rPr>
      </w:pPr>
      <w:r>
        <w:rPr>
          <w:rFonts w:ascii="Cambria Math" w:hAnsi="Cambria Math" w:cs="Cambria Math"/>
          <w:sz w:val="24"/>
        </w:rPr>
        <w:t xml:space="preserve">p.12 : fin des années 90 naissance de l’OAI pour répondre à ses besoins.</w:t>
      </w:r>
      <w:r>
        <w:rPr>
          <w:rFonts w:ascii="Cambria Math" w:hAnsi="Cambria Math" w:cs="Cambria Math"/>
          <w:sz w:val="24"/>
        </w:rPr>
      </w:r>
    </w:p>
    <w:p w14:paraId="2C62645E" w14:textId="77777777">
      <w:pPr>
        <w:pBdr/>
        <w:spacing w:line="360" w:lineRule="auto"/>
        <w:ind/>
        <w:jc w:val="both"/>
        <w:rPr>
          <w:rFonts w:ascii="Cambria Math" w:hAnsi="Cambria Math" w:cs="Cambria Math"/>
          <w:sz w:val="24"/>
        </w:rPr>
      </w:pPr>
      <w:r>
        <w:rPr>
          <w:rFonts w:ascii="Cambria Math" w:hAnsi="Cambria Math" w:cs="Cambria Math"/>
          <w:sz w:val="24"/>
        </w:rPr>
        <w:t xml:space="preserve">Répond à un beso</w:t>
      </w:r>
      <w:r>
        <w:rPr>
          <w:rFonts w:ascii="Cambria Math" w:hAnsi="Cambria Math" w:cs="Cambria Math"/>
          <w:sz w:val="24"/>
        </w:rPr>
        <w:t xml:space="preserve">in général : rendre visible des contenus de tous types sur le web. C’set ainsi qu’OAi-PMH devient, particulièrement dans le monde des bibliothèques, un protocole familier à tou-t-e-s les professionnel-le-s qui gèrent des bibliothèques numériques, au-delà m</w:t>
      </w:r>
      <w:r>
        <w:rPr>
          <w:rFonts w:ascii="Cambria Math" w:hAnsi="Cambria Math" w:cs="Cambria Math"/>
          <w:sz w:val="24"/>
        </w:rPr>
        <w:t xml:space="preserve">ême du monde scientifique ; un standard qui sort de son contexte initial de création, et permet de créer des liens entre plusieurs communautés professionnelles, comme les galeries, bibliothèques, archive et musées (que l’on regroupe sous l’acronyme GLAM). </w:t>
      </w:r>
      <w:r>
        <w:rPr>
          <w:rFonts w:ascii="Cambria Math" w:hAnsi="Cambria Math" w:cs="Cambria Math"/>
          <w:sz w:val="24"/>
        </w:rPr>
      </w:r>
    </w:p>
    <w:p w14:paraId="55B146E9" w14:textId="77777777">
      <w:pPr>
        <w:pBdr/>
        <w:spacing w:line="360" w:lineRule="auto"/>
        <w:ind/>
        <w:jc w:val="both"/>
        <w:rPr>
          <w:rFonts w:ascii="Cambria Math" w:hAnsi="Cambria Math" w:cs="Cambria Math"/>
          <w:sz w:val="24"/>
        </w:rPr>
      </w:pPr>
      <w:r>
        <w:rPr>
          <w:rFonts w:ascii="Cambria Math" w:hAnsi="Cambria Math" w:cs="Cambria Math"/>
          <w:sz w:val="24"/>
        </w:rPr>
        <w:t xml:space="preserve">p.13 : Dans un moment où les usagers du web sont autant des contributeur-</w:t>
      </w:r>
      <w:r>
        <w:rPr>
          <w:rFonts w:ascii="Cambria Math" w:hAnsi="Cambria Math" w:cs="Cambria Math"/>
          <w:sz w:val="24"/>
        </w:rPr>
        <w:t xml:space="preserve">rice</w:t>
      </w:r>
      <w:r>
        <w:rPr>
          <w:rFonts w:ascii="Cambria Math" w:hAnsi="Cambria Math" w:cs="Cambria Math"/>
          <w:sz w:val="24"/>
        </w:rPr>
        <w:t xml:space="preserve">-s </w:t>
      </w:r>
      <w:r>
        <w:rPr>
          <w:rFonts w:ascii="Cambria Math" w:hAnsi="Cambria Math" w:cs="Cambria Math"/>
          <w:sz w:val="24"/>
        </w:rPr>
        <w:t xml:space="preserve">qu</w:t>
      </w:r>
      <w:r>
        <w:rPr>
          <w:rFonts w:ascii="Cambria Math" w:hAnsi="Cambria Math" w:cs="Cambria Math"/>
          <w:sz w:val="24"/>
        </w:rPr>
        <w:t xml:space="preserve"> </w:t>
      </w:r>
      <w:r>
        <w:rPr>
          <w:rFonts w:ascii="Cambria Math" w:hAnsi="Cambria Math" w:cs="Cambria Math"/>
          <w:sz w:val="24"/>
        </w:rPr>
        <w:t xml:space="preserve">edes</w:t>
      </w:r>
      <w:r>
        <w:rPr>
          <w:rFonts w:ascii="Cambria Math" w:hAnsi="Cambria Math" w:cs="Cambria Math"/>
          <w:sz w:val="24"/>
        </w:rPr>
        <w:t xml:space="preserve"> consommateur-</w:t>
      </w:r>
      <w:r>
        <w:rPr>
          <w:rFonts w:ascii="Cambria Math" w:hAnsi="Cambria Math" w:cs="Cambria Math"/>
          <w:sz w:val="24"/>
        </w:rPr>
        <w:t xml:space="preserve">rice</w:t>
      </w:r>
      <w:r>
        <w:rPr>
          <w:rFonts w:ascii="Cambria Math" w:hAnsi="Cambria Math" w:cs="Cambria Math"/>
          <w:sz w:val="24"/>
        </w:rPr>
        <w:t xml:space="preserve">-s, à la fois amateur-ice-s et expert-e-s, quelle est la pertinence d’un protocole où des </w:t>
      </w:r>
      <w:r>
        <w:rPr>
          <w:rFonts w:ascii="Cambria Math" w:hAnsi="Cambria Math" w:cs="Cambria Math"/>
          <w:sz w:val="24"/>
        </w:rPr>
        <w:t xml:space="preserve">profesionnel</w:t>
      </w:r>
      <w:r>
        <w:rPr>
          <w:rFonts w:ascii="Cambria Math" w:hAnsi="Cambria Math" w:cs="Cambria Math"/>
          <w:sz w:val="24"/>
        </w:rPr>
        <w:t xml:space="preserve">-</w:t>
      </w:r>
      <w:r>
        <w:rPr>
          <w:rFonts w:ascii="Cambria Math" w:hAnsi="Cambria Math" w:cs="Cambria Math"/>
          <w:sz w:val="24"/>
        </w:rPr>
        <w:t xml:space="preserve">le-s</w:t>
      </w:r>
      <w:r>
        <w:rPr>
          <w:rFonts w:ascii="Cambria Math" w:hAnsi="Cambria Math" w:cs="Cambria Math"/>
          <w:sz w:val="24"/>
        </w:rPr>
        <w:t xml:space="preserve"> contrôlent l’information et sa dissémination ?</w:t>
      </w:r>
      <w:r>
        <w:rPr>
          <w:rFonts w:ascii="Cambria Math" w:hAnsi="Cambria Math" w:cs="Cambria Math"/>
          <w:sz w:val="24"/>
        </w:rPr>
      </w:r>
    </w:p>
    <w:p w14:paraId="0CFA2D8B" w14:textId="77777777">
      <w:pPr>
        <w:pBdr/>
        <w:spacing w:line="360" w:lineRule="auto"/>
        <w:ind/>
        <w:jc w:val="both"/>
        <w:rPr>
          <w:rFonts w:ascii="Cambria Math" w:hAnsi="Cambria Math" w:cs="Cambria Math"/>
          <w:sz w:val="24"/>
        </w:rPr>
      </w:pPr>
      <w:r>
        <w:rPr>
          <w:rFonts w:ascii="Cambria Math" w:hAnsi="Cambria Math" w:cs="Cambria Math"/>
          <w:sz w:val="24"/>
        </w:rPr>
        <w:t xml:space="preserve">Web sémantique : « consiste […] à interconnecter d’immenses référentiels (terminologies, catalogues d’œuvres…) ouvrant la voie à des usages radicalement nouveaux des données numériques ». </w:t>
      </w:r>
      <w:r>
        <w:rPr>
          <w:rFonts w:ascii="Cambria Math" w:hAnsi="Cambria Math" w:cs="Cambria Math"/>
          <w:sz w:val="24"/>
        </w:rPr>
      </w:r>
    </w:p>
    <w:p w14:paraId="74B1D940" w14:textId="77777777">
      <w:pPr>
        <w:pBdr/>
        <w:spacing w:line="360" w:lineRule="auto"/>
        <w:ind/>
        <w:jc w:val="both"/>
        <w:rPr>
          <w:rFonts w:ascii="Cambria Math" w:hAnsi="Cambria Math" w:cs="Cambria Math"/>
          <w:sz w:val="24"/>
        </w:rPr>
      </w:pPr>
      <w:r>
        <w:rPr>
          <w:rFonts w:ascii="Cambria Math" w:hAnsi="Cambria Math" w:cs="Cambria Math"/>
          <w:sz w:val="24"/>
        </w:rPr>
        <w:t xml:space="preserve">p.14 : nécessaire de se demander quelles sont les raisons pour lesquelles le pro</w:t>
      </w:r>
      <w:r>
        <w:rPr>
          <w:rFonts w:ascii="Cambria Math" w:hAnsi="Cambria Math" w:cs="Cambria Math"/>
          <w:sz w:val="24"/>
        </w:rPr>
        <w:t xml:space="preserve">tocole OAI-PMH est encore pertinent aujourd’hui. Des promesses et objectifs qui existaient à son lancement, lesquels peuvent être considérés réalisés ? quels changements les développements du web et du paysage documentaire induisent-ils dans nos pratiques </w:t>
      </w:r>
      <w:r>
        <w:rPr>
          <w:rFonts w:ascii="Cambria Math" w:hAnsi="Cambria Math" w:cs="Cambria Math"/>
          <w:sz w:val="24"/>
        </w:rPr>
        <w:t xml:space="preserve">? Est-il possible, et souhaitable, de détrôner ce protocole pour utiliser une technologie différente ? Au moment d’un mouvement institutionnel en faveur de l’accès ouvert, quelle place et quel futur pour les archives ouvertes ? =&gt; problématique du mémoire.</w:t>
      </w:r>
      <w:r>
        <w:rPr>
          <w:rFonts w:ascii="Cambria Math" w:hAnsi="Cambria Math" w:cs="Cambria Math"/>
          <w:sz w:val="24"/>
        </w:rPr>
      </w:r>
    </w:p>
    <w:p w14:paraId="65E86F73" w14:textId="77777777">
      <w:pPr>
        <w:pBdr/>
        <w:spacing w:line="360" w:lineRule="auto"/>
        <w:ind/>
        <w:jc w:val="both"/>
        <w:rPr>
          <w:rFonts w:ascii="Cambria Math" w:hAnsi="Cambria Math" w:cs="Cambria Math"/>
          <w:sz w:val="24"/>
        </w:rPr>
      </w:pPr>
      <w:r>
        <w:rPr>
          <w:rFonts w:ascii="Cambria Math" w:hAnsi="Cambria Math" w:cs="Cambria Math"/>
          <w:sz w:val="24"/>
        </w:rPr>
        <w:t xml:space="preserve">p.16 : en 2020, le protocole OAI-PMH = brique standard de l’implémentation d’une bibliothèque numérique. Installation gérée par la plupart des logiciels de bibliothèques numériques et les créateurs de systèmes Intégrés de Gestion de Bibliothèque comme </w:t>
      </w:r>
      <w:r>
        <w:rPr>
          <w:rFonts w:ascii="Cambria Math" w:hAnsi="Cambria Math" w:cs="Cambria Math"/>
          <w:sz w:val="24"/>
        </w:rPr>
        <w:t xml:space="preserve">Omeka</w:t>
      </w:r>
      <w:r>
        <w:rPr>
          <w:rFonts w:ascii="Cambria Math" w:hAnsi="Cambria Math" w:cs="Cambria Math"/>
          <w:sz w:val="24"/>
        </w:rPr>
        <w:t xml:space="preserve"> ou </w:t>
      </w:r>
      <w:r>
        <w:rPr>
          <w:rFonts w:ascii="Cambria Math" w:hAnsi="Cambria Math" w:cs="Cambria Math"/>
          <w:sz w:val="24"/>
        </w:rPr>
        <w:t xml:space="preserve">Koha</w:t>
      </w:r>
      <w:r>
        <w:rPr>
          <w:rFonts w:ascii="Cambria Math" w:hAnsi="Cambria Math" w:cs="Cambria Math"/>
          <w:sz w:val="24"/>
        </w:rPr>
        <w:t xml:space="preserve">. </w:t>
      </w:r>
      <w:r>
        <w:rPr>
          <w:rFonts w:ascii="Cambria Math" w:hAnsi="Cambria Math" w:cs="Cambria Math"/>
          <w:sz w:val="24"/>
        </w:rPr>
        <w:t xml:space="preserve">Tecnologie</w:t>
      </w:r>
      <w:r>
        <w:rPr>
          <w:rFonts w:ascii="Cambria Math" w:hAnsi="Cambria Math" w:cs="Cambria Math"/>
          <w:sz w:val="24"/>
        </w:rPr>
        <w:t xml:space="preserve"> permettant de faire fonctionner de grands projets numériques comme </w:t>
      </w:r>
      <w:r>
        <w:rPr>
          <w:rFonts w:ascii="Cambria Math" w:hAnsi="Cambria Math" w:cs="Cambria Math"/>
          <w:sz w:val="24"/>
        </w:rPr>
        <w:t xml:space="preserve">Gallica</w:t>
      </w:r>
      <w:r>
        <w:rPr>
          <w:rFonts w:ascii="Cambria Math" w:hAnsi="Cambria Math" w:cs="Cambria Math"/>
          <w:sz w:val="24"/>
        </w:rPr>
        <w:t xml:space="preserve"> / </w:t>
      </w:r>
      <w:r>
        <w:rPr>
          <w:rFonts w:ascii="Cambria Math" w:hAnsi="Cambria Math" w:cs="Cambria Math"/>
          <w:sz w:val="24"/>
        </w:rPr>
        <w:t xml:space="preserve">Europeana</w:t>
      </w:r>
      <w:r>
        <w:rPr>
          <w:rFonts w:ascii="Cambria Math" w:hAnsi="Cambria Math" w:cs="Cambria Math"/>
          <w:sz w:val="24"/>
        </w:rPr>
        <w:t xml:space="preserve">.</w:t>
      </w:r>
      <w:r>
        <w:rPr>
          <w:rFonts w:ascii="Cambria Math" w:hAnsi="Cambria Math" w:cs="Cambria Math"/>
          <w:sz w:val="24"/>
        </w:rPr>
      </w:r>
    </w:p>
    <w:p w14:paraId="21086AB7" w14:textId="77777777">
      <w:pPr>
        <w:pBdr/>
        <w:spacing w:line="360" w:lineRule="auto"/>
        <w:ind/>
        <w:jc w:val="both"/>
        <w:rPr>
          <w:rFonts w:ascii="Cambria Math" w:hAnsi="Cambria Math" w:cs="Cambria Math"/>
          <w:sz w:val="24"/>
        </w:rPr>
      </w:pPr>
      <w:r>
        <w:rPr>
          <w:rFonts w:ascii="Cambria Math" w:hAnsi="Cambria Math" w:cs="Cambria Math"/>
          <w:sz w:val="24"/>
        </w:rPr>
        <w:t xml:space="preserve">Ppale source de métadonnées pour des agrégateurs de contenus comme Isidore, ou des archives ouvertes comme HAL ou ArXiv.</w:t>
      </w:r>
      <w:r>
        <w:rPr>
          <w:rFonts w:ascii="Cambria Math" w:hAnsi="Cambria Math" w:cs="Cambria Math"/>
          <w:sz w:val="24"/>
        </w:rPr>
      </w:r>
    </w:p>
    <w:p w14:paraId="541647E0" w14:textId="7CC98F36">
      <w:pPr>
        <w:pBdr/>
        <w:spacing w:line="360" w:lineRule="auto"/>
        <w:ind/>
        <w:jc w:val="both"/>
        <w:rPr>
          <w:rFonts w:ascii="Cambria Math" w:hAnsi="Cambria Math" w:cs="Cambria Math"/>
          <w:sz w:val="24"/>
        </w:rPr>
      </w:pPr>
      <w:r>
        <w:rPr>
          <w:rFonts w:ascii="Cambria Math" w:hAnsi="Cambria Math" w:cs="Cambria Math"/>
          <w:sz w:val="24"/>
        </w:rPr>
        <w:t xml:space="preserve">Fin des années 1980 : utilisation croissante de l’informatique dans les travaux de recherche</w:t>
      </w:r>
      <w:r>
        <w:rPr>
          <w:rFonts w:ascii="Cambria Math" w:hAnsi="Cambria Math" w:cs="Cambria Math"/>
          <w:sz w:val="24"/>
        </w:rPr>
        <w:t xml:space="preserve"> = accélération du rythme de la communication scientifique, en partageant directement ses travaux avec les collègues de la discipline, via le courrier électronique qui se développe durant ces années.</w:t>
      </w:r>
      <w:r>
        <w:rPr>
          <w:rFonts w:ascii="Cambria Math" w:hAnsi="Cambria Math" w:cs="Cambria Math"/>
          <w:sz w:val="24"/>
        </w:rPr>
      </w:r>
    </w:p>
    <w:p w14:paraId="2E40EBDE" w14:textId="6B0FDC07">
      <w:pPr>
        <w:pBdr/>
        <w:spacing w:line="360" w:lineRule="auto"/>
        <w:ind/>
        <w:jc w:val="both"/>
        <w:rPr>
          <w:rFonts w:ascii="Cambria Math" w:hAnsi="Cambria Math" w:cs="Cambria Math"/>
          <w:sz w:val="24"/>
        </w:rPr>
      </w:pPr>
      <w:r>
        <w:rPr>
          <w:rFonts w:ascii="Cambria Math" w:hAnsi="Cambria Math" w:cs="Cambria Math"/>
          <w:sz w:val="24"/>
        </w:rPr>
        <w:t xml:space="preserve">Besoin de communication directe = possibilité de détourner les délais, parfois longs, de publication dans des revues scientifiques, avec une évaluation par les pairs. </w:t>
      </w:r>
      <w:r>
        <w:rPr>
          <w:rFonts w:ascii="Cambria Math" w:hAnsi="Cambria Math" w:cs="Cambria Math"/>
          <w:sz w:val="24"/>
        </w:rPr>
        <w:t xml:space="preserve">Envoie et réception </w:t>
      </w:r>
      <w:r>
        <w:rPr>
          <w:rFonts w:ascii="Cambria Math" w:hAnsi="Cambria Math" w:cs="Cambria Math"/>
          <w:sz w:val="24"/>
        </w:rPr>
        <w:t xml:space="preserve">des travaux de recherches sont complexes + capacité de stockage assez limitées : être dans une boucle de courriels, à l’époque, c’est recevoir tous les articles qui circulaient à l’intérieur.</w:t>
      </w:r>
      <w:r>
        <w:rPr>
          <w:rFonts w:ascii="Cambria Math" w:hAnsi="Cambria Math" w:cs="Cambria Math"/>
          <w:sz w:val="24"/>
        </w:rPr>
      </w:r>
    </w:p>
    <w:p w14:paraId="603D1117" w14:textId="56C12064">
      <w:pPr>
        <w:pBdr/>
        <w:spacing w:line="360" w:lineRule="auto"/>
        <w:ind/>
        <w:jc w:val="both"/>
        <w:rPr>
          <w:rFonts w:ascii="Cambria Math" w:hAnsi="Cambria Math" w:cs="Cambria Math"/>
          <w:sz w:val="24"/>
        </w:rPr>
      </w:pPr>
      <w:r>
        <w:rPr>
          <w:rFonts w:ascii="Cambria Math" w:hAnsi="Cambria Math" w:cs="Cambria Math"/>
          <w:sz w:val="24"/>
        </w:rPr>
        <w:t xml:space="preserve">En 19991 : à L’os </w:t>
      </w:r>
      <w:r>
        <w:rPr>
          <w:rFonts w:ascii="Cambria Math" w:hAnsi="Cambria Math" w:cs="Cambria Math"/>
          <w:sz w:val="24"/>
        </w:rPr>
        <w:t xml:space="preserve">Alamos</w:t>
      </w:r>
      <w:r>
        <w:rPr>
          <w:rFonts w:ascii="Cambria Math" w:hAnsi="Cambria Math" w:cs="Cambria Math"/>
          <w:sz w:val="24"/>
        </w:rPr>
        <w:t xml:space="preserve">, création d’</w:t>
      </w:r>
      <w:r>
        <w:rPr>
          <w:rFonts w:ascii="Cambria Math" w:hAnsi="Cambria Math" w:cs="Cambria Math"/>
          <w:sz w:val="24"/>
        </w:rPr>
        <w:t xml:space="preserve">arXiv</w:t>
      </w:r>
      <w:r>
        <w:rPr>
          <w:rFonts w:ascii="Cambria Math" w:hAnsi="Cambria Math" w:cs="Cambria Math"/>
          <w:sz w:val="24"/>
        </w:rPr>
        <w:t xml:space="preserve"> pour répondre à cette demande grandissante.</w:t>
      </w:r>
      <w:r>
        <w:rPr>
          <w:rFonts w:ascii="Cambria Math" w:hAnsi="Cambria Math" w:cs="Cambria Math"/>
          <w:sz w:val="24"/>
        </w:rPr>
      </w:r>
    </w:p>
    <w:p w14:paraId="28EB3926" w14:textId="07E0EB0D">
      <w:pPr>
        <w:pBdr/>
        <w:spacing w:line="360" w:lineRule="auto"/>
        <w:ind/>
        <w:jc w:val="both"/>
        <w:rPr>
          <w:rFonts w:ascii="Cambria Math" w:hAnsi="Cambria Math" w:cs="Cambria Math"/>
          <w:sz w:val="24"/>
        </w:rPr>
      </w:pPr>
      <w:r>
        <w:rPr>
          <w:rFonts w:ascii="Cambria Math" w:hAnsi="Cambria Math" w:cs="Cambria Math"/>
          <w:sz w:val="24"/>
        </w:rPr>
        <w:t xml:space="preserve">P.18 : </w:t>
      </w:r>
      <w:r>
        <w:rPr>
          <w:rFonts w:ascii="Cambria Math" w:hAnsi="Cambria Math" w:cs="Cambria Math"/>
          <w:sz w:val="24"/>
        </w:rPr>
        <w:t xml:space="preserve">Face à l’émergence de nouvelle plateforme </w:t>
      </w:r>
      <w:r>
        <w:rPr>
          <w:rFonts w:ascii="Cambria Math" w:hAnsi="Cambria Math" w:cs="Cambria Math"/>
          <w:sz w:val="24"/>
        </w:rPr>
        <w:t xml:space="preserve">et formats (TeX, PDF) se pose le problème de l’accès à ces ressources nouvelles (catalogues, </w:t>
      </w:r>
      <w:r>
        <w:rPr>
          <w:rFonts w:ascii="Cambria Math" w:hAnsi="Cambria Math" w:cs="Cambria Math"/>
          <w:sz w:val="24"/>
        </w:rPr>
        <w:t xml:space="preserve">retroconversions</w:t>
      </w:r>
      <w:r>
        <w:rPr>
          <w:rFonts w:ascii="Cambria Math" w:hAnsi="Cambria Math" w:cs="Cambria Math"/>
          <w:sz w:val="24"/>
        </w:rPr>
        <w:t xml:space="preserve">)</w:t>
      </w:r>
      <w:r>
        <w:rPr>
          <w:rFonts w:ascii="Cambria Math" w:hAnsi="Cambria Math" w:cs="Cambria Math"/>
          <w:sz w:val="24"/>
        </w:rPr>
        <w:t xml:space="preserve">, de leur signalement commence à se poser : comment faire profiter le plus grand nombre possible de ces </w:t>
      </w:r>
      <w:r>
        <w:rPr>
          <w:rFonts w:ascii="Cambria Math" w:hAnsi="Cambria Math" w:cs="Cambria Math"/>
          <w:sz w:val="24"/>
        </w:rPr>
        <w:t xml:space="preserve">preprints</w:t>
      </w:r>
      <w:r>
        <w:rPr>
          <w:rFonts w:ascii="Cambria Math" w:hAnsi="Cambria Math" w:cs="Cambria Math"/>
          <w:sz w:val="24"/>
        </w:rPr>
        <w:t xml:space="preserve"> ?</w:t>
      </w:r>
      <w:r>
        <w:rPr>
          <w:rFonts w:ascii="Cambria Math" w:hAnsi="Cambria Math" w:cs="Cambria Math"/>
          <w:sz w:val="24"/>
        </w:rPr>
      </w:r>
    </w:p>
    <w:p w14:paraId="2D7BED10" w14:textId="09157E0A">
      <w:pPr>
        <w:pBdr/>
        <w:spacing w:line="360" w:lineRule="auto"/>
        <w:ind/>
        <w:jc w:val="both"/>
        <w:rPr>
          <w:rFonts w:ascii="Cambria Math" w:hAnsi="Cambria Math" w:cs="Cambria Math"/>
          <w:sz w:val="24"/>
        </w:rPr>
      </w:pPr>
      <w:r>
        <w:rPr>
          <w:rFonts w:ascii="Cambria Math" w:hAnsi="Cambria Math" w:cs="Cambria Math"/>
          <w:sz w:val="24"/>
        </w:rPr>
        <w:t xml:space="preserve">But : transformer la communication scientifique en profitant des possibilités d’échange offertes par le numérique, et pour ce faire, de fédérer le mouvement naissant </w:t>
      </w:r>
      <w:r>
        <w:rPr>
          <w:rFonts w:ascii="Cambria Math" w:hAnsi="Cambria Math" w:cs="Cambria Math"/>
          <w:sz w:val="24"/>
        </w:rPr>
        <w:t xml:space="preserve">des archives ouvertes.</w:t>
      </w:r>
      <w:r>
        <w:rPr>
          <w:rFonts w:ascii="Cambria Math" w:hAnsi="Cambria Math" w:cs="Cambria Math"/>
          <w:sz w:val="24"/>
        </w:rPr>
      </w:r>
    </w:p>
    <w:p w14:paraId="0C35DE69" w14:textId="35EEA43A">
      <w:pPr>
        <w:pBdr/>
        <w:spacing w:line="360" w:lineRule="auto"/>
        <w:ind/>
        <w:jc w:val="both"/>
        <w:rPr>
          <w:rFonts w:ascii="Cambria Math" w:hAnsi="Cambria Math" w:cs="Cambria Math"/>
          <w:sz w:val="24"/>
        </w:rPr>
      </w:pPr>
      <w:r>
        <w:rPr>
          <w:rFonts w:ascii="Cambria Math" w:hAnsi="Cambria Math" w:cs="Cambria Math"/>
          <w:sz w:val="24"/>
        </w:rPr>
        <w:t xml:space="preserve">Pdv</w:t>
      </w:r>
      <w:r>
        <w:rPr>
          <w:rFonts w:ascii="Cambria Math" w:hAnsi="Cambria Math" w:cs="Cambria Math"/>
          <w:sz w:val="24"/>
        </w:rPr>
        <w:t xml:space="preserve"> </w:t>
      </w:r>
      <w:r>
        <w:rPr>
          <w:rFonts w:ascii="Cambria Math" w:hAnsi="Cambria Math" w:cs="Cambria Math"/>
          <w:sz w:val="24"/>
        </w:rPr>
        <w:t xml:space="preserve">d’un usager : les frontières assez troubles : comment trouver la réf d’un article en particulier ? Il n’existe pas de moteur de recherche centralisé, les frontières disciplinaires sont assez floues, puisque les archives arXiv, au départ centrée uniquement </w:t>
      </w:r>
      <w:r>
        <w:rPr>
          <w:rFonts w:ascii="Cambria Math" w:hAnsi="Cambria Math" w:cs="Cambria Math"/>
          <w:sz w:val="24"/>
        </w:rPr>
        <w:t xml:space="preserve">de la physique, accueille rapidement des </w:t>
      </w:r>
      <w:r>
        <w:rPr>
          <w:rFonts w:ascii="Cambria Math" w:hAnsi="Cambria Math" w:cs="Cambria Math"/>
          <w:sz w:val="24"/>
        </w:rPr>
        <w:t xml:space="preserve">preprints</w:t>
      </w:r>
      <w:r>
        <w:rPr>
          <w:rFonts w:ascii="Cambria Math" w:hAnsi="Cambria Math" w:cs="Cambria Math"/>
          <w:sz w:val="24"/>
        </w:rPr>
        <w:t xml:space="preserve"> en mathématique ou en informatique. </w:t>
      </w:r>
      <w:r>
        <w:rPr>
          <w:rFonts w:ascii="Cambria Math" w:hAnsi="Cambria Math" w:cs="Cambria Math"/>
          <w:sz w:val="24"/>
        </w:rPr>
      </w:r>
    </w:p>
    <w:p w14:paraId="2E851CB4" w14:textId="08BD2991">
      <w:pPr>
        <w:pBdr/>
        <w:spacing w:line="360" w:lineRule="auto"/>
        <w:ind/>
        <w:jc w:val="both"/>
        <w:rPr>
          <w:rFonts w:ascii="Cambria Math" w:hAnsi="Cambria Math" w:cs="Cambria Math"/>
          <w:sz w:val="24"/>
        </w:rPr>
      </w:pPr>
      <w:r>
        <w:rPr>
          <w:rFonts w:ascii="Cambria Math" w:hAnsi="Cambria Math" w:cs="Cambria Math"/>
          <w:sz w:val="24"/>
        </w:rPr>
        <w:t xml:space="preserve">Cela nécessite à fortiori une veille constante sur l’apparition d’autres archives ouvertes, sur l’évolution des contenus de celles qui existent déjà. </w:t>
      </w:r>
      <w:r>
        <w:rPr>
          <w:rFonts w:ascii="Cambria Math" w:hAnsi="Cambria Math" w:cs="Cambria Math"/>
          <w:sz w:val="24"/>
        </w:rPr>
        <w:t xml:space="preserve">Les bibliothèques ont été bridées </w:t>
      </w:r>
      <w:r>
        <w:rPr>
          <w:rFonts w:ascii="Cambria Math" w:hAnsi="Cambria Math" w:cs="Cambria Math"/>
          <w:sz w:val="24"/>
        </w:rPr>
        <w:t xml:space="preserve">dans l’accès qu’elles peuvent donner à ces contenus : hormis le fait de lister les archives ouvertes, elles ne disposent pas d’une manière unifiée de lister les ressources qui y sont contenues. </w:t>
      </w:r>
      <w:r>
        <w:rPr>
          <w:rFonts w:ascii="Cambria Math" w:hAnsi="Cambria Math" w:cs="Cambria Math"/>
          <w:sz w:val="24"/>
        </w:rPr>
      </w:r>
    </w:p>
    <w:p w14:paraId="66A0D805" w14:textId="0B392185">
      <w:pPr>
        <w:pBdr/>
        <w:spacing w:line="360" w:lineRule="auto"/>
        <w:ind/>
        <w:jc w:val="both"/>
        <w:rPr>
          <w:rFonts w:ascii="Cambria Math" w:hAnsi="Cambria Math" w:cs="Cambria Math"/>
          <w:sz w:val="24"/>
        </w:rPr>
      </w:pPr>
      <w:r>
        <w:rPr>
          <w:rFonts w:ascii="Cambria Math" w:hAnsi="Cambria Math" w:cs="Cambria Math"/>
          <w:sz w:val="24"/>
        </w:rPr>
        <w:t xml:space="preserve">P.19 :</w:t>
      </w:r>
      <w:r>
        <w:rPr>
          <w:rFonts w:ascii="Cambria Math" w:hAnsi="Cambria Math" w:cs="Cambria Math"/>
          <w:sz w:val="24"/>
        </w:rPr>
        <w:t xml:space="preserve"> </w:t>
      </w:r>
      <w:r>
        <w:rPr>
          <w:rFonts w:ascii="Cambria Math" w:hAnsi="Cambria Math" w:cs="Cambria Math"/>
          <w:sz w:val="24"/>
        </w:rPr>
        <w:t xml:space="preserve">En juillet 1999 : la conférence de Santa Fe se donne comme but de créer un standard international pour les archives ouvertes, ou plutôt, des “exigences techniques minimales pour les archives”. </w:t>
      </w:r>
      <w:r>
        <w:rPr>
          <w:rFonts w:ascii="Cambria Math" w:hAnsi="Cambria Math" w:cs="Cambria Math"/>
          <w:sz w:val="24"/>
        </w:rPr>
      </w:r>
    </w:p>
    <w:p w14:paraId="33BF2260" w14:textId="76695EBB">
      <w:pPr>
        <w:pBdr/>
        <w:spacing w:line="360" w:lineRule="auto"/>
        <w:ind/>
        <w:jc w:val="both"/>
        <w:rPr>
          <w:rFonts w:ascii="Cambria Math" w:hAnsi="Cambria Math" w:cs="Cambria Math"/>
          <w:sz w:val="24"/>
        </w:rPr>
      </w:pPr>
      <w:r>
        <w:rPr>
          <w:rFonts w:ascii="Cambria Math" w:hAnsi="Cambria Math" w:cs="Cambria Math"/>
          <w:sz w:val="24"/>
        </w:rPr>
        <w:t xml:space="preserve">Débats se tournent autour de pro</w:t>
      </w:r>
      <w:r>
        <w:rPr>
          <w:rFonts w:ascii="Cambria Math" w:hAnsi="Cambria Math" w:cs="Cambria Math"/>
          <w:sz w:val="24"/>
        </w:rPr>
        <w:t xml:space="preserve">blématiques qui gardent leur pertinence aujourd’hui : comment donner accès à l’information scientifique ? Comment conjuguer les besoins d’exposition des données, en l’occurrence des articles (principalement), et celui de faciliter l’accès à leur contenu ? </w:t>
      </w:r>
      <w:r>
        <w:rPr>
          <w:rFonts w:ascii="Cambria Math" w:hAnsi="Cambria Math" w:cs="Cambria Math"/>
          <w:sz w:val="24"/>
        </w:rPr>
        <w:t xml:space="preserve">Débats : émergence d’un mécanisme qui sépare les acteurs du champ en deux domaines : les fournisseurs de données (data providers), et les fournisseurs de service (service providers).</w:t>
      </w:r>
      <w:r>
        <w:rPr>
          <w:rFonts w:ascii="Cambria Math" w:hAnsi="Cambria Math" w:cs="Cambria Math"/>
          <w:sz w:val="24"/>
        </w:rPr>
      </w:r>
    </w:p>
    <w:p w14:paraId="727189BE" w14:textId="0D623950">
      <w:pPr>
        <w:pBdr/>
        <w:spacing w:line="360" w:lineRule="auto"/>
        <w:ind/>
        <w:jc w:val="both"/>
        <w:rPr>
          <w:rFonts w:ascii="Cambria Math" w:hAnsi="Cambria Math" w:cs="Cambria Math"/>
          <w:sz w:val="24"/>
        </w:rPr>
      </w:pPr>
      <w:r>
        <w:rPr>
          <w:rFonts w:ascii="Cambria Math" w:hAnsi="Cambria Math" w:cs="Cambria Math"/>
          <w:sz w:val="24"/>
        </w:rPr>
        <w:t xml:space="preserve">P.20 : </w:t>
      </w:r>
      <w:r>
        <w:rPr>
          <w:rFonts w:ascii="Cambria Math" w:hAnsi="Cambria Math" w:cs="Cambria Math"/>
          <w:sz w:val="24"/>
        </w:rPr>
        <w:t xml:space="preserve">Division </w:t>
      </w:r>
      <w:r>
        <w:rPr>
          <w:rFonts w:ascii="Cambria Math" w:hAnsi="Cambria Math" w:cs="Cambria Math"/>
          <w:sz w:val="24"/>
        </w:rPr>
        <w:t xml:space="preserve">entre </w:t>
      </w:r>
      <w:r>
        <w:rPr>
          <w:rFonts w:ascii="Cambria Math" w:hAnsi="Cambria Math" w:cs="Cambria Math"/>
          <w:i/>
          <w:iCs/>
          <w:sz w:val="24"/>
        </w:rPr>
        <w:t xml:space="preserve">service </w:t>
      </w:r>
      <w:r>
        <w:rPr>
          <w:rFonts w:ascii="Cambria Math" w:hAnsi="Cambria Math" w:cs="Cambria Math"/>
          <w:sz w:val="24"/>
        </w:rPr>
        <w:t xml:space="preserve">et </w:t>
      </w:r>
      <w:r>
        <w:rPr>
          <w:rFonts w:ascii="Cambria Math" w:hAnsi="Cambria Math" w:cs="Cambria Math"/>
          <w:i/>
          <w:iCs/>
          <w:sz w:val="24"/>
        </w:rPr>
        <w:t xml:space="preserve">data providers</w:t>
      </w:r>
      <w:r>
        <w:rPr>
          <w:rFonts w:ascii="Cambria Math" w:hAnsi="Cambria Math" w:cs="Cambria Math"/>
          <w:sz w:val="24"/>
        </w:rPr>
        <w:t xml:space="preserve"> permet à chacun de rester dans sa mission effective : les </w:t>
      </w:r>
      <w:r>
        <w:rPr>
          <w:rFonts w:ascii="Cambria Math" w:hAnsi="Cambria Math" w:cs="Cambria Math"/>
          <w:i/>
          <w:iCs/>
          <w:sz w:val="24"/>
        </w:rPr>
        <w:t xml:space="preserve">data providers</w:t>
      </w:r>
      <w:r>
        <w:rPr>
          <w:rFonts w:ascii="Cambria Math" w:hAnsi="Cambria Math" w:cs="Cambria Math"/>
          <w:sz w:val="24"/>
        </w:rPr>
        <w:t xml:space="preserve">, en l’occurrence les archives ouvertes, exposent leurs données, des </w:t>
      </w:r>
      <w:r>
        <w:rPr>
          <w:rFonts w:ascii="Cambria Math" w:hAnsi="Cambria Math" w:cs="Cambria Math"/>
          <w:sz w:val="24"/>
        </w:rPr>
        <w:t xml:space="preserve">preprints</w:t>
      </w:r>
      <w:r>
        <w:rPr>
          <w:rFonts w:ascii="Cambria Math" w:hAnsi="Cambria Math" w:cs="Cambria Math"/>
          <w:sz w:val="24"/>
        </w:rPr>
        <w:t xml:space="preserve">, et les bibliothèques, </w:t>
      </w:r>
      <w:r>
        <w:rPr>
          <w:rFonts w:ascii="Cambria Math" w:hAnsi="Cambria Math" w:cs="Cambria Math"/>
          <w:i/>
          <w:iCs/>
          <w:sz w:val="24"/>
        </w:rPr>
        <w:t xml:space="preserve">service providers</w:t>
      </w:r>
      <w:r>
        <w:rPr>
          <w:rFonts w:ascii="Cambria Math" w:hAnsi="Cambria Math" w:cs="Cambria Math"/>
          <w:sz w:val="24"/>
        </w:rPr>
        <w:t xml:space="preserve">, viennent moissonner les données et les exposent à leur tour, fournissant ainsi une voie d’accès à l’information, et un supplément de visibilité.</w:t>
      </w:r>
      <w:r>
        <w:rPr>
          <w:rFonts w:ascii="Cambria Math" w:hAnsi="Cambria Math" w:cs="Cambria Math"/>
          <w:sz w:val="24"/>
        </w:rPr>
      </w:r>
    </w:p>
    <w:p w14:paraId="1E9C100C" w14:textId="6B89C892">
      <w:pPr>
        <w:pBdr/>
        <w:spacing w:line="360" w:lineRule="auto"/>
        <w:ind/>
        <w:jc w:val="both"/>
        <w:rPr>
          <w:rFonts w:ascii="Cambria Math" w:hAnsi="Cambria Math" w:cs="Cambria Math"/>
          <w:sz w:val="24"/>
        </w:rPr>
      </w:pPr>
      <w:r>
        <w:rPr>
          <w:rFonts w:ascii="Cambria Math" w:hAnsi="Cambria Math" w:cs="Cambria Math"/>
          <w:sz w:val="24"/>
        </w:rPr>
        <w:t xml:space="preserve">Permet aux </w:t>
      </w:r>
      <w:r>
        <w:rPr>
          <w:rFonts w:ascii="Cambria Math" w:hAnsi="Cambria Math" w:cs="Cambria Math"/>
          <w:sz w:val="24"/>
        </w:rPr>
        <w:t xml:space="preserve">fournisseurs de service de sélectionner les données qu’ils moissonnent, et donc de proposer un service pertinent pour leurs communautés : ainsi une bibliothèque universitaire en sciences économiques fournirait uniquement une liste d’articles contenus dans </w:t>
      </w:r>
      <w:r>
        <w:rPr>
          <w:rFonts w:ascii="Cambria Math" w:hAnsi="Cambria Math" w:cs="Cambria Math"/>
          <w:sz w:val="24"/>
        </w:rPr>
        <w:t xml:space="preserve">RePEc</w:t>
      </w:r>
      <w:r>
        <w:rPr>
          <w:rFonts w:ascii="Cambria Math" w:hAnsi="Cambria Math" w:cs="Cambria Math"/>
          <w:sz w:val="24"/>
        </w:rPr>
        <w:t xml:space="preserve">, puisque cette archive correspondrait aux besoins des usager-e-s, alors que les contenus d’arXiv seraient moins pertinent. </w:t>
      </w:r>
      <w:r>
        <w:rPr>
          <w:rFonts w:ascii="Cambria Math" w:hAnsi="Cambria Math" w:cs="Cambria Math"/>
          <w:sz w:val="24"/>
        </w:rPr>
        <w:t xml:space="preserve">Évite le stockage in</w:t>
      </w:r>
      <w:r>
        <w:rPr>
          <w:rFonts w:ascii="Cambria Math" w:hAnsi="Cambria Math" w:cs="Cambria Math"/>
          <w:sz w:val="24"/>
        </w:rPr>
        <w:t xml:space="preserve">utile de l’information et de construire un accès adapté aux archives ouvertes, plutôt que de noyer une personne dans des contenus divers.</w:t>
      </w:r>
      <w:r>
        <w:rPr>
          <w:rFonts w:ascii="Cambria Math" w:hAnsi="Cambria Math" w:cs="Cambria Math"/>
          <w:sz w:val="24"/>
        </w:rPr>
      </w:r>
    </w:p>
    <w:p w14:paraId="7F54F6DD" w14:textId="01DA7929">
      <w:pPr>
        <w:pBdr/>
        <w:spacing w:line="360" w:lineRule="auto"/>
        <w:ind/>
        <w:jc w:val="both"/>
        <w:rPr>
          <w:rFonts w:ascii="Cambria Math" w:hAnsi="Cambria Math" w:cs="Cambria Math"/>
          <w:sz w:val="24"/>
        </w:rPr>
      </w:pPr>
      <w:r>
        <w:rPr>
          <w:rFonts w:ascii="Cambria Math" w:hAnsi="Cambria Math" w:cs="Cambria Math"/>
          <w:sz w:val="24"/>
        </w:rPr>
        <w:t xml:space="preserve">Pour atteindre cet objectif : </w:t>
      </w:r>
      <w:r>
        <w:rPr>
          <w:rFonts w:ascii="Cambria Math" w:hAnsi="Cambria Math" w:cs="Cambria Math"/>
          <w:sz w:val="24"/>
        </w:rPr>
      </w:r>
    </w:p>
    <w:p w14:paraId="420FDC23" w14:textId="51C4D226">
      <w:pPr>
        <w:pStyle w:val="683"/>
        <w:numPr>
          <w:ilvl w:val="0"/>
          <w:numId w:val="3"/>
        </w:numPr>
        <w:pBdr/>
        <w:spacing/>
        <w:ind/>
        <w:rPr>
          <w:rFonts w:ascii="Cambria Math" w:hAnsi="Cambria Math" w:cs="Cambria Math"/>
          <w:sz w:val="24"/>
        </w:rPr>
      </w:pPr>
      <w:r>
        <w:rPr>
          <w:rFonts w:ascii="Cambria Math" w:hAnsi="Cambria Math" w:cs="Cambria Math"/>
          <w:sz w:val="24"/>
        </w:rPr>
        <w:t xml:space="preserve">Un accord sur le protocole, qui doit permettre de sélectionner les données à importer</w:t>
      </w:r>
      <w:r>
        <w:rPr>
          <w:rFonts w:ascii="Cambria Math" w:hAnsi="Cambria Math" w:cs="Cambria Math"/>
          <w:sz w:val="24"/>
        </w:rPr>
      </w:r>
    </w:p>
    <w:p w14:paraId="6430746D" w14:textId="73671B55">
      <w:pPr>
        <w:pStyle w:val="683"/>
        <w:numPr>
          <w:ilvl w:val="0"/>
          <w:numId w:val="3"/>
        </w:numPr>
        <w:pBdr/>
        <w:spacing/>
        <w:ind/>
        <w:rPr>
          <w:rFonts w:ascii="Cambria Math" w:hAnsi="Cambria Math" w:cs="Cambria Math"/>
          <w:sz w:val="24"/>
        </w:rPr>
      </w:pPr>
      <w:r>
        <w:rPr>
          <w:rFonts w:ascii="Cambria Math" w:hAnsi="Cambria Math" w:cs="Cambria Math"/>
          <w:sz w:val="24"/>
        </w:rPr>
        <w:t xml:space="preserve">Un accord sur les critères de sélection de ces données, et sur la temporalité de leur récupération</w:t>
      </w:r>
      <w:r>
        <w:rPr>
          <w:rFonts w:ascii="Cambria Math" w:hAnsi="Cambria Math" w:cs="Cambria Math"/>
          <w:sz w:val="24"/>
        </w:rPr>
      </w:r>
    </w:p>
    <w:p w14:paraId="23CE253A" w14:textId="2C560B60">
      <w:pPr>
        <w:pStyle w:val="683"/>
        <w:numPr>
          <w:ilvl w:val="0"/>
          <w:numId w:val="3"/>
        </w:numPr>
        <w:pBdr/>
        <w:spacing/>
        <w:ind/>
        <w:rPr>
          <w:rFonts w:ascii="Cambria Math" w:hAnsi="Cambria Math" w:cs="Cambria Math"/>
          <w:sz w:val="24"/>
        </w:rPr>
      </w:pPr>
      <w:r>
        <w:rPr>
          <w:rFonts w:ascii="Cambria Math" w:hAnsi="Cambria Math" w:cs="Cambria Math"/>
          <w:sz w:val="24"/>
        </w:rPr>
        <w:t xml:space="preserve">Un accord sur les formats des données, ou plutôt des métadonnées, qui doivent être récupérées.</w:t>
      </w:r>
      <w:r>
        <w:rPr>
          <w:rFonts w:ascii="Cambria Math" w:hAnsi="Cambria Math" w:cs="Cambria Math"/>
          <w:sz w:val="24"/>
        </w:rPr>
      </w:r>
    </w:p>
    <w:p w14:paraId="069A9013" w14:textId="795C34C3">
      <w:pPr>
        <w:pBdr/>
        <w:spacing/>
        <w:ind/>
        <w:jc w:val="both"/>
        <w:rPr>
          <w:rFonts w:cstheme="minorHAnsi"/>
          <w:sz w:val="24"/>
        </w:rPr>
      </w:pPr>
      <w:r>
        <w:rPr>
          <w:rFonts w:cstheme="minorHAnsi"/>
          <w:sz w:val="24"/>
        </w:rPr>
        <w:t xml:space="preserve">Fin de la conférence : Universal </w:t>
      </w:r>
      <w:r>
        <w:rPr>
          <w:rFonts w:cstheme="minorHAnsi"/>
          <w:sz w:val="24"/>
        </w:rPr>
        <w:t xml:space="preserve">Preprint</w:t>
      </w:r>
      <w:r>
        <w:rPr>
          <w:rFonts w:cstheme="minorHAnsi"/>
          <w:sz w:val="24"/>
        </w:rPr>
        <w:t xml:space="preserve"> Service devient l’Open Archive Initiative</w:t>
      </w:r>
      <w:r>
        <w:rPr>
          <w:rFonts w:cstheme="minorHAnsi"/>
          <w:sz w:val="24"/>
        </w:rPr>
        <w:t xml:space="preserve"> (but : fédérer sans agglomérer)</w:t>
      </w:r>
      <w:r>
        <w:rPr>
          <w:rFonts w:cstheme="minorHAnsi"/>
          <w:sz w:val="24"/>
        </w:rPr>
        <w:t xml:space="preserve">.</w:t>
      </w:r>
      <w:r>
        <w:rPr>
          <w:rFonts w:cstheme="minorHAnsi"/>
          <w:sz w:val="24"/>
        </w:rPr>
        <w:t xml:space="preserve"> </w:t>
      </w:r>
      <w:r>
        <w:rPr>
          <w:rFonts w:cstheme="minorHAnsi"/>
          <w:sz w:val="24"/>
        </w:rPr>
      </w:r>
    </w:p>
    <w:p w14:paraId="7627239A" w14:textId="1957146D">
      <w:pPr>
        <w:pBdr/>
        <w:spacing/>
        <w:ind/>
        <w:jc w:val="both"/>
        <w:rPr>
          <w:rFonts w:cstheme="minorHAnsi"/>
          <w:sz w:val="24"/>
        </w:rPr>
      </w:pPr>
      <w:r>
        <w:rPr>
          <w:rFonts w:cstheme="minorHAnsi"/>
          <w:sz w:val="24"/>
        </w:rPr>
        <w:t xml:space="preserve">P.21 : </w:t>
      </w:r>
      <w:r>
        <w:rPr>
          <w:rFonts w:cstheme="minorHAnsi"/>
          <w:sz w:val="24"/>
        </w:rPr>
        <w:t xml:space="preserve">2001 : OAI devient OAI-PMH qui concrétise techniquement les trois accords. Protocole permet de sélectionner les donnée</w:t>
      </w:r>
      <w:r>
        <w:rPr>
          <w:rFonts w:cstheme="minorHAnsi"/>
          <w:sz w:val="24"/>
        </w:rPr>
        <w:t xml:space="preserve">s à recevoir selon 6 “verbes” : </w:t>
      </w:r>
      <w:r>
        <w:rPr>
          <w:rFonts w:cstheme="minorHAnsi"/>
          <w:sz w:val="24"/>
        </w:rPr>
        <w:t xml:space="preserve">GetRecord</w:t>
      </w:r>
      <w:r>
        <w:rPr>
          <w:rFonts w:cstheme="minorHAnsi"/>
          <w:sz w:val="24"/>
        </w:rPr>
        <w:t xml:space="preserve">, </w:t>
      </w:r>
      <w:r>
        <w:rPr>
          <w:rFonts w:cstheme="minorHAnsi"/>
          <w:sz w:val="24"/>
        </w:rPr>
        <w:t xml:space="preserve">Identify</w:t>
      </w:r>
      <w:r>
        <w:rPr>
          <w:rFonts w:cstheme="minorHAnsi"/>
          <w:sz w:val="24"/>
        </w:rPr>
        <w:t xml:space="preserve">, </w:t>
      </w:r>
      <w:r>
        <w:rPr>
          <w:rFonts w:cstheme="minorHAnsi"/>
          <w:sz w:val="24"/>
        </w:rPr>
        <w:t xml:space="preserve">ListIdentifiers</w:t>
      </w:r>
      <w:r>
        <w:rPr>
          <w:rFonts w:cstheme="minorHAnsi"/>
          <w:sz w:val="24"/>
        </w:rPr>
        <w:t xml:space="preserve">, </w:t>
      </w:r>
      <w:r>
        <w:rPr>
          <w:rFonts w:cstheme="minorHAnsi"/>
          <w:sz w:val="24"/>
        </w:rPr>
        <w:t xml:space="preserve">ListMetadataFormats</w:t>
      </w:r>
      <w:r>
        <w:rPr>
          <w:rFonts w:cstheme="minorHAnsi"/>
          <w:sz w:val="24"/>
        </w:rPr>
        <w:t xml:space="preserve">, ListRecords et ListSets.</w:t>
      </w:r>
      <w:r>
        <w:rPr>
          <w:rFonts w:cstheme="minorHAnsi"/>
          <w:sz w:val="24"/>
        </w:rPr>
      </w:r>
    </w:p>
    <w:p w14:paraId="5E39F539" w14:textId="29006015">
      <w:pPr>
        <w:pBdr/>
        <w:spacing/>
        <w:ind/>
        <w:jc w:val="both"/>
        <w:rPr>
          <w:rFonts w:cstheme="minorHAnsi"/>
          <w:sz w:val="24"/>
        </w:rPr>
      </w:pPr>
      <w:r>
        <w:rPr>
          <w:rFonts w:cstheme="minorHAnsi"/>
          <w:sz w:val="24"/>
        </w:rPr>
        <w:t xml:space="preserve">Ils permettent </w:t>
      </w:r>
      <w:r>
        <w:rPr>
          <w:rFonts w:cstheme="minorHAnsi"/>
          <w:sz w:val="24"/>
        </w:rPr>
        <w:t xml:space="preserve">d’obtenir des enregistrements donnés</w:t>
      </w:r>
      <w:r>
        <w:rPr>
          <w:rFonts w:cstheme="minorHAnsi"/>
          <w:sz w:val="24"/>
        </w:rPr>
        <w:t xml:space="preserve"> </w:t>
      </w:r>
      <w:r>
        <w:rPr>
          <w:rFonts w:cstheme="minorHAnsi"/>
          <w:sz w:val="24"/>
        </w:rPr>
        <w:t xml:space="preserve">(ou records), des informations sur l’entrepôt</w:t>
      </w:r>
      <w:r>
        <w:rPr>
          <w:rFonts w:cstheme="minorHAnsi"/>
          <w:sz w:val="24"/>
        </w:rPr>
        <w:t xml:space="preserve"> de données sont donc possibles au sein d’un entrepôt, dc du côté des fournisseurs de données. </w:t>
      </w:r>
      <w:r>
        <w:rPr>
          <w:rFonts w:cstheme="minorHAnsi"/>
          <w:sz w:val="24"/>
        </w:rPr>
      </w:r>
    </w:p>
    <w:p w14:paraId="18A0FA3A" w14:textId="5150D9F0">
      <w:pPr>
        <w:pBdr/>
        <w:spacing/>
        <w:ind/>
        <w:jc w:val="both"/>
        <w:rPr>
          <w:rFonts w:cstheme="minorHAnsi"/>
          <w:sz w:val="24"/>
        </w:rPr>
      </w:pPr>
      <w:r>
        <w:rPr>
          <w:rFonts w:cstheme="minorHAnsi"/>
          <w:sz w:val="24"/>
        </w:rPr>
        <w:t xml:space="preserve">Logique de moissonnage rend possible le fait de ne moissonner qu’un fournisseur de données ou de ne moissonner qu’une partie d’un entrepôt.</w:t>
      </w:r>
      <w:r>
        <w:rPr>
          <w:rFonts w:cstheme="minorHAnsi"/>
          <w:sz w:val="24"/>
        </w:rPr>
      </w:r>
    </w:p>
    <w:p w14:paraId="7A5A5BF1" w14:textId="4AB9919A">
      <w:pPr>
        <w:pBdr/>
        <w:spacing/>
        <w:ind/>
        <w:jc w:val="both"/>
        <w:rPr>
          <w:rFonts w:cstheme="minorHAnsi"/>
          <w:sz w:val="24"/>
        </w:rPr>
      </w:pPr>
      <w:r>
        <w:rPr>
          <w:rFonts w:cstheme="minorHAnsi"/>
          <w:sz w:val="24"/>
        </w:rPr>
        <w:t xml:space="preserve">P.22 : aspect important d’OAI-PMH : </w:t>
      </w:r>
      <w:r>
        <w:rPr>
          <w:rFonts w:cstheme="minorHAnsi"/>
          <w:sz w:val="24"/>
        </w:rPr>
        <w:t xml:space="preserve">asynchronie</w:t>
      </w:r>
      <w:r>
        <w:rPr>
          <w:rFonts w:cstheme="minorHAnsi"/>
          <w:sz w:val="24"/>
        </w:rPr>
        <w:t xml:space="preserve">.</w:t>
      </w:r>
      <w:r>
        <w:rPr>
          <w:rFonts w:cstheme="minorHAnsi"/>
          <w:sz w:val="24"/>
        </w:rPr>
        <w:t xml:space="preserve"> Protocole Z39-50 : transférer des données et particulièrement des données bibliographiques.</w:t>
      </w:r>
      <w:r>
        <w:rPr>
          <w:rFonts w:cstheme="minorHAnsi"/>
          <w:sz w:val="24"/>
        </w:rPr>
        <w:t xml:space="preserve"> Créé en 1988 par la Bibliothèque d’OCLC, le protocole permet d’échanger des données en format Machine </w:t>
      </w:r>
      <w:r>
        <w:rPr>
          <w:rFonts w:cstheme="minorHAnsi"/>
          <w:sz w:val="24"/>
        </w:rPr>
        <w:t xml:space="preserve">Readable</w:t>
      </w:r>
      <w:r>
        <w:rPr>
          <w:rFonts w:cstheme="minorHAnsi"/>
          <w:sz w:val="24"/>
        </w:rPr>
        <w:t xml:space="preserve"> </w:t>
      </w:r>
      <w:r>
        <w:rPr>
          <w:rFonts w:cstheme="minorHAnsi"/>
          <w:sz w:val="24"/>
        </w:rPr>
        <w:t xml:space="preserve">Cataloguing</w:t>
      </w:r>
      <w:r>
        <w:rPr>
          <w:rFonts w:cstheme="minorHAnsi"/>
          <w:sz w:val="24"/>
        </w:rPr>
        <w:t xml:space="preserve"> (MARC), de manière synchrone, </w:t>
      </w:r>
      <w:r>
        <w:rPr>
          <w:rFonts w:cstheme="minorHAnsi"/>
          <w:sz w:val="24"/>
        </w:rPr>
        <w:t xml:space="preserve">càd</w:t>
      </w:r>
      <w:r>
        <w:rPr>
          <w:rFonts w:cstheme="minorHAnsi"/>
          <w:sz w:val="24"/>
        </w:rPr>
        <w:t xml:space="preserve"> que la requête est</w:t>
      </w:r>
      <w:r>
        <w:rPr>
          <w:rFonts w:cstheme="minorHAnsi"/>
          <w:sz w:val="24"/>
        </w:rPr>
        <w:t xml:space="preserve"> exécutée “en direct sur le serveur distant et les résultats sont rapatriés instantanément en retour”. Il a permis au catalogage de se développer de manière collaborative, mais il a quelques problèmes : il n’est pas basé sur les technologies du web, qu’il </w:t>
      </w:r>
      <w:r>
        <w:rPr>
          <w:rFonts w:cstheme="minorHAnsi"/>
          <w:sz w:val="24"/>
        </w:rPr>
        <w:t xml:space="preserve">prédate</w:t>
      </w:r>
      <w:r>
        <w:rPr>
          <w:rFonts w:cstheme="minorHAnsi"/>
          <w:sz w:val="24"/>
        </w:rPr>
        <w:t xml:space="preserve">, pose des </w:t>
      </w:r>
      <w:r>
        <w:rPr>
          <w:rFonts w:cstheme="minorHAnsi"/>
          <w:sz w:val="24"/>
        </w:rPr>
        <w:t xml:space="preserve">pbs</w:t>
      </w:r>
      <w:r>
        <w:rPr>
          <w:rFonts w:cstheme="minorHAnsi"/>
          <w:sz w:val="24"/>
        </w:rPr>
        <w:t xml:space="preserve"> d’interopérabilités</w:t>
      </w:r>
      <w:r>
        <w:rPr>
          <w:rFonts w:cstheme="minorHAnsi"/>
          <w:sz w:val="24"/>
        </w:rPr>
        <w:t xml:space="preserve"> (</w:t>
      </w:r>
      <w:r>
        <w:rPr>
          <w:rFonts w:cstheme="minorHAnsi"/>
          <w:sz w:val="24"/>
        </w:rPr>
        <w:t xml:space="preserve">pas compatibles avec tous les SIGB)</w:t>
      </w:r>
      <w:r>
        <w:rPr>
          <w:rFonts w:cstheme="minorHAnsi"/>
          <w:sz w:val="24"/>
        </w:rPr>
        <w:t xml:space="preserve"> et de temps d’interr</w:t>
      </w:r>
      <w:r>
        <w:rPr>
          <w:rFonts w:cstheme="minorHAnsi"/>
          <w:sz w:val="24"/>
        </w:rPr>
        <w:t xml:space="preserve">ogation.</w:t>
      </w:r>
      <w:r>
        <w:rPr>
          <w:rFonts w:cstheme="minorHAnsi"/>
          <w:sz w:val="24"/>
        </w:rPr>
      </w:r>
    </w:p>
    <w:p w14:paraId="1BE6A839" w14:textId="52CD88F5">
      <w:pPr>
        <w:pBdr/>
        <w:spacing/>
        <w:ind/>
        <w:jc w:val="both"/>
        <w:rPr>
          <w:rFonts w:cstheme="minorHAnsi"/>
          <w:sz w:val="24"/>
        </w:rPr>
      </w:pPr>
      <w:r>
        <w:rPr>
          <w:rFonts w:cstheme="minorHAnsi"/>
          <w:sz w:val="24"/>
        </w:rPr>
        <w:t xml:space="preserve">Protocole OAI-PMH : fonctionne de manière asynchrone </w:t>
      </w:r>
      <w:r>
        <w:rPr>
          <w:rFonts w:cstheme="minorHAnsi"/>
          <w:sz w:val="24"/>
        </w:rPr>
        <w:t xml:space="preserve">càd</w:t>
      </w:r>
      <w:r>
        <w:rPr>
          <w:rFonts w:cstheme="minorHAnsi"/>
          <w:sz w:val="24"/>
        </w:rPr>
        <w:t xml:space="preserve"> que les données ne sont pas mises à jour en temps réel. Cela pose de pbs de mise à jour des données, elle facilite le moissonnage et le dissocie de l’interrogation, qui gagne en souplesse et en rapidité. </w:t>
      </w:r>
      <w:r>
        <w:rPr>
          <w:rFonts w:cstheme="minorHAnsi"/>
          <w:sz w:val="24"/>
        </w:rPr>
      </w:r>
    </w:p>
    <w:p w14:paraId="320C0309" w14:textId="72A46635">
      <w:pPr>
        <w:pBdr/>
        <w:spacing/>
        <w:ind/>
        <w:jc w:val="both"/>
        <w:rPr>
          <w:rFonts w:cstheme="minorHAnsi"/>
          <w:sz w:val="24"/>
        </w:rPr>
      </w:pPr>
      <w:r>
        <w:rPr>
          <w:rFonts w:cstheme="minorHAnsi"/>
          <w:sz w:val="24"/>
        </w:rPr>
        <w:t xml:space="preserve">Protocole commun = passage de l’idée d’un service universel à celle d’une initiative partagée, rapidement impl</w:t>
      </w:r>
      <w:r>
        <w:rPr>
          <w:rFonts w:cstheme="minorHAnsi"/>
          <w:sz w:val="24"/>
        </w:rPr>
        <w:t xml:space="preserve">ém</w:t>
      </w:r>
      <w:r>
        <w:rPr>
          <w:rFonts w:cstheme="minorHAnsi"/>
          <w:sz w:val="24"/>
        </w:rPr>
        <w:t xml:space="preserve">enté</w:t>
      </w:r>
      <w:r>
        <w:rPr>
          <w:rFonts w:cstheme="minorHAnsi"/>
          <w:sz w:val="24"/>
        </w:rPr>
        <w:t xml:space="preserve"> dans les archives ouvertes et des critères qu’il propose pour récupérer, est atteint par la convention de Santa Fe. Choix du standard DC.</w:t>
      </w:r>
      <w:r>
        <w:rPr>
          <w:rFonts w:cstheme="minorHAnsi"/>
          <w:sz w:val="24"/>
        </w:rPr>
      </w:r>
    </w:p>
    <w:p w14:paraId="5D7FEE77" w14:textId="6B74232D">
      <w:pPr>
        <w:pBdr/>
        <w:spacing/>
        <w:ind/>
        <w:jc w:val="both"/>
        <w:rPr>
          <w:rFonts w:cstheme="minorHAnsi"/>
          <w:sz w:val="24"/>
        </w:rPr>
      </w:pPr>
      <w:r>
        <w:rPr>
          <w:rFonts w:cstheme="minorHAnsi"/>
          <w:sz w:val="24"/>
        </w:rPr>
        <w:t xml:space="preserve">p.23 : </w:t>
      </w:r>
      <w:r>
        <w:rPr>
          <w:rFonts w:cstheme="minorHAnsi"/>
          <w:sz w:val="24"/>
        </w:rPr>
        <w:t xml:space="preserve">àpd</w:t>
      </w:r>
      <w:r>
        <w:rPr>
          <w:rFonts w:cstheme="minorHAnsi"/>
          <w:sz w:val="24"/>
        </w:rPr>
        <w:t xml:space="preserve"> 1995 : </w:t>
      </w:r>
      <w:r>
        <w:rPr>
          <w:rFonts w:cstheme="minorHAnsi"/>
          <w:sz w:val="24"/>
        </w:rPr>
        <w:t xml:space="preserve">dvlpt</w:t>
      </w:r>
      <w:r>
        <w:rPr>
          <w:rFonts w:cstheme="minorHAnsi"/>
          <w:sz w:val="24"/>
        </w:rPr>
        <w:t xml:space="preserve"> de DC au sein de l’OCLC en gde partie. Objectifs de ce standard : simplicité, extensibilité et interopérabilité. But : pas de créer un standard de métadonnées englobant tout, précis et fermé, mais un cadre min qui puisse s’adapter à de </w:t>
      </w:r>
      <w:r>
        <w:rPr>
          <w:rFonts w:cstheme="minorHAnsi"/>
          <w:sz w:val="24"/>
        </w:rPr>
        <w:t xml:space="preserve">nvx</w:t>
      </w:r>
      <w:r>
        <w:rPr>
          <w:rFonts w:cstheme="minorHAnsi"/>
          <w:sz w:val="24"/>
        </w:rPr>
        <w:t xml:space="preserve"> besoins, de nouvelles pratiques : c’est l’objectif d’extensibilité du DC. </w:t>
      </w:r>
      <w:r>
        <w:rPr>
          <w:rFonts w:cstheme="minorHAnsi"/>
          <w:sz w:val="24"/>
        </w:rPr>
      </w:r>
    </w:p>
    <w:p w14:paraId="6176770C" w14:textId="7BF063DF">
      <w:pPr>
        <w:pBdr/>
        <w:spacing/>
        <w:ind/>
        <w:jc w:val="both"/>
        <w:rPr>
          <w:rFonts w:cstheme="minorHAnsi"/>
          <w:sz w:val="24"/>
        </w:rPr>
      </w:pPr>
      <w:r>
        <w:rPr>
          <w:rFonts w:cstheme="minorHAnsi"/>
          <w:sz w:val="24"/>
        </w:rPr>
        <w:t xml:space="preserve">Elaboration de ce format à l’origine pour trouver une solution à mi-chemin entre une entrée d’index et une notice bibliographique.</w:t>
      </w:r>
      <w:r>
        <w:rPr>
          <w:rFonts w:cstheme="minorHAnsi"/>
          <w:sz w:val="24"/>
        </w:rPr>
      </w:r>
    </w:p>
    <w:p w14:paraId="503462AA" w14:textId="1A718CAE">
      <w:pPr>
        <w:pBdr/>
        <w:spacing/>
        <w:ind/>
        <w:jc w:val="both"/>
        <w:rPr>
          <w:rFonts w:cstheme="minorHAnsi"/>
          <w:sz w:val="24"/>
        </w:rPr>
      </w:pPr>
      <w:r>
        <w:rPr>
          <w:rFonts w:cstheme="minorHAnsi"/>
          <w:sz w:val="24"/>
        </w:rPr>
        <w:t xml:space="preserve">p.24 : DC doit servir à décrire des objets numérisés (texte, image, son) ou nativement numériques, et OAI-PMH doit permettre de retrouver ces descriptions, de permettre l’accès à ces ressources.</w:t>
      </w:r>
      <w:r>
        <w:rPr>
          <w:rFonts w:cstheme="minorHAnsi"/>
          <w:sz w:val="24"/>
        </w:rPr>
      </w:r>
    </w:p>
    <w:p w14:paraId="6B32E469" w14:textId="7AD48E38">
      <w:pPr>
        <w:pBdr/>
        <w:spacing/>
        <w:ind/>
        <w:jc w:val="both"/>
        <w:rPr>
          <w:rFonts w:cstheme="minorHAnsi"/>
          <w:sz w:val="24"/>
        </w:rPr>
      </w:pPr>
      <w:r>
        <w:rPr>
          <w:rFonts w:cstheme="minorHAnsi"/>
          <w:sz w:val="24"/>
        </w:rPr>
        <w:t xml:space="preserve">p.26 : idée de DC comme celle d’OAI-PMH : fournir plutôt qu’un service central, une multitude d’endroits spécialisés qui peuvent donner accès à des ressources déterminées.</w:t>
      </w:r>
      <w:r>
        <w:rPr>
          <w:rFonts w:cstheme="minorHAnsi"/>
          <w:sz w:val="24"/>
        </w:rPr>
      </w:r>
    </w:p>
    <w:p w14:paraId="47610556" w14:textId="3F216174">
      <w:pPr>
        <w:pBdr/>
        <w:spacing/>
        <w:ind/>
        <w:jc w:val="both"/>
        <w:rPr>
          <w:rFonts w:cstheme="minorHAnsi"/>
          <w:sz w:val="24"/>
        </w:rPr>
      </w:pPr>
      <w:r>
        <w:rPr>
          <w:rFonts w:cstheme="minorHAnsi"/>
          <w:sz w:val="24"/>
        </w:rPr>
        <w:t xml:space="preserve">But d’OAi-PMH : à travers un protocole commun, de multiplier les bases de données de petite taille, se</w:t>
      </w:r>
      <w:r>
        <w:rPr>
          <w:rFonts w:cstheme="minorHAnsi"/>
          <w:sz w:val="24"/>
        </w:rPr>
        <w:t xml:space="preserve">lon les spécialités, et permettre à chaque institution de construire un service selon ses usages. Plutôt qu’une archive universelle, c’est un canevas sur lequel construire un univers d’archives communicantes, à l’image de la structure décentralisée du web.</w:t>
      </w:r>
      <w:r>
        <w:rPr>
          <w:rFonts w:cstheme="minorHAnsi"/>
          <w:sz w:val="24"/>
        </w:rPr>
      </w:r>
    </w:p>
    <w:p w14:paraId="7EA4754E" w14:textId="6F8C26B1">
      <w:pPr>
        <w:pBdr/>
        <w:spacing/>
        <w:ind/>
        <w:jc w:val="both"/>
        <w:rPr>
          <w:rFonts w:cstheme="minorHAnsi"/>
          <w:sz w:val="24"/>
        </w:rPr>
      </w:pPr>
      <w:r>
        <w:rPr>
          <w:rFonts w:cstheme="minorHAnsi"/>
          <w:sz w:val="24"/>
        </w:rPr>
        <w:t xml:space="preserve">p.29 : même si but des créateurs d’OAI-PMH n’était pas de créer une archive universelle, la conception du protocole rend cela possible. Alors qu’en 1995, les moteurs de recherche étaient presque inexistants, cela n’est plus vrai dans les années 2000.</w:t>
      </w:r>
      <w:r>
        <w:rPr>
          <w:rFonts w:cstheme="minorHAnsi"/>
          <w:sz w:val="24"/>
        </w:rPr>
      </w:r>
    </w:p>
    <w:p w14:paraId="30052F17" w14:textId="4616FC2D">
      <w:pPr>
        <w:pBdr/>
        <w:spacing/>
        <w:ind/>
        <w:jc w:val="both"/>
        <w:rPr>
          <w:rFonts w:cstheme="minorHAnsi"/>
          <w:sz w:val="24"/>
        </w:rPr>
      </w:pPr>
      <w:r>
        <w:rPr>
          <w:rFonts w:cstheme="minorHAnsi"/>
          <w:sz w:val="24"/>
        </w:rPr>
        <w:t xml:space="preserve">Multiplication des moteurs de recherche = besoin de trouver une information précise sur le web. Protocole rend possible la consultation de ressources qui, sans cela, passeraient inaperçues.</w:t>
      </w:r>
      <w:r>
        <w:rPr>
          <w:rFonts w:cstheme="minorHAnsi"/>
          <w:sz w:val="24"/>
        </w:rPr>
      </w:r>
    </w:p>
    <w:p w14:paraId="7AD51220" w14:textId="0C4CB149">
      <w:pPr>
        <w:pBdr/>
        <w:spacing/>
        <w:ind/>
        <w:jc w:val="both"/>
        <w:rPr>
          <w:rFonts w:cstheme="minorHAnsi"/>
          <w:sz w:val="24"/>
        </w:rPr>
      </w:pPr>
      <w:r>
        <w:rPr>
          <w:rFonts w:cstheme="minorHAnsi"/>
          <w:sz w:val="24"/>
        </w:rPr>
        <w:t xml:space="preserve">Alors que</w:t>
      </w:r>
      <w:r>
        <w:rPr>
          <w:rFonts w:cstheme="minorHAnsi"/>
          <w:sz w:val="24"/>
        </w:rPr>
        <w:t xml:space="preserve"> les concepteurs du DC pensaient que les moteurs étaient incapables de trouver une information précise pour les personnes qui l’utilisent. L’amélioration de la technologie et l’usage font qu’ils deviennent les moyens privilégiés d’accéder à l’information. </w:t>
      </w:r>
      <w:r>
        <w:rPr>
          <w:rFonts w:cstheme="minorHAnsi"/>
          <w:sz w:val="24"/>
        </w:rPr>
      </w:r>
    </w:p>
    <w:p w14:paraId="753A07C5" w14:textId="34DA706A">
      <w:pPr>
        <w:pBdr/>
        <w:spacing/>
        <w:ind/>
        <w:jc w:val="both"/>
        <w:rPr>
          <w:rFonts w:cstheme="minorHAnsi"/>
          <w:sz w:val="24"/>
        </w:rPr>
      </w:pPr>
      <w:r>
        <w:rPr>
          <w:rFonts w:cstheme="minorHAnsi"/>
          <w:sz w:val="24"/>
        </w:rPr>
        <w:t xml:space="preserve">p.32 : problème : utilisation d’OAI-PMH : en particulier l’utilisation du DC comme seul format. Sa simplicité est conçue comme une manière de faciliter et d’accélérer sa dissémination, mais qu’il était attendu qu’il y ait un enrichissement.</w:t>
      </w:r>
      <w:r>
        <w:rPr>
          <w:rFonts w:cstheme="minorHAnsi"/>
          <w:sz w:val="24"/>
        </w:rPr>
      </w:r>
    </w:p>
    <w:p w14:paraId="3B175246" w14:textId="2F5C0ABF">
      <w:pPr>
        <w:pBdr/>
        <w:spacing/>
        <w:ind/>
        <w:jc w:val="both"/>
        <w:rPr>
          <w:rFonts w:cstheme="minorHAnsi"/>
          <w:sz w:val="24"/>
        </w:rPr>
      </w:pPr>
      <w:r>
        <w:rPr>
          <w:rFonts w:cstheme="minorHAnsi"/>
          <w:sz w:val="24"/>
        </w:rPr>
        <w:t xml:space="preserve">p.33 : problèmes liés à l’utilisation</w:t>
      </w:r>
      <w:r>
        <w:rPr>
          <w:rFonts w:cstheme="minorHAnsi"/>
          <w:sz w:val="24"/>
        </w:rPr>
        <w:t xml:space="preserve"> du DC =&gt; la souplesse de l’ensemble d’éléments lui permet théoriquement de décrire toute ressource, qu’elle soit numérique, numérisée, physique, mais chacune de ces formes a des spécificités qui ne sont pas prises en compte par les 15 éléments répétables.</w:t>
      </w:r>
      <w:r>
        <w:rPr>
          <w:rFonts w:cstheme="minorHAnsi"/>
          <w:sz w:val="24"/>
        </w:rPr>
      </w:r>
    </w:p>
    <w:p w14:paraId="79151F45" w14:textId="18FF279F">
      <w:pPr>
        <w:pBdr/>
        <w:spacing/>
        <w:ind/>
        <w:jc w:val="both"/>
        <w:rPr>
          <w:rFonts w:cstheme="minorHAnsi"/>
          <w:sz w:val="24"/>
        </w:rPr>
      </w:pPr>
      <w:r>
        <w:rPr>
          <w:rFonts w:cstheme="minorHAnsi"/>
          <w:sz w:val="24"/>
        </w:rPr>
        <w:t xml:space="preserve">Chq</w:t>
      </w:r>
      <w:r>
        <w:rPr>
          <w:rFonts w:cstheme="minorHAnsi"/>
          <w:sz w:val="24"/>
        </w:rPr>
        <w:t xml:space="preserve"> choix est potentie</w:t>
      </w:r>
      <w:r>
        <w:rPr>
          <w:rFonts w:cstheme="minorHAnsi"/>
          <w:sz w:val="24"/>
        </w:rPr>
        <w:t xml:space="preserve">llement légitime, mais il est également laissé à la libre interprétation des personnes qui décrivent la ressource, ce qui affecte grandement la cohérence. Au moment de la conception du Dc, le fait de ne pas avoir la précision d’un format comme MARC était u</w:t>
      </w:r>
      <w:r>
        <w:rPr>
          <w:rFonts w:cstheme="minorHAnsi"/>
          <w:sz w:val="24"/>
        </w:rPr>
        <w:t xml:space="preserve">n avantage, puisque cela le rendait plus simple d’utilisation. Cette simplicité était supposée garantir une description simple de ressources avant enrichissement. En somme, elle permettait à chacun-e de rendre visibles des documents qui seraient autrement </w:t>
      </w:r>
      <w:r>
        <w:rPr>
          <w:rFonts w:cstheme="minorHAnsi"/>
          <w:sz w:val="24"/>
        </w:rPr>
        <w:t xml:space="preserve">restés</w:t>
      </w:r>
      <w:r>
        <w:rPr>
          <w:rFonts w:cstheme="minorHAnsi"/>
          <w:sz w:val="24"/>
        </w:rPr>
        <w:t xml:space="preserve"> confidentiels. Mais il appartenait ensuite à d’autres personnes, et notamment les professionnel-le-s de l’information, de se saisir de ces descriptions pour les enrichir.</w:t>
      </w:r>
      <w:r>
        <w:rPr>
          <w:rFonts w:cstheme="minorHAnsi"/>
          <w:sz w:val="24"/>
        </w:rPr>
      </w:r>
    </w:p>
    <w:p w14:paraId="0C0DEB96" w14:textId="06582BA7">
      <w:pPr>
        <w:pBdr/>
        <w:spacing/>
        <w:ind/>
        <w:jc w:val="both"/>
        <w:rPr>
          <w:rFonts w:cstheme="minorHAnsi"/>
          <w:sz w:val="24"/>
        </w:rPr>
      </w:pPr>
      <w:r>
        <w:rPr>
          <w:rFonts w:cstheme="minorHAnsi"/>
          <w:sz w:val="24"/>
        </w:rPr>
        <w:t xml:space="preserve">p.34 : Adoption massive du format, et l’exclusion d’enrichissements, a constitué un appauvrissement des données exposées sur le web. 74 % des fournisseurs ne dépassaient pas l’utilisation de 5 éléments (sur 15) qui sont dc</w:t>
      </w:r>
      <w:r>
        <w:rPr>
          <w:rFonts w:cstheme="minorHAnsi"/>
          <w:sz w:val="24"/>
        </w:rPr>
        <w:t xml:space="preserve"> :</w:t>
      </w:r>
      <w:r>
        <w:rPr>
          <w:rFonts w:cstheme="minorHAnsi"/>
          <w:sz w:val="24"/>
        </w:rPr>
        <w:t xml:space="preserve">creator</w:t>
      </w:r>
      <w:r>
        <w:rPr>
          <w:rFonts w:cstheme="minorHAnsi"/>
          <w:sz w:val="24"/>
        </w:rPr>
        <w:t xml:space="preserve">, dc : identifier, dc : </w:t>
      </w:r>
      <w:r>
        <w:rPr>
          <w:rFonts w:cstheme="minorHAnsi"/>
          <w:sz w:val="24"/>
        </w:rPr>
        <w:t xml:space="preserve">title</w:t>
      </w:r>
      <w:r>
        <w:rPr>
          <w:rFonts w:cstheme="minorHAnsi"/>
          <w:sz w:val="24"/>
        </w:rPr>
        <w:t xml:space="preserve">, dc : date et dc : type.</w:t>
      </w:r>
      <w:r>
        <w:rPr>
          <w:rFonts w:cstheme="minorHAnsi"/>
          <w:sz w:val="24"/>
        </w:rPr>
      </w:r>
    </w:p>
    <w:p w14:paraId="7F8F6C2C" w14:textId="1D3D7D18">
      <w:pPr>
        <w:pBdr/>
        <w:spacing/>
        <w:ind/>
        <w:jc w:val="both"/>
        <w:rPr>
          <w:rFonts w:cstheme="minorHAnsi"/>
          <w:sz w:val="24"/>
        </w:rPr>
      </w:pPr>
      <w:r>
        <w:rPr>
          <w:rFonts w:cstheme="minorHAnsi"/>
          <w:sz w:val="24"/>
        </w:rPr>
        <w:t xml:space="preserve">L’équipe créatrice du DC avait insisté pour ajouter deux éléments pour la gestion de la description et des droits, ceux-ci ne sont tout simplement pas utilisés dans la mise à disposition des données pour leur moissonnage.</w:t>
      </w:r>
      <w:r>
        <w:rPr>
          <w:rFonts w:cstheme="minorHAnsi"/>
          <w:sz w:val="24"/>
        </w:rPr>
      </w:r>
    </w:p>
    <w:p w14:paraId="5AF4B3C5" w14:textId="4D883C6D">
      <w:pPr>
        <w:pBdr/>
        <w:spacing/>
        <w:ind/>
        <w:jc w:val="both"/>
        <w:rPr>
          <w:rFonts w:cstheme="minorHAnsi"/>
          <w:sz w:val="24"/>
        </w:rPr>
      </w:pPr>
      <w:r>
        <w:rPr>
          <w:rFonts w:cstheme="minorHAnsi"/>
          <w:sz w:val="24"/>
        </w:rPr>
        <w:t xml:space="preserve">Questions : quel est le bénéfice de fournir une information parcellaire, plate, à disposition ? N’y-a-t-il pas une possibilité d’augmenter la qualité des données mises en ligne ?</w:t>
      </w:r>
      <w:r>
        <w:rPr>
          <w:rFonts w:cstheme="minorHAnsi"/>
          <w:sz w:val="24"/>
        </w:rPr>
      </w:r>
    </w:p>
    <w:p w14:paraId="5F99E8A8" w14:textId="6160F9BF">
      <w:pPr>
        <w:pBdr/>
        <w:spacing/>
        <w:ind/>
        <w:jc w:val="both"/>
        <w:rPr>
          <w:rFonts w:cstheme="minorHAnsi"/>
          <w:sz w:val="24"/>
        </w:rPr>
      </w:pPr>
      <w:r>
        <w:rPr>
          <w:rFonts w:cstheme="minorHAnsi"/>
          <w:sz w:val="24"/>
        </w:rPr>
        <w:t xml:space="preserve">p.36 : idée = favoriser la création d’archives ouvertes institutionnelles, et de créer un réseau pour les fédérer, et en même temps participer à améliorer la qualité des métadonnées </w:t>
      </w:r>
      <w:r>
        <w:rPr>
          <w:rFonts w:cstheme="minorHAnsi"/>
          <w:sz w:val="24"/>
        </w:rPr>
        <w:t xml:space="preserve">échangées, en s’appuyant notamment, e plus du DC simple, sur deux standards de métadonnées : la norme LOMFR et la recommandation TEF. =&gt; création d’ORI-OAI, alternative à HAL.</w:t>
      </w:r>
      <w:r>
        <w:rPr>
          <w:rFonts w:cstheme="minorHAnsi"/>
          <w:sz w:val="24"/>
        </w:rPr>
      </w:r>
    </w:p>
    <w:p w14:paraId="6059F591" w14:textId="79ADA6A3">
      <w:pPr>
        <w:pBdr/>
        <w:spacing/>
        <w:ind/>
        <w:jc w:val="both"/>
        <w:rPr>
          <w:rFonts w:cstheme="minorHAnsi"/>
          <w:sz w:val="24"/>
        </w:rPr>
      </w:pPr>
      <w:r>
        <w:rPr>
          <w:rFonts w:cstheme="minorHAnsi"/>
          <w:sz w:val="24"/>
        </w:rPr>
        <w:t xml:space="preserve">p.37 : cas des universités qui veulent valoriser, leur production d’une manière décentralisée. Le protocole OAI-PMH sert à transporter des notices à afficher sur une interface, et </w:t>
      </w:r>
      <w:r>
        <w:rPr>
          <w:rFonts w:cstheme="minorHAnsi"/>
          <w:sz w:val="24"/>
        </w:rPr>
        <w:t xml:space="preserve">dps</w:t>
      </w:r>
      <w:r>
        <w:rPr>
          <w:rFonts w:cstheme="minorHAnsi"/>
          <w:sz w:val="24"/>
        </w:rPr>
        <w:t xml:space="preserve"> laquelle on peut avoir accès au document.</w:t>
      </w:r>
      <w:r>
        <w:rPr>
          <w:rFonts w:cstheme="minorHAnsi"/>
          <w:sz w:val="24"/>
        </w:rPr>
      </w:r>
    </w:p>
    <w:p w14:paraId="2AAB31A8" w14:textId="77777777">
      <w:pPr>
        <w:pBdr/>
        <w:spacing/>
        <w:ind/>
        <w:jc w:val="both"/>
        <w:rPr>
          <w:rFonts w:cstheme="minorHAnsi"/>
          <w:sz w:val="24"/>
        </w:rPr>
      </w:pPr>
      <w:r>
        <w:rPr>
          <w:rFonts w:cstheme="minorHAnsi"/>
          <w:sz w:val="24"/>
        </w:rPr>
        <w:t xml:space="preserve">p.39 : l’inflation du nb de contenus numériques augmente les coûts de maintien d’une structure pour les collecter, les conserver, et la conservation pérenne de documents numériques pose de </w:t>
      </w:r>
      <w:r>
        <w:rPr>
          <w:rFonts w:cstheme="minorHAnsi"/>
          <w:sz w:val="24"/>
        </w:rPr>
        <w:t xml:space="preserve">nbrx</w:t>
      </w:r>
      <w:r>
        <w:rPr>
          <w:rFonts w:cstheme="minorHAnsi"/>
          <w:sz w:val="24"/>
        </w:rPr>
        <w:t xml:space="preserve"> défis techniques qu’il peut être compliqué d’assumer dans un établissement de taille moyenne, ou même dans un gd établissement.</w:t>
      </w:r>
      <w:r>
        <w:rPr>
          <w:rFonts w:cstheme="minorHAnsi"/>
          <w:sz w:val="24"/>
        </w:rPr>
      </w:r>
    </w:p>
    <w:p w14:paraId="10D23846" w14:textId="77777777">
      <w:pPr>
        <w:pBdr/>
        <w:spacing/>
        <w:ind/>
        <w:jc w:val="both"/>
        <w:rPr>
          <w:rFonts w:cstheme="minorHAnsi"/>
          <w:sz w:val="24"/>
        </w:rPr>
      </w:pPr>
      <w:r>
        <w:rPr>
          <w:rFonts w:cstheme="minorHAnsi"/>
          <w:sz w:val="24"/>
        </w:rPr>
        <w:t xml:space="preserve">OAI-PMH : pas</w:t>
      </w:r>
      <w:r>
        <w:rPr>
          <w:rFonts w:cstheme="minorHAnsi"/>
          <w:sz w:val="24"/>
        </w:rPr>
        <w:t xml:space="preserve"> un protocole qui conserve des données numériques, mais il a été créé dans un but d’échange de métadonnées, à un moment où l’inflation du nb de contenus dans un but d’échange de métadonnées, à un moment où l’inflation du nb de contenus était à ses débuts :</w:t>
      </w:r>
      <w:r>
        <w:rPr>
          <w:rFonts w:cstheme="minorHAnsi"/>
          <w:sz w:val="24"/>
        </w:rPr>
        <w:t xml:space="preserve"> certains des premiers exemples de fournisseurs de services ne regroupaient que quelques centaines, tout au plus quelques milliers de notices.</w:t>
      </w:r>
      <w:r>
        <w:rPr>
          <w:rFonts w:cstheme="minorHAnsi"/>
          <w:sz w:val="24"/>
        </w:rPr>
      </w:r>
    </w:p>
    <w:p w14:paraId="5C2F99CB" w14:textId="77777777">
      <w:pPr>
        <w:pBdr/>
        <w:spacing/>
        <w:ind/>
        <w:jc w:val="both"/>
        <w:rPr>
          <w:rFonts w:cstheme="minorHAnsi"/>
          <w:sz w:val="24"/>
        </w:rPr>
      </w:pPr>
      <w:r>
        <w:rPr>
          <w:rFonts w:cstheme="minorHAnsi"/>
          <w:sz w:val="24"/>
        </w:rPr>
        <w:t xml:space="preserve">Pour faciliter l’accès à la recherche, la contribution à une structure centrale fait également sens : pour les chercheurs et chercheuses, l’utilisation d’un outil unique est une plus-value. </w:t>
      </w:r>
      <w:r>
        <w:rPr>
          <w:rFonts w:cstheme="minorHAnsi"/>
          <w:sz w:val="24"/>
        </w:rPr>
      </w:r>
    </w:p>
    <w:p w14:paraId="15DEA6BD" w14:textId="30534FDF">
      <w:pPr>
        <w:pBdr/>
        <w:spacing/>
        <w:ind/>
        <w:jc w:val="both"/>
        <w:rPr>
          <w:rFonts w:cstheme="minorHAnsi"/>
          <w:sz w:val="24"/>
        </w:rPr>
      </w:pPr>
      <w:r>
        <w:rPr>
          <w:rFonts w:cstheme="minorHAnsi"/>
          <w:sz w:val="24"/>
        </w:rPr>
        <w:t xml:space="preserve">Simplification du parcours utilisateur : processus-clé dans l’objectif d’avancer vers l’accès ouvert avec une approche incitative pour les chercheurs.</w:t>
      </w:r>
      <w:r>
        <w:rPr>
          <w:rFonts w:cstheme="minorHAnsi"/>
          <w:sz w:val="24"/>
        </w:rPr>
      </w:r>
    </w:p>
    <w:p w14:paraId="072BF8E7" w14:textId="3A2CDB61">
      <w:pPr>
        <w:pBdr/>
        <w:spacing/>
        <w:ind/>
        <w:jc w:val="both"/>
        <w:rPr>
          <w:rFonts w:cstheme="minorHAnsi"/>
          <w:sz w:val="24"/>
        </w:rPr>
      </w:pPr>
      <w:r>
        <w:rPr>
          <w:rFonts w:cstheme="minorHAnsi"/>
          <w:sz w:val="24"/>
        </w:rPr>
        <w:t xml:space="preserve">p.42 : but = créer un engouement autour de la science ouverte, il paraît plus logique d’encourager les chercheurs et chercheuses que de les forcer à utiliser des outils qui sont parfois peu intuitifs, tant dans le dépôt que dans la recherche.</w:t>
      </w:r>
      <w:r>
        <w:rPr>
          <w:rFonts w:cstheme="minorHAnsi"/>
          <w:sz w:val="24"/>
        </w:rPr>
      </w:r>
    </w:p>
    <w:p w14:paraId="65E8E1E4" w14:textId="78FEFE2B">
      <w:pPr>
        <w:pBdr/>
        <w:spacing/>
        <w:ind/>
        <w:jc w:val="both"/>
        <w:rPr>
          <w:rFonts w:cstheme="minorHAnsi"/>
          <w:sz w:val="24"/>
        </w:rPr>
      </w:pPr>
      <w:r>
        <w:rPr>
          <w:rFonts w:cstheme="minorHAnsi"/>
          <w:sz w:val="24"/>
        </w:rPr>
        <w:t xml:space="preserve">p.46 : élasticité du Dc = démontré ses limites, puisqu’un mapping est nécessaire pour chaque entrepôt rencontré. Questionnement autour de la notion même d’interopérabilité du protocole : si </w:t>
      </w:r>
      <w:r>
        <w:rPr>
          <w:rFonts w:cstheme="minorHAnsi"/>
          <w:sz w:val="24"/>
        </w:rPr>
        <w:t xml:space="preserve">chq</w:t>
      </w:r>
      <w:r>
        <w:rPr>
          <w:rFonts w:cstheme="minorHAnsi"/>
          <w:sz w:val="24"/>
        </w:rPr>
        <w:t xml:space="preserve"> utilisation demande un mapping pourquoi ne pas transporter directement des données dans un format plus riche, et concevoir un mapping depuis ce format ? </w:t>
      </w:r>
      <w:r>
        <w:rPr>
          <w:rFonts w:cstheme="minorHAnsi"/>
          <w:sz w:val="24"/>
        </w:rPr>
      </w:r>
    </w:p>
    <w:p w14:paraId="6969C229" w14:textId="42A0FB00">
      <w:pPr>
        <w:pBdr/>
        <w:spacing/>
        <w:ind/>
        <w:jc w:val="both"/>
        <w:rPr>
          <w:rFonts w:cstheme="minorHAnsi"/>
          <w:sz w:val="24"/>
        </w:rPr>
      </w:pPr>
      <w:r>
        <w:rPr>
          <w:rFonts w:cstheme="minorHAnsi"/>
          <w:sz w:val="24"/>
        </w:rPr>
        <w:t xml:space="preserve">de</w:t>
      </w:r>
      <w:r>
        <w:rPr>
          <w:rFonts w:cstheme="minorHAnsi"/>
          <w:sz w:val="24"/>
        </w:rPr>
        <w:t xml:space="preserve"> manière générale : Dc : plus voire n’a jamais été un langage commun à toutes les institutions qui l’utilisent. Existence de </w:t>
      </w:r>
      <w:r>
        <w:rPr>
          <w:rFonts w:cstheme="minorHAnsi"/>
          <w:sz w:val="24"/>
        </w:rPr>
        <w:t xml:space="preserve">plsrs</w:t>
      </w:r>
      <w:r>
        <w:rPr>
          <w:rFonts w:cstheme="minorHAnsi"/>
          <w:sz w:val="24"/>
        </w:rPr>
        <w:t xml:space="preserve"> </w:t>
      </w:r>
      <w:r>
        <w:rPr>
          <w:rFonts w:cstheme="minorHAnsi"/>
          <w:sz w:val="24"/>
        </w:rPr>
        <w:t xml:space="preserve">Dc</w:t>
      </w:r>
      <w:r>
        <w:rPr>
          <w:rFonts w:cstheme="minorHAnsi"/>
          <w:sz w:val="24"/>
        </w:rPr>
        <w:t xml:space="preserve">, et les institutions comme </w:t>
      </w:r>
      <w:r>
        <w:rPr>
          <w:rFonts w:cstheme="minorHAnsi"/>
          <w:sz w:val="24"/>
        </w:rPr>
        <w:t xml:space="preserve">Gallica</w:t>
      </w:r>
      <w:r>
        <w:rPr>
          <w:rFonts w:cstheme="minorHAnsi"/>
          <w:sz w:val="24"/>
        </w:rPr>
        <w:t xml:space="preserve"> qui moissonnent des entrepôts dans le cadre du protocole ont une interprétation de son utilisation qui fait partie des éléments du partenariat.</w:t>
      </w:r>
      <w:r>
        <w:rPr>
          <w:rFonts w:cstheme="minorHAnsi"/>
          <w:sz w:val="24"/>
        </w:rPr>
      </w:r>
    </w:p>
    <w:p w14:paraId="34C9F655" w14:textId="1D6F745A">
      <w:pPr>
        <w:pBdr/>
        <w:spacing/>
        <w:ind/>
        <w:jc w:val="both"/>
        <w:rPr>
          <w:rFonts w:cstheme="minorHAnsi"/>
          <w:sz w:val="24"/>
        </w:rPr>
      </w:pPr>
      <w:r>
        <w:rPr>
          <w:rFonts w:cstheme="minorHAnsi"/>
          <w:sz w:val="24"/>
        </w:rPr>
        <w:t xml:space="preserve">p.48 : promesse du web sémantique est de capitaliser s</w:t>
      </w:r>
      <w:r>
        <w:rPr>
          <w:rFonts w:cstheme="minorHAnsi"/>
          <w:sz w:val="24"/>
        </w:rPr>
        <w:t xml:space="preserve">ur la décentralisation qui est à l’origine du WWW, et de transformer la manière dont l’information est indiquée, et dc la manière dont la machine la comprend. Cela se fait à travers la création de liens, dans le modèle Resource Description Framework (RDF).</w:t>
      </w:r>
      <w:r>
        <w:rPr>
          <w:rFonts w:cstheme="minorHAnsi"/>
          <w:sz w:val="24"/>
        </w:rPr>
      </w:r>
    </w:p>
    <w:p w14:paraId="57CF7104" w14:textId="18703AC8">
      <w:pPr>
        <w:pBdr/>
        <w:spacing/>
        <w:ind/>
        <w:jc w:val="both"/>
        <w:rPr>
          <w:rFonts w:cstheme="minorHAnsi"/>
          <w:sz w:val="24"/>
        </w:rPr>
      </w:pPr>
      <w:r>
        <w:rPr>
          <w:rFonts w:cstheme="minorHAnsi"/>
          <w:sz w:val="24"/>
        </w:rPr>
        <w:t xml:space="preserve">p.49 : lien = triplet et </w:t>
      </w:r>
      <w:r>
        <w:rPr>
          <w:rFonts w:cstheme="minorHAnsi"/>
          <w:sz w:val="24"/>
        </w:rPr>
        <w:t xml:space="preserve">chq</w:t>
      </w:r>
      <w:r>
        <w:rPr>
          <w:rFonts w:cstheme="minorHAnsi"/>
          <w:sz w:val="24"/>
        </w:rPr>
        <w:t xml:space="preserve"> élément en son sein a, dans ce modèle, un Uri, qui permettra à la machine de le différencier. On peut donc lier, de cette manière une infinité d’informations, et même de documents. </w:t>
      </w:r>
      <w:r>
        <w:rPr>
          <w:rFonts w:cstheme="minorHAnsi"/>
          <w:sz w:val="24"/>
        </w:rPr>
      </w:r>
    </w:p>
    <w:p w14:paraId="248BCB9F" w14:textId="11E82886">
      <w:pPr>
        <w:pBdr/>
        <w:spacing/>
        <w:ind/>
        <w:jc w:val="both"/>
        <w:rPr>
          <w:rFonts w:cstheme="minorHAnsi"/>
          <w:sz w:val="24"/>
        </w:rPr>
      </w:pPr>
      <w:r>
        <w:rPr>
          <w:rFonts w:cstheme="minorHAnsi"/>
          <w:sz w:val="24"/>
        </w:rPr>
        <w:t xml:space="preserve">Possibilité de lier une thèse à un exemplaire physique, à un substitut numérique, la personne qui l’a écrite et la personne qui l’a dirigée en indiquant précisément les relations. Modèle conçu dans l’écosystème du web, et qui va dc </w:t>
      </w:r>
      <w:r>
        <w:rPr>
          <w:rFonts w:cstheme="minorHAnsi"/>
          <w:sz w:val="24"/>
        </w:rPr>
        <w:t xml:space="preserve">bcp</w:t>
      </w:r>
      <w:r>
        <w:rPr>
          <w:rFonts w:cstheme="minorHAnsi"/>
          <w:sz w:val="24"/>
        </w:rPr>
        <w:t xml:space="preserve"> plus loin que les ressources documentaires.</w:t>
      </w:r>
      <w:r>
        <w:rPr>
          <w:rFonts w:cstheme="minorHAnsi"/>
          <w:sz w:val="24"/>
        </w:rPr>
      </w:r>
    </w:p>
    <w:p w14:paraId="126764EA" w14:textId="5DBDBDE1">
      <w:pPr>
        <w:pBdr/>
        <w:spacing/>
        <w:ind/>
        <w:jc w:val="both"/>
        <w:rPr>
          <w:rFonts w:cstheme="minorHAnsi"/>
          <w:sz w:val="24"/>
        </w:rPr>
      </w:pPr>
      <w:r>
        <w:rPr>
          <w:rFonts w:cstheme="minorHAnsi"/>
          <w:sz w:val="24"/>
        </w:rPr>
        <w:t xml:space="preserve">Description de contenus par création de liens = 1</w:t>
      </w:r>
      <w:r>
        <w:rPr>
          <w:rFonts w:cstheme="minorHAnsi"/>
          <w:sz w:val="24"/>
          <w:vertAlign w:val="superscript"/>
        </w:rPr>
        <w:t xml:space="preserve">re</w:t>
      </w:r>
      <w:r>
        <w:rPr>
          <w:rFonts w:cstheme="minorHAnsi"/>
          <w:sz w:val="24"/>
        </w:rPr>
        <w:t xml:space="preserve"> étape nécessaire à la création de services en données liées. Correspondant à la logique bibliothéconomique traditionnelle, puisque créer ces liens, c’est décrire le plus précisément possible une chose (document, contenu, espèce vivante, théorie…).</w:t>
      </w:r>
      <w:r>
        <w:rPr>
          <w:rFonts w:cstheme="minorHAnsi"/>
          <w:sz w:val="24"/>
        </w:rPr>
      </w:r>
    </w:p>
    <w:p w14:paraId="532A39D4" w14:textId="2CC4D6F4">
      <w:pPr>
        <w:pBdr/>
        <w:spacing/>
        <w:ind/>
        <w:jc w:val="both"/>
        <w:rPr>
          <w:rFonts w:cstheme="minorHAnsi"/>
          <w:sz w:val="24"/>
        </w:rPr>
      </w:pPr>
      <w:r>
        <w:rPr>
          <w:rFonts w:cstheme="minorHAnsi"/>
          <w:sz w:val="24"/>
        </w:rPr>
        <w:t xml:space="preserve">p.50 : le SKOS permet de représenter des langages documentaires, thésaurus et classifications, afin d’en faire des vocabulaires structurés utilisable dans le web sémantique ; l’ontologie FOAF permet de décrire finement les personnes (</w:t>
      </w:r>
      <w:r>
        <w:rPr>
          <w:rFonts w:cstheme="minorHAnsi"/>
          <w:sz w:val="24"/>
        </w:rPr>
        <w:t xml:space="preserve">nom,prénom</w:t>
      </w:r>
      <w:r>
        <w:rPr>
          <w:rFonts w:cstheme="minorHAnsi"/>
          <w:sz w:val="24"/>
        </w:rPr>
        <w:t xml:space="preserve">, surnom, date de naissance…), et les liens entre personnes et entités (membre de, connaît telle personne, basé près de).</w:t>
      </w:r>
      <w:r>
        <w:rPr>
          <w:rFonts w:cstheme="minorHAnsi"/>
          <w:sz w:val="24"/>
        </w:rPr>
      </w:r>
    </w:p>
    <w:p w14:paraId="167723E9" w14:textId="14023051">
      <w:pPr>
        <w:pBdr/>
        <w:spacing/>
        <w:ind/>
        <w:jc w:val="both"/>
        <w:rPr>
          <w:rFonts w:cstheme="minorHAnsi"/>
          <w:sz w:val="24"/>
        </w:rPr>
      </w:pPr>
      <w:r>
        <w:rPr>
          <w:rFonts w:cstheme="minorHAnsi"/>
          <w:sz w:val="24"/>
        </w:rPr>
        <w:t xml:space="preserve">p.51 : SPARQL permet d’explorer le graphe de données que l’on a créé. Intérêt ppal du </w:t>
      </w:r>
      <w:r>
        <w:rPr>
          <w:rFonts w:cstheme="minorHAnsi"/>
          <w:sz w:val="24"/>
        </w:rPr>
        <w:t xml:space="preserve">requêtage</w:t>
      </w:r>
      <w:r>
        <w:rPr>
          <w:rFonts w:cstheme="minorHAnsi"/>
          <w:sz w:val="24"/>
        </w:rPr>
        <w:t xml:space="preserve"> : protocole est extrêmement souple, et peut être adapté aux usages que veulent en faire les personnes.</w:t>
      </w:r>
      <w:r>
        <w:rPr>
          <w:rFonts w:cstheme="minorHAnsi"/>
          <w:sz w:val="24"/>
        </w:rPr>
      </w:r>
    </w:p>
    <w:p w14:paraId="33044687" w14:textId="265CD9C9">
      <w:pPr>
        <w:pBdr/>
        <w:spacing/>
        <w:ind/>
        <w:jc w:val="both"/>
        <w:rPr>
          <w:rFonts w:cstheme="minorHAnsi"/>
          <w:sz w:val="24"/>
        </w:rPr>
      </w:pPr>
      <w:r>
        <w:rPr>
          <w:rFonts w:cstheme="minorHAnsi"/>
          <w:sz w:val="24"/>
        </w:rPr>
        <w:t xml:space="preserve">p.52 : SPARQL : protocole synchrone : l’interrogation se fait en temps réel, </w:t>
      </w:r>
      <w:r>
        <w:rPr>
          <w:rFonts w:cstheme="minorHAnsi"/>
          <w:sz w:val="24"/>
        </w:rPr>
        <w:t xml:space="preserve">càd</w:t>
      </w:r>
      <w:r>
        <w:rPr>
          <w:rFonts w:cstheme="minorHAnsi"/>
          <w:sz w:val="24"/>
        </w:rPr>
        <w:t xml:space="preserve"> que si des données sont rajoutées à mon graphe, la même requête, faite quelques secondes plus tard, renverra plus de résultats. </w:t>
      </w:r>
      <w:r>
        <w:rPr>
          <w:rFonts w:cstheme="minorHAnsi"/>
          <w:sz w:val="24"/>
        </w:rPr>
        <w:t xml:space="preserve">Protocole plus lourd qu’OAI-PMH. Requête SPARQL : explorer </w:t>
      </w:r>
      <w:r>
        <w:rPr>
          <w:rFonts w:cstheme="minorHAnsi"/>
          <w:sz w:val="24"/>
        </w:rPr>
        <w:t xml:space="preserve">plsrs</w:t>
      </w:r>
      <w:r>
        <w:rPr>
          <w:rFonts w:cstheme="minorHAnsi"/>
          <w:sz w:val="24"/>
        </w:rPr>
        <w:t xml:space="preserve"> </w:t>
      </w:r>
      <w:r>
        <w:rPr>
          <w:rFonts w:cstheme="minorHAnsi"/>
          <w:sz w:val="24"/>
        </w:rPr>
        <w:t xml:space="preserve">bdd</w:t>
      </w:r>
      <w:r>
        <w:rPr>
          <w:rFonts w:cstheme="minorHAnsi"/>
          <w:sz w:val="24"/>
        </w:rPr>
        <w:t xml:space="preserve"> : elle agit en repérant les contenus recherchés dans </w:t>
      </w:r>
      <w:r>
        <w:rPr>
          <w:rFonts w:cstheme="minorHAnsi"/>
          <w:sz w:val="24"/>
        </w:rPr>
        <w:t xml:space="preserve">plsrs</w:t>
      </w:r>
      <w:r>
        <w:rPr>
          <w:rFonts w:cstheme="minorHAnsi"/>
          <w:sz w:val="24"/>
        </w:rPr>
        <w:t xml:space="preserve"> bases, décentralisées. Logique = </w:t>
      </w:r>
      <w:r>
        <w:rPr>
          <w:rFonts w:cstheme="minorHAnsi"/>
          <w:sz w:val="24"/>
        </w:rPr>
        <w:t xml:space="preserve">construction</w:t>
      </w:r>
      <w:r>
        <w:rPr>
          <w:rFonts w:cstheme="minorHAnsi"/>
          <w:sz w:val="24"/>
        </w:rPr>
        <w:t xml:space="preserve"> du web, à sa structure par essence décentralisée. </w:t>
      </w:r>
      <w:r>
        <w:rPr>
          <w:rFonts w:cstheme="minorHAnsi"/>
          <w:sz w:val="24"/>
        </w:rPr>
      </w:r>
    </w:p>
    <w:p w14:paraId="3C527EE4" w14:textId="2F9A8F06">
      <w:pPr>
        <w:pBdr/>
        <w:spacing/>
        <w:ind/>
        <w:jc w:val="both"/>
        <w:rPr>
          <w:rFonts w:cstheme="minorHAnsi"/>
          <w:sz w:val="24"/>
        </w:rPr>
      </w:pPr>
      <w:r>
        <w:rPr>
          <w:rFonts w:cstheme="minorHAnsi"/>
          <w:sz w:val="24"/>
        </w:rPr>
        <w:t xml:space="preserve">Pou</w:t>
      </w:r>
      <w:r>
        <w:rPr>
          <w:rFonts w:cstheme="minorHAnsi"/>
          <w:sz w:val="24"/>
        </w:rPr>
        <w:t xml:space="preserve">r le GLAM : web sémantique répond au besoin de rendre l’information accessible sur le web, mais d’une manière infiniment plus précise. Respectent une architecture décentralisée, et permettent d’imaginer des utilisations nouvelles de leurs contenus. Web de </w:t>
      </w:r>
      <w:r>
        <w:rPr>
          <w:rFonts w:cstheme="minorHAnsi"/>
          <w:sz w:val="24"/>
        </w:rPr>
        <w:t xml:space="preserve">données</w:t>
      </w:r>
      <w:r>
        <w:rPr>
          <w:rFonts w:cstheme="minorHAnsi"/>
          <w:sz w:val="24"/>
        </w:rPr>
        <w:t xml:space="preserve"> = accès directement aux contenus. </w:t>
      </w:r>
      <w:r>
        <w:rPr>
          <w:rFonts w:cstheme="minorHAnsi"/>
          <w:sz w:val="24"/>
        </w:rPr>
      </w:r>
    </w:p>
    <w:p w14:paraId="5FAB9ECE" w14:textId="26B67951">
      <w:pPr>
        <w:pBdr/>
        <w:spacing/>
        <w:ind/>
        <w:jc w:val="both"/>
        <w:rPr>
          <w:rFonts w:cstheme="minorHAnsi"/>
          <w:sz w:val="24"/>
        </w:rPr>
      </w:pPr>
      <w:r>
        <w:rPr>
          <w:rFonts w:cstheme="minorHAnsi"/>
          <w:sz w:val="24"/>
        </w:rPr>
        <w:t xml:space="preserve">Processus de requête permet de sortir l’information des différents silos propres aux communautés professionnelles, et de la rendre accessible par l’usager. </w:t>
      </w:r>
      <w:r>
        <w:rPr>
          <w:rFonts w:cstheme="minorHAnsi"/>
          <w:sz w:val="24"/>
        </w:rPr>
      </w:r>
    </w:p>
    <w:p w14:paraId="4158D472" w14:textId="202099EF">
      <w:pPr>
        <w:pBdr/>
        <w:spacing/>
        <w:ind/>
        <w:jc w:val="both"/>
        <w:rPr>
          <w:rFonts w:cstheme="minorHAnsi"/>
          <w:sz w:val="24"/>
        </w:rPr>
      </w:pPr>
      <w:r>
        <w:rPr>
          <w:rFonts w:cstheme="minorHAnsi"/>
          <w:sz w:val="24"/>
        </w:rPr>
        <w:t xml:space="preserve">« </w:t>
      </w:r>
      <w:r>
        <w:rPr>
          <w:rFonts w:cstheme="minorHAnsi"/>
          <w:sz w:val="24"/>
        </w:rPr>
        <w:t xml:space="preserve">silo</w:t>
      </w:r>
      <w:r>
        <w:rPr>
          <w:rFonts w:cstheme="minorHAnsi"/>
          <w:sz w:val="24"/>
        </w:rPr>
        <w:t xml:space="preserve"> » : stockage de l’information dans une base locale, isolée. Bibliothèque : catalogue = silo. </w:t>
      </w:r>
      <w:r>
        <w:rPr>
          <w:rFonts w:cstheme="minorHAnsi"/>
          <w:sz w:val="24"/>
        </w:rPr>
      </w:r>
    </w:p>
    <w:p w14:paraId="1DBE2D02" w14:textId="798E0AF7">
      <w:pPr>
        <w:pBdr/>
        <w:spacing/>
        <w:ind/>
        <w:jc w:val="both"/>
        <w:rPr>
          <w:rFonts w:cstheme="minorHAnsi"/>
          <w:sz w:val="24"/>
        </w:rPr>
      </w:pPr>
      <w:r>
        <w:rPr>
          <w:rFonts w:cstheme="minorHAnsi"/>
          <w:sz w:val="24"/>
        </w:rPr>
        <w:t xml:space="preserve">p.53 : web sémantique permet d’exposer des données, des contenus d’une manière bcp plus riche qu’à l’heure actuelle, et permet d’encourager des collaborations transdisciplinaires et le croisement entre professions de la culture ou de la recherche.</w:t>
      </w:r>
      <w:r>
        <w:rPr>
          <w:rFonts w:cstheme="minorHAnsi"/>
          <w:sz w:val="24"/>
        </w:rPr>
      </w:r>
    </w:p>
    <w:p w14:paraId="59479A8B" w14:textId="7860623C">
      <w:pPr>
        <w:pBdr/>
        <w:spacing/>
        <w:ind/>
        <w:jc w:val="both"/>
        <w:rPr>
          <w:rFonts w:cstheme="minorHAnsi"/>
          <w:sz w:val="24"/>
        </w:rPr>
      </w:pPr>
      <w:r>
        <w:rPr>
          <w:rFonts w:cstheme="minorHAnsi"/>
          <w:sz w:val="24"/>
        </w:rPr>
        <w:t xml:space="preserve">P</w:t>
      </w:r>
      <w:r>
        <w:rPr>
          <w:rFonts w:cstheme="minorHAnsi"/>
          <w:sz w:val="24"/>
        </w:rPr>
        <w:t xml:space="preserve">.54 : </w:t>
      </w:r>
      <w:r>
        <w:rPr>
          <w:rFonts w:cstheme="minorHAnsi"/>
          <w:sz w:val="24"/>
        </w:rPr>
        <w:t xml:space="preserve">OAI-ORE : </w:t>
      </w:r>
      <w:r>
        <w:rPr>
          <w:rFonts w:cstheme="minorHAnsi"/>
          <w:sz w:val="24"/>
        </w:rPr>
        <w:t xml:space="preserve">cr</w:t>
      </w:r>
      <w:r>
        <w:rPr>
          <w:rFonts w:cstheme="minorHAnsi"/>
          <w:sz w:val="24"/>
        </w:rPr>
        <w:t xml:space="preserve">éation d’un </w:t>
      </w:r>
      <w:r>
        <w:rPr>
          <w:rFonts w:cstheme="minorHAnsi"/>
          <w:sz w:val="24"/>
        </w:rPr>
        <w:t xml:space="preserve">nv</w:t>
      </w:r>
      <w:r>
        <w:rPr>
          <w:rFonts w:cstheme="minorHAnsi"/>
          <w:sz w:val="24"/>
        </w:rPr>
        <w:t xml:space="preserve"> protocole pour répondre aux limites du 1</w:t>
      </w:r>
      <w:r>
        <w:rPr>
          <w:rFonts w:cstheme="minorHAnsi"/>
          <w:sz w:val="24"/>
          <w:vertAlign w:val="superscript"/>
        </w:rPr>
        <w:t xml:space="preserve">er</w:t>
      </w:r>
      <w:r>
        <w:rPr>
          <w:rFonts w:cstheme="minorHAnsi"/>
          <w:sz w:val="24"/>
        </w:rPr>
        <w:t xml:space="preserve">. Conçu </w:t>
      </w:r>
      <w:r>
        <w:rPr>
          <w:rFonts w:cstheme="minorHAnsi"/>
          <w:sz w:val="24"/>
        </w:rPr>
        <w:t xml:space="preserve">po</w:t>
      </w:r>
      <w:r>
        <w:rPr>
          <w:rFonts w:cstheme="minorHAnsi"/>
          <w:sz w:val="24"/>
        </w:rPr>
        <w:t xml:space="preserve">ur appréhender les objets composés (</w:t>
      </w:r>
      <w:r>
        <w:rPr>
          <w:rFonts w:cstheme="minorHAnsi"/>
          <w:i/>
          <w:iCs/>
          <w:sz w:val="24"/>
        </w:rPr>
        <w:t xml:space="preserve">compound </w:t>
      </w:r>
      <w:r>
        <w:rPr>
          <w:rFonts w:cstheme="minorHAnsi"/>
          <w:i/>
          <w:iCs/>
          <w:sz w:val="24"/>
        </w:rPr>
        <w:t xml:space="preserve">objects</w:t>
      </w:r>
      <w:r>
        <w:rPr>
          <w:rFonts w:cstheme="minorHAnsi"/>
          <w:sz w:val="24"/>
        </w:rPr>
        <w:t xml:space="preserve">), </w:t>
      </w:r>
      <w:r>
        <w:rPr>
          <w:rFonts w:cstheme="minorHAnsi"/>
          <w:sz w:val="24"/>
        </w:rPr>
        <w:t xml:space="preserve">càd</w:t>
      </w:r>
      <w:r>
        <w:rPr>
          <w:rFonts w:cstheme="minorHAnsi"/>
          <w:sz w:val="24"/>
        </w:rPr>
        <w:t xml:space="preserve"> des contenus comp</w:t>
      </w:r>
      <w:r>
        <w:rPr>
          <w:rFonts w:cstheme="minorHAnsi"/>
          <w:sz w:val="24"/>
        </w:rPr>
        <w:t xml:space="preserve">osés de </w:t>
      </w:r>
      <w:r>
        <w:rPr>
          <w:rFonts w:cstheme="minorHAnsi"/>
          <w:sz w:val="24"/>
        </w:rPr>
        <w:t xml:space="preserve">plsrs</w:t>
      </w:r>
      <w:r>
        <w:rPr>
          <w:rFonts w:cstheme="minorHAnsi"/>
          <w:sz w:val="24"/>
        </w:rPr>
        <w:t xml:space="preserve"> ressources, et d’exprimer les liens qui leurs sont propres, afin d’éviter de reproduire un échange « plat » d’information, comme</w:t>
      </w:r>
      <w:r>
        <w:rPr>
          <w:rFonts w:cstheme="minorHAnsi"/>
          <w:sz w:val="24"/>
        </w:rPr>
        <w:t xml:space="preserve"> c’est le cas à travers OAI-PMH.</w:t>
      </w:r>
      <w:r>
        <w:rPr>
          <w:rFonts w:cstheme="minorHAnsi"/>
          <w:sz w:val="24"/>
        </w:rPr>
      </w:r>
    </w:p>
    <w:p w14:paraId="779E374E" w14:textId="2DD49598">
      <w:pPr>
        <w:pStyle w:val="687"/>
        <w:pBdr/>
        <w:spacing/>
        <w:ind/>
        <w:jc w:val="both"/>
        <w:rPr>
          <w:rFonts w:asciiTheme="minorHAnsi" w:hAnsiTheme="minorHAnsi" w:cstheme="minorHAnsi"/>
          <w:sz w:val="24"/>
          <w:szCs w:val="24"/>
        </w:rPr>
      </w:pPr>
      <w:r>
        <w:rPr>
          <w:rFonts w:asciiTheme="minorHAnsi" w:hAnsiTheme="minorHAnsi" w:cstheme="minorHAnsi"/>
          <w:sz w:val="24"/>
        </w:rPr>
        <w:t xml:space="preserve">Décrire des objets complexes : ce que l’équ</w:t>
      </w:r>
      <w:r>
        <w:rPr>
          <w:rFonts w:asciiTheme="minorHAnsi" w:hAnsiTheme="minorHAnsi" w:cstheme="minorHAnsi"/>
          <w:sz w:val="24"/>
        </w:rPr>
        <w:t xml:space="preserve">ipe entend par ça =&gt; </w:t>
      </w:r>
      <w:r>
        <w:rPr>
          <w:rStyle w:val="688"/>
          <w:rFonts w:asciiTheme="minorHAnsi" w:hAnsiTheme="minorHAnsi" w:cstheme="minorHAnsi"/>
          <w:sz w:val="24"/>
          <w:szCs w:val="24"/>
        </w:rPr>
        <w:t xml:space="preserve">“ Quelques exemples de [ces objets composés] pourraient être un livre numérisé, qui est un</w:t>
      </w:r>
      <w:r>
        <w:rPr>
          <w:rFonts w:asciiTheme="minorHAnsi" w:hAnsiTheme="minorHAnsi" w:cstheme="minorHAnsi"/>
          <w:sz w:val="24"/>
          <w:szCs w:val="24"/>
        </w:rPr>
        <w:t xml:space="preserve"> </w:t>
      </w:r>
      <w:r>
        <w:rPr>
          <w:rStyle w:val="688"/>
          <w:rFonts w:asciiTheme="minorHAnsi" w:hAnsiTheme="minorHAnsi" w:cstheme="minorHAnsi"/>
          <w:sz w:val="24"/>
          <w:szCs w:val="24"/>
        </w:rPr>
        <w:t xml:space="preserve">assemblage de chapitres, où chaque chapitre est un assemblage de pages scannées ; un album de musique</w:t>
      </w:r>
      <w:r>
        <w:rPr>
          <w:rFonts w:asciiTheme="minorHAnsi" w:hAnsiTheme="minorHAnsi" w:cstheme="minorHAnsi"/>
          <w:sz w:val="24"/>
          <w:szCs w:val="24"/>
        </w:rPr>
        <w:t xml:space="preserve"> qui </w:t>
      </w:r>
      <w:r>
        <w:rPr>
          <w:rStyle w:val="688"/>
          <w:rFonts w:asciiTheme="minorHAnsi" w:hAnsiTheme="minorHAnsi" w:cstheme="minorHAnsi"/>
          <w:sz w:val="24"/>
          <w:szCs w:val="24"/>
        </w:rPr>
        <w:t xml:space="preserve">est un assemblage de plusieurs pistes audio ; une image d’objet qui est un assemblage d’une épreuve</w:t>
      </w:r>
      <w:r>
        <w:rPr>
          <w:rFonts w:asciiTheme="minorHAnsi" w:hAnsiTheme="minorHAnsi" w:cstheme="minorHAnsi"/>
          <w:sz w:val="24"/>
          <w:szCs w:val="24"/>
        </w:rPr>
        <w:t xml:space="preserve"> de </w:t>
      </w:r>
      <w:r>
        <w:rPr>
          <w:rStyle w:val="688"/>
          <w:rFonts w:asciiTheme="minorHAnsi" w:hAnsiTheme="minorHAnsi" w:cstheme="minorHAnsi"/>
          <w:sz w:val="24"/>
          <w:szCs w:val="24"/>
        </w:rPr>
        <w:t xml:space="preserve">haute qualité, un dérivatif de qualité moyenne et une vignette de basse qualité ; une </w:t>
      </w:r>
      <w:r>
        <w:rPr>
          <w:rStyle w:val="688"/>
          <w:rFonts w:asciiTheme="minorHAnsi" w:hAnsiTheme="minorHAnsi" w:cstheme="minorHAnsi"/>
          <w:sz w:val="24"/>
          <w:szCs w:val="24"/>
        </w:rPr>
        <w:t xml:space="preserve">publication</w:t>
      </w:r>
      <w:r>
        <w:rPr>
          <w:rFonts w:asciiTheme="minorHAnsi" w:hAnsiTheme="minorHAnsi" w:cstheme="minorHAnsi"/>
          <w:sz w:val="24"/>
          <w:szCs w:val="24"/>
        </w:rPr>
        <w:t xml:space="preserve"> </w:t>
      </w:r>
      <w:r>
        <w:rPr>
          <w:rStyle w:val="688"/>
          <w:rFonts w:asciiTheme="minorHAnsi" w:hAnsiTheme="minorHAnsi" w:cstheme="minorHAnsi"/>
          <w:sz w:val="24"/>
          <w:szCs w:val="24"/>
        </w:rPr>
        <w:t xml:space="preserve">scientifique qu</w:t>
      </w:r>
      <w:r>
        <w:rPr>
          <w:rStyle w:val="688"/>
          <w:rFonts w:asciiTheme="minorHAnsi" w:hAnsiTheme="minorHAnsi" w:cstheme="minorHAnsi"/>
          <w:sz w:val="24"/>
          <w:szCs w:val="24"/>
        </w:rPr>
        <w:t xml:space="preserve">i </w:t>
      </w:r>
      <w:r>
        <w:rPr>
          <w:rStyle w:val="688"/>
          <w:rFonts w:asciiTheme="minorHAnsi" w:hAnsiTheme="minorHAnsi" w:cstheme="minorHAnsi"/>
          <w:sz w:val="24"/>
          <w:szCs w:val="24"/>
        </w:rPr>
        <w:t xml:space="preserve">est un assemblage de texte et d’autres matériaux tels que des jeux de données, des</w:t>
      </w:r>
      <w:r>
        <w:rPr>
          <w:rFonts w:asciiTheme="minorHAnsi" w:hAnsiTheme="minorHAnsi" w:cstheme="minorHAnsi"/>
          <w:sz w:val="24"/>
          <w:szCs w:val="24"/>
        </w:rPr>
        <w:t xml:space="preserve"> </w:t>
      </w:r>
      <w:r>
        <w:rPr>
          <w:rStyle w:val="688"/>
          <w:rFonts w:asciiTheme="minorHAnsi" w:hAnsiTheme="minorHAnsi" w:cstheme="minorHAnsi"/>
          <w:sz w:val="24"/>
          <w:szCs w:val="24"/>
        </w:rPr>
        <w:t xml:space="preserve">logiciels ou des enregistrements vidéo d’une expérience ; un document sur le web, en plusieurs pages,</w:t>
      </w:r>
      <w:r>
        <w:rPr>
          <w:rFonts w:asciiTheme="minorHAnsi" w:hAnsiTheme="minorHAnsi" w:cstheme="minorHAnsi"/>
          <w:sz w:val="24"/>
          <w:szCs w:val="24"/>
        </w:rPr>
        <w:t xml:space="preserve"> </w:t>
      </w:r>
      <w:r>
        <w:rPr>
          <w:rStyle w:val="688"/>
          <w:rFonts w:asciiTheme="minorHAnsi" w:hAnsiTheme="minorHAnsi" w:cstheme="minorHAnsi"/>
          <w:sz w:val="24"/>
          <w:szCs w:val="24"/>
        </w:rPr>
        <w:t xml:space="preserve">avec une table de contenus HTML qui indique plusieurs pages HTML liées entre elles.</w:t>
      </w:r>
      <w:r>
        <w:rPr>
          <w:rStyle w:val="689"/>
          <w:rFonts w:asciiTheme="minorHAnsi" w:hAnsiTheme="minorHAnsi" w:cstheme="minorHAnsi"/>
          <w:sz w:val="24"/>
          <w:szCs w:val="24"/>
        </w:rPr>
        <w:t xml:space="preserve"> </w:t>
      </w:r>
      <w:r>
        <w:rPr>
          <w:rFonts w:asciiTheme="minorHAnsi" w:hAnsiTheme="minorHAnsi" w:cstheme="minorHAnsi"/>
          <w:sz w:val="24"/>
          <w:szCs w:val="24"/>
        </w:rPr>
      </w:r>
    </w:p>
    <w:p w14:paraId="798191D8" w14:textId="2DAA05B7">
      <w:pPr>
        <w:pBdr/>
        <w:spacing/>
        <w:ind/>
        <w:jc w:val="both"/>
        <w:rPr>
          <w:rFonts w:cstheme="minorHAnsi"/>
          <w:sz w:val="24"/>
          <w:szCs w:val="24"/>
        </w:rPr>
      </w:pPr>
      <w:r>
        <w:rPr>
          <w:rFonts w:cstheme="minorHAnsi"/>
          <w:sz w:val="24"/>
          <w:szCs w:val="24"/>
        </w:rPr>
        <w:t xml:space="preserve">Choix pour </w:t>
      </w:r>
      <w:r>
        <w:rPr>
          <w:rFonts w:cstheme="minorHAnsi"/>
          <w:sz w:val="24"/>
          <w:szCs w:val="24"/>
        </w:rPr>
        <w:t xml:space="preserve">les docs complexes = encore assez n</w:t>
      </w:r>
      <w:r>
        <w:rPr>
          <w:rFonts w:cstheme="minorHAnsi"/>
          <w:sz w:val="24"/>
          <w:szCs w:val="24"/>
        </w:rPr>
        <w:t xml:space="preserve">eufs. </w:t>
      </w:r>
      <w:r>
        <w:rPr>
          <w:rFonts w:cstheme="minorHAnsi"/>
          <w:sz w:val="24"/>
          <w:szCs w:val="24"/>
        </w:rPr>
        <w:t xml:space="preserve">Se</w:t>
      </w:r>
      <w:r>
        <w:rPr>
          <w:rFonts w:cstheme="minorHAnsi"/>
          <w:sz w:val="24"/>
          <w:szCs w:val="24"/>
        </w:rPr>
        <w:t xml:space="preserve">mble répondre aux problématiques auxquelles essayait de répondre le </w:t>
      </w:r>
      <w:r>
        <w:rPr>
          <w:rFonts w:cstheme="minorHAnsi"/>
          <w:sz w:val="24"/>
          <w:szCs w:val="24"/>
        </w:rPr>
        <w:t xml:space="preserve">gpe</w:t>
      </w:r>
      <w:r>
        <w:rPr>
          <w:rFonts w:cstheme="minorHAnsi"/>
          <w:sz w:val="24"/>
          <w:szCs w:val="24"/>
        </w:rPr>
        <w:t xml:space="preserve"> de travail ayant él</w:t>
      </w:r>
      <w:r>
        <w:rPr>
          <w:rFonts w:cstheme="minorHAnsi"/>
          <w:sz w:val="24"/>
          <w:szCs w:val="24"/>
        </w:rPr>
        <w:t xml:space="preserve">aboré le DC : trouver une manière de décrire des contenus qui deviendront, avec les objets nativement numériques, plus protéi</w:t>
      </w:r>
      <w:r>
        <w:rPr>
          <w:rFonts w:cstheme="minorHAnsi"/>
          <w:sz w:val="24"/>
          <w:szCs w:val="24"/>
        </w:rPr>
        <w:t xml:space="preserve">formes et complexes.</w:t>
      </w:r>
      <w:r>
        <w:rPr>
          <w:rFonts w:cstheme="minorHAnsi"/>
          <w:sz w:val="24"/>
          <w:szCs w:val="24"/>
        </w:rPr>
      </w:r>
    </w:p>
    <w:p w14:paraId="09626F1C" w14:textId="1B1CE874">
      <w:pPr>
        <w:pBdr/>
        <w:spacing/>
        <w:ind/>
        <w:jc w:val="both"/>
        <w:rPr>
          <w:rFonts w:cstheme="minorHAnsi"/>
          <w:sz w:val="24"/>
          <w:szCs w:val="24"/>
        </w:rPr>
      </w:pPr>
      <w:r>
        <w:rPr>
          <w:rFonts w:cstheme="minorHAnsi"/>
          <w:sz w:val="24"/>
          <w:szCs w:val="24"/>
        </w:rPr>
        <w:t xml:space="preserve">Bib</w:t>
      </w:r>
      <w:r>
        <w:rPr>
          <w:rFonts w:cstheme="minorHAnsi"/>
          <w:sz w:val="24"/>
          <w:szCs w:val="24"/>
        </w:rPr>
        <w:t xml:space="preserve">liothèque du Congrès crée un autre standard afin de décrire un document avec un degré de finesse important : le METS. </w:t>
      </w:r>
      <w:r>
        <w:rPr>
          <w:rFonts w:cstheme="minorHAnsi"/>
          <w:sz w:val="24"/>
          <w:szCs w:val="24"/>
        </w:rPr>
      </w:r>
    </w:p>
    <w:p w14:paraId="58CED021" w14:textId="2BD8CAA7">
      <w:pPr>
        <w:pBdr/>
        <w:spacing/>
        <w:ind/>
        <w:jc w:val="both"/>
        <w:rPr>
          <w:rFonts w:cstheme="minorHAnsi"/>
          <w:sz w:val="24"/>
        </w:rPr>
      </w:pPr>
      <w:r>
        <w:rPr>
          <w:rFonts w:cstheme="minorHAnsi"/>
          <w:sz w:val="24"/>
        </w:rPr>
        <w:t xml:space="preserve">P.55 : METS = 7 </w:t>
      </w:r>
      <w:r>
        <w:rPr>
          <w:rFonts w:cstheme="minorHAnsi"/>
          <w:sz w:val="24"/>
        </w:rPr>
        <w:t xml:space="preserve">parties distinctes : un en-tête, un champ de métadonnées descriptives, un champ de métadonnées ad</w:t>
      </w:r>
      <w:r>
        <w:rPr>
          <w:rFonts w:cstheme="minorHAnsi"/>
          <w:sz w:val="24"/>
        </w:rPr>
        <w:t xml:space="preserve">ministratives, une liste des fichiers, une carte de la structure, un champ </w:t>
      </w:r>
      <w:r>
        <w:rPr>
          <w:rFonts w:cstheme="minorHAnsi"/>
          <w:sz w:val="24"/>
        </w:rPr>
        <w:t xml:space="preserve">d</w:t>
      </w:r>
      <w:r>
        <w:rPr>
          <w:rFonts w:cstheme="minorHAnsi"/>
          <w:sz w:val="24"/>
        </w:rPr>
        <w:t xml:space="preserve">e liens structurels, et une partie expliquant le comportement. </w:t>
      </w:r>
      <w:r>
        <w:rPr>
          <w:rFonts w:cstheme="minorHAnsi"/>
          <w:sz w:val="24"/>
        </w:rPr>
        <w:t xml:space="preserve">Exprimer plus précisément la structuration d’un contenu, ce qui peut être utile notamment dans le champ des archives où ce standard</w:t>
      </w:r>
      <w:r>
        <w:rPr>
          <w:rFonts w:cstheme="minorHAnsi"/>
          <w:sz w:val="24"/>
        </w:rPr>
        <w:t xml:space="preserve"> est très utilisé.</w:t>
      </w:r>
      <w:r>
        <w:rPr>
          <w:rFonts w:cstheme="minorHAnsi"/>
          <w:sz w:val="24"/>
        </w:rPr>
        <w:t xml:space="preserve"> METS compatible avec le protocole OAI-PMH.</w:t>
      </w:r>
      <w:r>
        <w:rPr>
          <w:rFonts w:cstheme="minorHAnsi"/>
          <w:sz w:val="24"/>
        </w:rPr>
        <w:t xml:space="preserve"> Il ne remplace pas le DC</w:t>
      </w:r>
      <w:r>
        <w:rPr>
          <w:rFonts w:cstheme="minorHAnsi"/>
          <w:sz w:val="24"/>
        </w:rPr>
        <w:t xml:space="preserve">. </w:t>
      </w:r>
      <w:r>
        <w:rPr>
          <w:rFonts w:cstheme="minorHAnsi"/>
          <w:sz w:val="24"/>
        </w:rPr>
      </w:r>
    </w:p>
    <w:p w14:paraId="4C76BA5B" w14:textId="028CB678">
      <w:pPr>
        <w:pBdr/>
        <w:spacing/>
        <w:ind/>
        <w:jc w:val="both"/>
        <w:rPr>
          <w:rFonts w:cstheme="minorHAnsi"/>
          <w:sz w:val="24"/>
        </w:rPr>
      </w:pPr>
      <w:r>
        <w:rPr>
          <w:rFonts w:cstheme="minorHAnsi"/>
          <w:sz w:val="24"/>
        </w:rPr>
        <w:t xml:space="preserve">Po</w:t>
      </w:r>
      <w:r>
        <w:rPr>
          <w:rFonts w:cstheme="minorHAnsi"/>
          <w:sz w:val="24"/>
        </w:rPr>
        <w:t xml:space="preserve">ssible de décrire des objets complexes avec DC, mais </w:t>
      </w:r>
      <w:r>
        <w:rPr>
          <w:rFonts w:cstheme="minorHAnsi"/>
          <w:sz w:val="24"/>
        </w:rPr>
        <w:t xml:space="preserve">cmt</w:t>
      </w:r>
      <w:r>
        <w:rPr>
          <w:rFonts w:cstheme="minorHAnsi"/>
          <w:sz w:val="24"/>
        </w:rPr>
        <w:t xml:space="preserve"> faire pour ne pas les « séparer » en les exposant avec le protocole ? Cmt conserver les liens entre dif</w:t>
      </w:r>
      <w:r>
        <w:rPr>
          <w:rFonts w:cstheme="minorHAnsi"/>
          <w:sz w:val="24"/>
        </w:rPr>
        <w:t xml:space="preserve">férentes ressources ?</w:t>
      </w:r>
      <w:r>
        <w:rPr>
          <w:rFonts w:cstheme="minorHAnsi"/>
          <w:sz w:val="24"/>
        </w:rPr>
        <w:t xml:space="preserve"> </w:t>
      </w:r>
      <w:r>
        <w:rPr>
          <w:rFonts w:cstheme="minorHAnsi"/>
          <w:sz w:val="24"/>
        </w:rPr>
        <w:t xml:space="preserve">Problématique : celle de la persistance d’une manière ancienne, et très bibliothéconomique, de concevoir </w:t>
      </w:r>
      <w:r>
        <w:rPr>
          <w:rFonts w:cstheme="minorHAnsi"/>
          <w:sz w:val="24"/>
        </w:rPr>
        <w:t xml:space="preserve">la description de l’information, </w:t>
      </w:r>
      <w:r>
        <w:rPr>
          <w:rFonts w:cstheme="minorHAnsi"/>
          <w:sz w:val="24"/>
        </w:rPr>
        <w:t xml:space="preserve">càd</w:t>
      </w:r>
      <w:r>
        <w:rPr>
          <w:rFonts w:cstheme="minorHAnsi"/>
          <w:sz w:val="24"/>
        </w:rPr>
        <w:t xml:space="preserve"> : un document, une notice. Exposer des docs sur le web pour qu’ils soient exploité</w:t>
      </w:r>
      <w:r>
        <w:rPr>
          <w:rFonts w:cstheme="minorHAnsi"/>
          <w:sz w:val="24"/>
        </w:rPr>
        <w:t xml:space="preserve">s au max de leurs possibilités, c’est prévoir </w:t>
      </w:r>
      <w:r>
        <w:rPr>
          <w:rFonts w:cstheme="minorHAnsi"/>
          <w:sz w:val="24"/>
        </w:rPr>
        <w:t xml:space="preserve">une description plus fine</w:t>
      </w:r>
      <w:r>
        <w:rPr>
          <w:rFonts w:cstheme="minorHAnsi"/>
          <w:sz w:val="24"/>
        </w:rPr>
        <w:t xml:space="preserve">, et surtout une description adaptée à des contenu</w:t>
      </w:r>
      <w:r>
        <w:rPr>
          <w:rFonts w:cstheme="minorHAnsi"/>
          <w:sz w:val="24"/>
        </w:rPr>
        <w:t xml:space="preserve">s qui sont apparus après cette manière de </w:t>
      </w:r>
      <w:r>
        <w:rPr>
          <w:rFonts w:cstheme="minorHAnsi"/>
          <w:sz w:val="24"/>
        </w:rPr>
        <w:t xml:space="preserve">c</w:t>
      </w:r>
      <w:r>
        <w:rPr>
          <w:rFonts w:cstheme="minorHAnsi"/>
          <w:sz w:val="24"/>
        </w:rPr>
        <w:t xml:space="preserve">lasser l’information.</w:t>
      </w:r>
      <w:r>
        <w:rPr>
          <w:rFonts w:cstheme="minorHAnsi"/>
          <w:sz w:val="24"/>
        </w:rPr>
      </w:r>
    </w:p>
    <w:p w14:paraId="4BE0B031" w14:textId="13799AEA">
      <w:pPr>
        <w:pBdr/>
        <w:spacing/>
        <w:ind/>
        <w:jc w:val="both"/>
        <w:rPr>
          <w:rFonts w:cstheme="minorHAnsi"/>
          <w:sz w:val="24"/>
        </w:rPr>
      </w:pPr>
      <w:r>
        <w:rPr>
          <w:rFonts w:cstheme="minorHAnsi"/>
          <w:sz w:val="24"/>
        </w:rPr>
        <w:t xml:space="preserve">P.56 : en 1998 apparait le FRBR crée par IFLA qui i</w:t>
      </w:r>
      <w:r>
        <w:rPr>
          <w:rFonts w:cstheme="minorHAnsi"/>
          <w:sz w:val="24"/>
        </w:rPr>
        <w:t xml:space="preserve">ntroduit 4 niveaux de description des contenus : œuvre, expression, manifestation</w:t>
      </w:r>
      <w:r>
        <w:rPr>
          <w:rFonts w:cstheme="minorHAnsi"/>
          <w:sz w:val="24"/>
        </w:rPr>
        <w:t xml:space="preserve">, i</w:t>
      </w:r>
      <w:r>
        <w:rPr>
          <w:rFonts w:cstheme="minorHAnsi"/>
          <w:sz w:val="24"/>
        </w:rPr>
        <w:t xml:space="preserve">tem. Ce modèle crée un </w:t>
      </w:r>
      <w:r>
        <w:rPr>
          <w:rFonts w:cstheme="minorHAnsi"/>
          <w:sz w:val="24"/>
        </w:rPr>
        <w:t xml:space="preserve">chgt</w:t>
      </w:r>
      <w:r>
        <w:rPr>
          <w:rFonts w:cstheme="minorHAnsi"/>
          <w:sz w:val="24"/>
        </w:rPr>
        <w:t xml:space="preserve"> de la vision à l’exemplaire, pour rentrer dans un processus de description plus compl</w:t>
      </w:r>
      <w:r>
        <w:rPr>
          <w:rFonts w:cstheme="minorHAnsi"/>
          <w:sz w:val="24"/>
        </w:rPr>
        <w:t xml:space="preserve">exe, qui correspond à l’arrivée des formats numériques, hybrides, à différentes manifestations ou expressions d’une même </w:t>
      </w:r>
      <w:r>
        <w:rPr>
          <w:rFonts w:cstheme="minorHAnsi"/>
          <w:sz w:val="24"/>
        </w:rPr>
        <w:t xml:space="preserve">œuvre.</w:t>
      </w:r>
      <w:r>
        <w:rPr>
          <w:rFonts w:cstheme="minorHAnsi"/>
          <w:sz w:val="24"/>
        </w:rPr>
      </w:r>
    </w:p>
    <w:p w14:paraId="0D74F9EA" w14:textId="54C41AED">
      <w:pPr>
        <w:pBdr/>
        <w:spacing/>
        <w:ind/>
        <w:jc w:val="both"/>
        <w:rPr>
          <w:rFonts w:cstheme="minorHAnsi"/>
          <w:sz w:val="24"/>
        </w:rPr>
      </w:pPr>
      <w:r>
        <w:rPr>
          <w:rFonts w:cstheme="minorHAnsi"/>
          <w:sz w:val="24"/>
        </w:rPr>
        <w:t xml:space="preserve">Besoin de trouver une solution pour exprimer les liens entre différents documents : </w:t>
      </w:r>
      <w:r>
        <w:rPr>
          <w:rFonts w:cstheme="minorHAnsi"/>
          <w:sz w:val="24"/>
        </w:rPr>
      </w:r>
    </w:p>
    <w:p w14:paraId="647E9E93" w14:textId="6689AE21">
      <w:pPr>
        <w:pStyle w:val="683"/>
        <w:numPr>
          <w:ilvl w:val="0"/>
          <w:numId w:val="3"/>
        </w:numPr>
        <w:pBdr/>
        <w:spacing/>
        <w:ind/>
        <w:rPr>
          <w:rFonts w:cstheme="minorHAnsi"/>
          <w:sz w:val="24"/>
        </w:rPr>
      </w:pPr>
      <w:r>
        <w:rPr>
          <w:rFonts w:cstheme="minorHAnsi"/>
          <w:sz w:val="24"/>
        </w:rPr>
        <w:t xml:space="preserve">Pour des documents qui perdent leur richesse </w:t>
      </w:r>
      <w:r>
        <w:rPr>
          <w:rFonts w:cstheme="minorHAnsi"/>
          <w:sz w:val="24"/>
        </w:rPr>
        <w:t xml:space="preserve">ou leur pertinence en étant « mis à plat », comme des revues (qui sont composées d’un ensemble de numér</w:t>
      </w:r>
      <w:r>
        <w:rPr>
          <w:rFonts w:cstheme="minorHAnsi"/>
          <w:sz w:val="24"/>
        </w:rPr>
        <w:t xml:space="preserve">os) ou des fonds d’archive (avec plus niveaux de description)</w:t>
      </w:r>
      <w:r>
        <w:rPr>
          <w:rFonts w:cstheme="minorHAnsi"/>
          <w:sz w:val="24"/>
        </w:rPr>
      </w:r>
    </w:p>
    <w:p w14:paraId="12F53E69" w14:textId="69A13911">
      <w:pPr>
        <w:pStyle w:val="683"/>
        <w:numPr>
          <w:ilvl w:val="0"/>
          <w:numId w:val="3"/>
        </w:numPr>
        <w:pBdr/>
        <w:spacing/>
        <w:ind/>
        <w:rPr>
          <w:rFonts w:cstheme="minorHAnsi"/>
          <w:sz w:val="24"/>
        </w:rPr>
      </w:pPr>
      <w:r>
        <w:rPr>
          <w:rFonts w:cstheme="minorHAnsi"/>
          <w:sz w:val="24"/>
        </w:rPr>
        <w:t xml:space="preserve">Pour des documents nativement numériques (pages web) ou des contenus </w:t>
      </w:r>
      <w:r>
        <w:rPr>
          <w:rFonts w:cstheme="minorHAnsi"/>
          <w:sz w:val="24"/>
        </w:rPr>
        <w:t xml:space="preserve">faisant usage de technologies </w:t>
      </w:r>
      <w:r>
        <w:rPr>
          <w:rFonts w:cstheme="minorHAnsi"/>
          <w:sz w:val="24"/>
        </w:rPr>
        <w:t xml:space="preserve">du web afin d’exprimer, en leur sein</w:t>
      </w:r>
      <w:r>
        <w:rPr>
          <w:rFonts w:cstheme="minorHAnsi"/>
          <w:sz w:val="24"/>
        </w:rPr>
        <w:t xml:space="preserve">, </w:t>
      </w:r>
      <w:r>
        <w:rPr>
          <w:rFonts w:cstheme="minorHAnsi"/>
          <w:sz w:val="24"/>
        </w:rPr>
        <w:t xml:space="preserve">plsrs</w:t>
      </w:r>
      <w:r>
        <w:rPr>
          <w:rFonts w:cstheme="minorHAnsi"/>
          <w:sz w:val="24"/>
        </w:rPr>
        <w:t xml:space="preserve"> autres liens (hypertextes, par exemple).</w:t>
      </w:r>
      <w:r>
        <w:rPr>
          <w:rFonts w:cstheme="minorHAnsi"/>
          <w:sz w:val="24"/>
        </w:rPr>
      </w:r>
    </w:p>
    <w:p w14:paraId="399915EA" w14:textId="7D8A8896">
      <w:pPr>
        <w:pBdr/>
        <w:spacing/>
        <w:ind/>
        <w:jc w:val="both"/>
        <w:rPr>
          <w:rFonts w:cstheme="minorHAnsi"/>
          <w:sz w:val="24"/>
        </w:rPr>
      </w:pPr>
      <w:r>
        <w:rPr>
          <w:rFonts w:cstheme="minorHAnsi"/>
          <w:sz w:val="24"/>
        </w:rPr>
        <w:t xml:space="preserve">OAI-ORE : </w:t>
      </w:r>
      <w:r>
        <w:rPr>
          <w:rFonts w:cstheme="minorHAnsi"/>
          <w:sz w:val="24"/>
        </w:rPr>
        <w:t xml:space="preserve">système qui se repose sur les technologies du web sémantique afin d’exposer l’information tout en respectant </w:t>
      </w:r>
      <w:r>
        <w:rPr>
          <w:rFonts w:cstheme="minorHAnsi"/>
          <w:sz w:val="24"/>
        </w:rPr>
        <w:t xml:space="preserve">ses liens internes. Comme dans la logique sémantique : indiquer les liens entre différents objets, et de qualifier ces liens pour les rendre int</w:t>
      </w:r>
      <w:r>
        <w:rPr>
          <w:rFonts w:cstheme="minorHAnsi"/>
          <w:sz w:val="24"/>
        </w:rPr>
        <w:t xml:space="preserve">elligibles.</w:t>
      </w:r>
      <w:r>
        <w:rPr>
          <w:rFonts w:cstheme="minorHAnsi"/>
          <w:sz w:val="24"/>
        </w:rPr>
      </w:r>
    </w:p>
    <w:p w14:paraId="090652DA" w14:textId="587BCCF0">
      <w:pPr>
        <w:pBdr/>
        <w:spacing/>
        <w:ind/>
        <w:jc w:val="both"/>
        <w:rPr>
          <w:rFonts w:cstheme="minorHAnsi"/>
          <w:sz w:val="24"/>
        </w:rPr>
      </w:pPr>
      <w:r>
        <w:rPr>
          <w:rFonts w:cstheme="minorHAnsi"/>
          <w:sz w:val="24"/>
        </w:rPr>
        <w:t xml:space="preserve">Pas d’adoption d’un format particulier en termes de métadonnées, sachant que les deux projets sont fondam</w:t>
      </w:r>
      <w:r>
        <w:rPr>
          <w:rFonts w:cstheme="minorHAnsi"/>
          <w:sz w:val="24"/>
        </w:rPr>
        <w:t xml:space="preserve">entalement différents : le 1</w:t>
      </w:r>
      <w:r>
        <w:rPr>
          <w:rFonts w:cstheme="minorHAnsi"/>
          <w:sz w:val="24"/>
          <w:vertAlign w:val="superscript"/>
        </w:rPr>
        <w:t xml:space="preserve">er</w:t>
      </w:r>
      <w:r>
        <w:rPr>
          <w:rFonts w:cstheme="minorHAnsi"/>
          <w:sz w:val="24"/>
        </w:rPr>
        <w:t xml:space="preserve"> = centré sur les métadonnées qu’il permettait d’échanger, alors que le 2</w:t>
      </w:r>
      <w:r>
        <w:rPr>
          <w:rFonts w:cstheme="minorHAnsi"/>
          <w:sz w:val="24"/>
          <w:vertAlign w:val="superscript"/>
        </w:rPr>
        <w:t xml:space="preserve">nd</w:t>
      </w:r>
      <w:r>
        <w:rPr>
          <w:rFonts w:cstheme="minorHAnsi"/>
          <w:sz w:val="24"/>
        </w:rPr>
        <w:t xml:space="preserve"> </w:t>
      </w:r>
      <w:r>
        <w:rPr>
          <w:rFonts w:cstheme="minorHAnsi"/>
          <w:sz w:val="24"/>
        </w:rPr>
        <w:t xml:space="preserve">se concentre sur les ressources.</w:t>
      </w:r>
      <w:r>
        <w:rPr>
          <w:rFonts w:cstheme="minorHAnsi"/>
          <w:sz w:val="24"/>
        </w:rPr>
      </w:r>
    </w:p>
    <w:p w14:paraId="4E3A303B" w14:textId="2EE106A3">
      <w:pPr>
        <w:pBdr/>
        <w:spacing/>
        <w:ind/>
        <w:jc w:val="both"/>
        <w:rPr>
          <w:rFonts w:cstheme="minorHAnsi"/>
          <w:sz w:val="24"/>
        </w:rPr>
      </w:pPr>
      <w:r>
        <w:rPr>
          <w:rFonts w:cstheme="minorHAnsi"/>
          <w:sz w:val="24"/>
        </w:rPr>
        <w:t xml:space="preserve">OAI-ORE : pas conçu pour remplacer OAI-PMH</w:t>
      </w:r>
      <w:r>
        <w:rPr>
          <w:rFonts w:cstheme="minorHAnsi"/>
          <w:sz w:val="24"/>
        </w:rPr>
        <w:t xml:space="preserve">. Approche différente afin de répondre à un </w:t>
      </w:r>
      <w:r>
        <w:rPr>
          <w:rFonts w:cstheme="minorHAnsi"/>
          <w:sz w:val="24"/>
        </w:rPr>
        <w:t xml:space="preserve">pb</w:t>
      </w:r>
      <w:r>
        <w:rPr>
          <w:rFonts w:cstheme="minorHAnsi"/>
          <w:sz w:val="24"/>
        </w:rPr>
        <w:t xml:space="preserve"> semblable</w:t>
      </w:r>
      <w:r>
        <w:rPr>
          <w:rFonts w:cstheme="minorHAnsi"/>
          <w:sz w:val="24"/>
        </w:rPr>
        <w:t xml:space="preserve">, la visibilité des ressources et leur appréhension sur le web. </w:t>
      </w:r>
      <w:r>
        <w:rPr>
          <w:rFonts w:cstheme="minorHAnsi"/>
          <w:sz w:val="24"/>
        </w:rPr>
      </w:r>
    </w:p>
    <w:p w14:paraId="69FA6EDC" w14:textId="57139663">
      <w:pPr>
        <w:pBdr/>
        <w:spacing/>
        <w:ind/>
        <w:jc w:val="both"/>
        <w:rPr>
          <w:rFonts w:cstheme="minorHAnsi"/>
          <w:sz w:val="24"/>
        </w:rPr>
      </w:pPr>
      <w:r>
        <w:rPr>
          <w:rFonts w:cstheme="minorHAnsi"/>
          <w:sz w:val="24"/>
        </w:rPr>
        <w:t xml:space="preserve">OAI-ORE : pas de ré centralisation </w:t>
      </w:r>
      <w:r>
        <w:rPr>
          <w:rFonts w:cstheme="minorHAnsi"/>
          <w:sz w:val="24"/>
        </w:rPr>
        <w:t xml:space="preserve">les données dans un entrepôt, respecte la décentralisation des contenus, pour coller à l’architecture du</w:t>
      </w:r>
      <w:r>
        <w:rPr>
          <w:rFonts w:cstheme="minorHAnsi"/>
          <w:sz w:val="24"/>
        </w:rPr>
        <w:t xml:space="preserve"> web, et toujours dans la logique du web sémantique. </w:t>
      </w:r>
      <w:r>
        <w:rPr>
          <w:rFonts w:cstheme="minorHAnsi"/>
          <w:sz w:val="24"/>
        </w:rPr>
      </w:r>
    </w:p>
    <w:p w14:paraId="4D505526" w14:textId="499B7B15">
      <w:pPr>
        <w:pBdr/>
        <w:spacing/>
        <w:ind/>
        <w:jc w:val="both"/>
        <w:rPr>
          <w:rFonts w:cstheme="minorHAnsi"/>
          <w:sz w:val="24"/>
        </w:rPr>
      </w:pPr>
      <w:r>
        <w:rPr>
          <w:rFonts w:cstheme="minorHAnsi"/>
          <w:sz w:val="24"/>
        </w:rPr>
        <w:t xml:space="preserve">Concevoir un m</w:t>
      </w:r>
      <w:r>
        <w:rPr>
          <w:rFonts w:cstheme="minorHAnsi"/>
          <w:sz w:val="24"/>
        </w:rPr>
        <w:t xml:space="preserve">odèle qui permette de présenter des objets complexes, tout en respectant leur particularité. </w:t>
      </w:r>
      <w:r>
        <w:rPr>
          <w:rFonts w:cstheme="minorHAnsi"/>
          <w:sz w:val="24"/>
        </w:rPr>
      </w:r>
    </w:p>
    <w:p w14:paraId="1E80402B" w14:textId="28893CDD">
      <w:pPr>
        <w:pBdr/>
        <w:spacing/>
        <w:ind/>
        <w:jc w:val="both"/>
        <w:rPr>
          <w:rFonts w:cstheme="minorHAnsi"/>
          <w:sz w:val="24"/>
        </w:rPr>
      </w:pPr>
      <w:r>
        <w:rPr>
          <w:rFonts w:cstheme="minorHAnsi"/>
          <w:sz w:val="24"/>
        </w:rPr>
        <w:t xml:space="preserve">P.57 : OAI-PMH nécessitait au min </w:t>
      </w:r>
      <w:r>
        <w:rPr>
          <w:rFonts w:cstheme="minorHAnsi"/>
          <w:sz w:val="24"/>
        </w:rPr>
        <w:t xml:space="preserve">une transfo</w:t>
      </w:r>
      <w:r>
        <w:rPr>
          <w:rFonts w:cstheme="minorHAnsi"/>
          <w:sz w:val="24"/>
        </w:rPr>
        <w:t xml:space="preserve"> des données selon les éléments du DC, un élément qui pose des pbs pour l</w:t>
      </w:r>
      <w:r>
        <w:rPr>
          <w:rFonts w:cstheme="minorHAnsi"/>
          <w:sz w:val="24"/>
        </w:rPr>
        <w:t xml:space="preserve">a qualité des données transmises. OAI-ORE se veut comme une couche d’interopérabilité (</w:t>
      </w:r>
      <w:r>
        <w:rPr>
          <w:rFonts w:cstheme="minorHAnsi"/>
          <w:sz w:val="24"/>
        </w:rPr>
        <w:t xml:space="preserve">interoperability</w:t>
      </w:r>
      <w:r>
        <w:rPr>
          <w:rFonts w:cstheme="minorHAnsi"/>
          <w:sz w:val="24"/>
        </w:rPr>
        <w:t xml:space="preserve"> layer)</w:t>
      </w:r>
      <w:r>
        <w:rPr>
          <w:rFonts w:cstheme="minorHAnsi"/>
          <w:sz w:val="24"/>
        </w:rPr>
        <w:t xml:space="preserve"> </w:t>
      </w:r>
      <w:r>
        <w:rPr>
          <w:rFonts w:cstheme="minorHAnsi"/>
          <w:sz w:val="24"/>
        </w:rPr>
        <w:t xml:space="preserve">mise sur des objets complexes, pour les rendre appréhensibles par la machine, et faciliter les opérations de recherche et de découverte des c</w:t>
      </w:r>
      <w:r>
        <w:rPr>
          <w:rFonts w:cstheme="minorHAnsi"/>
          <w:sz w:val="24"/>
        </w:rPr>
        <w:t xml:space="preserve">ontenus. </w:t>
      </w:r>
      <w:r>
        <w:rPr>
          <w:rFonts w:cstheme="minorHAnsi"/>
          <w:sz w:val="24"/>
        </w:rPr>
      </w:r>
    </w:p>
    <w:p w14:paraId="33147A2A" w14:textId="6176919C">
      <w:pPr>
        <w:pBdr/>
        <w:spacing/>
        <w:ind/>
        <w:jc w:val="both"/>
        <w:rPr>
          <w:rFonts w:cstheme="minorHAnsi"/>
          <w:sz w:val="24"/>
        </w:rPr>
      </w:pPr>
      <w:r>
        <w:rPr>
          <w:rFonts w:cstheme="minorHAnsi"/>
          <w:sz w:val="24"/>
        </w:rPr>
        <w:t xml:space="preserve">OAI-PMH : rester en usage pour des ressources qui ne posent pas ce problème de multiplicité d</w:t>
      </w:r>
      <w:r>
        <w:rPr>
          <w:rFonts w:cstheme="minorHAnsi"/>
          <w:sz w:val="24"/>
        </w:rPr>
        <w:t xml:space="preserve">’état, et être complémenté par OAI-ORE. Vision de l’avènement du web sémantique, qui devait amener une véritable révolu</w:t>
      </w:r>
      <w:r>
        <w:rPr>
          <w:rFonts w:cstheme="minorHAnsi"/>
          <w:sz w:val="24"/>
        </w:rPr>
        <w:t xml:space="preserve">tion des usages, on peut supposer que, du </w:t>
      </w:r>
      <w:r>
        <w:rPr>
          <w:rFonts w:cstheme="minorHAnsi"/>
          <w:sz w:val="24"/>
        </w:rPr>
        <w:t xml:space="preserve">pdv</w:t>
      </w:r>
      <w:r>
        <w:rPr>
          <w:rFonts w:cstheme="minorHAnsi"/>
          <w:sz w:val="24"/>
        </w:rPr>
        <w:t xml:space="preserve"> des concepteurs et conceptrices d’OAI-ORE, l’utilisation de cette spécifi</w:t>
      </w:r>
      <w:r>
        <w:rPr>
          <w:rFonts w:cstheme="minorHAnsi"/>
          <w:sz w:val="24"/>
        </w:rPr>
        <w:t xml:space="preserve">cation allait contribuer à rendre obsolète le protocole : en parvenant à exprimer les liens </w:t>
      </w:r>
      <w:r>
        <w:rPr>
          <w:rFonts w:cstheme="minorHAnsi"/>
          <w:sz w:val="24"/>
        </w:rPr>
        <w:t xml:space="preserve">entre les documents, en respectant une structure décentralisée, quelle serait l’utilité d’une opération de recentralisation de métadonnées pour visibles et des ressour</w:t>
      </w:r>
      <w:r>
        <w:rPr>
          <w:rFonts w:cstheme="minorHAnsi"/>
          <w:sz w:val="24"/>
        </w:rPr>
        <w:t xml:space="preserve">ces ? </w:t>
      </w:r>
      <w:r>
        <w:rPr>
          <w:rFonts w:cstheme="minorHAnsi"/>
          <w:sz w:val="24"/>
        </w:rPr>
      </w:r>
    </w:p>
    <w:p w14:paraId="16FEB346" w14:textId="0AE3DC50">
      <w:pPr>
        <w:pBdr/>
        <w:spacing/>
        <w:ind/>
        <w:jc w:val="both"/>
        <w:rPr>
          <w:rFonts w:cstheme="minorHAnsi"/>
          <w:sz w:val="24"/>
        </w:rPr>
      </w:pPr>
      <w:r>
        <w:rPr>
          <w:rFonts w:cstheme="minorHAnsi"/>
          <w:sz w:val="24"/>
        </w:rPr>
        <w:t xml:space="preserve">OAI</w:t>
      </w:r>
      <w:r>
        <w:rPr>
          <w:rFonts w:cstheme="minorHAnsi"/>
          <w:sz w:val="24"/>
        </w:rPr>
        <w:t xml:space="preserve">-OMH : création des usages. OAI-ORE : potentiel de transfo par l’usage, d’autant plus que le précédent protocole avait bien essaimé. </w:t>
      </w:r>
      <w:r>
        <w:rPr>
          <w:rFonts w:cstheme="minorHAnsi"/>
          <w:sz w:val="24"/>
        </w:rPr>
      </w:r>
    </w:p>
    <w:p w14:paraId="1A6716F8" w14:textId="4DD6FEA2">
      <w:pPr>
        <w:pBdr/>
        <w:spacing/>
        <w:ind/>
        <w:jc w:val="both"/>
        <w:rPr>
          <w:rFonts w:cstheme="minorHAnsi"/>
          <w:sz w:val="24"/>
        </w:rPr>
      </w:pPr>
      <w:r>
        <w:rPr>
          <w:rFonts w:cstheme="minorHAnsi"/>
          <w:sz w:val="24"/>
        </w:rPr>
        <w:t xml:space="preserve">But OAI-ORE : </w:t>
      </w:r>
      <w:r>
        <w:rPr>
          <w:rFonts w:cstheme="minorHAnsi"/>
          <w:sz w:val="24"/>
        </w:rPr>
        <w:t xml:space="preserve">faire sens d’un contenu hétérogène</w:t>
      </w:r>
      <w:r>
        <w:rPr>
          <w:rFonts w:cstheme="minorHAnsi"/>
          <w:sz w:val="24"/>
        </w:rPr>
        <w:t xml:space="preserve"> ; le mécanisme servant à remplir cet objectif réunit 4 éléments :</w:t>
      </w:r>
      <w:r>
        <w:rPr>
          <w:rFonts w:cstheme="minorHAnsi"/>
          <w:sz w:val="24"/>
        </w:rPr>
        <w:t xml:space="preserve"> une représentation (</w:t>
      </w:r>
      <w:r>
        <w:rPr>
          <w:rFonts w:cstheme="minorHAnsi"/>
          <w:i/>
          <w:iCs/>
          <w:sz w:val="24"/>
        </w:rPr>
        <w:t xml:space="preserve">representation</w:t>
      </w:r>
      <w:r>
        <w:rPr>
          <w:rFonts w:cstheme="minorHAnsi"/>
          <w:i/>
          <w:iCs/>
          <w:sz w:val="24"/>
        </w:rPr>
        <w:t xml:space="preserve">), </w:t>
      </w:r>
      <w:r>
        <w:rPr>
          <w:rFonts w:cstheme="minorHAnsi"/>
          <w:sz w:val="24"/>
        </w:rPr>
        <w:t xml:space="preserve">une carte </w:t>
      </w:r>
      <w:r>
        <w:rPr>
          <w:rFonts w:cstheme="minorHAnsi"/>
          <w:sz w:val="24"/>
        </w:rPr>
        <w:t xml:space="preserve">des ressources (</w:t>
      </w:r>
      <w:r>
        <w:rPr>
          <w:rFonts w:cstheme="minorHAnsi"/>
          <w:i/>
          <w:iCs/>
          <w:sz w:val="24"/>
        </w:rPr>
        <w:t xml:space="preserve">ressource map</w:t>
      </w:r>
      <w:r>
        <w:rPr>
          <w:rFonts w:cstheme="minorHAnsi"/>
          <w:sz w:val="24"/>
        </w:rPr>
        <w:t xml:space="preserve">), un assemblage (</w:t>
      </w:r>
      <w:r>
        <w:rPr>
          <w:rFonts w:cstheme="minorHAnsi"/>
          <w:i/>
          <w:iCs/>
          <w:sz w:val="24"/>
        </w:rPr>
        <w:t xml:space="preserve">ag</w:t>
      </w:r>
      <w:r>
        <w:rPr>
          <w:rFonts w:cstheme="minorHAnsi"/>
          <w:i/>
          <w:iCs/>
          <w:sz w:val="24"/>
        </w:rPr>
        <w:t xml:space="preserve">gregation</w:t>
      </w:r>
      <w:r>
        <w:rPr>
          <w:rFonts w:cstheme="minorHAnsi"/>
          <w:sz w:val="24"/>
        </w:rPr>
        <w:t xml:space="preserve">) et enfin les ressources elles-mêmes (</w:t>
      </w:r>
      <w:r>
        <w:rPr>
          <w:rFonts w:cstheme="minorHAnsi"/>
          <w:i/>
          <w:iCs/>
          <w:sz w:val="24"/>
        </w:rPr>
        <w:t xml:space="preserve">aggregated</w:t>
      </w:r>
      <w:r>
        <w:rPr>
          <w:rFonts w:cstheme="minorHAnsi"/>
          <w:i/>
          <w:iCs/>
          <w:sz w:val="24"/>
        </w:rPr>
        <w:t xml:space="preserve"> </w:t>
      </w:r>
      <w:r>
        <w:rPr>
          <w:rFonts w:cstheme="minorHAnsi"/>
          <w:i/>
          <w:iCs/>
          <w:sz w:val="24"/>
        </w:rPr>
        <w:t xml:space="preserve">resources</w:t>
      </w:r>
      <w:r>
        <w:rPr>
          <w:rFonts w:cstheme="minorHAnsi"/>
          <w:sz w:val="24"/>
        </w:rPr>
        <w:t xml:space="preserve">). </w:t>
      </w:r>
      <w:r>
        <w:rPr>
          <w:rFonts w:cstheme="minorHAnsi"/>
          <w:sz w:val="24"/>
        </w:rPr>
        <w:t xml:space="preserve">Cha</w:t>
      </w:r>
      <w:r>
        <w:rPr>
          <w:rFonts w:cstheme="minorHAnsi"/>
          <w:sz w:val="24"/>
        </w:rPr>
        <w:t xml:space="preserve">cun de ces éléments est lié au suivant. </w:t>
      </w:r>
      <w:r>
        <w:rPr>
          <w:rFonts w:cstheme="minorHAnsi"/>
          <w:sz w:val="24"/>
        </w:rPr>
      </w:r>
    </w:p>
    <w:p w14:paraId="51C33C79" w14:textId="0C4820B5">
      <w:pPr>
        <w:pBdr/>
        <w:spacing/>
        <w:ind/>
        <w:jc w:val="both"/>
        <w:rPr>
          <w:rFonts w:cstheme="minorHAnsi"/>
          <w:sz w:val="24"/>
        </w:rPr>
      </w:pPr>
      <w:r>
        <w:rPr>
          <w:rFonts w:cstheme="minorHAnsi"/>
          <w:sz w:val="24"/>
        </w:rPr>
        <w:t xml:space="preserve">Négociation de contenus : mécanisme</w:t>
      </w:r>
      <w:r>
        <w:rPr>
          <w:rFonts w:cstheme="minorHAnsi"/>
          <w:sz w:val="24"/>
        </w:rPr>
        <w:t xml:space="preserve"> de l’http qui permet de fournir différentes représentations d’une ressou</w:t>
      </w:r>
      <w:r>
        <w:rPr>
          <w:rFonts w:cstheme="minorHAnsi"/>
          <w:sz w:val="24"/>
        </w:rPr>
        <w:t xml:space="preserve">rce à la même URI.</w:t>
      </w:r>
      <w:r>
        <w:rPr>
          <w:rFonts w:cstheme="minorHAnsi"/>
          <w:sz w:val="24"/>
        </w:rPr>
        <w:t xml:space="preserve"> </w:t>
      </w:r>
      <w:r>
        <w:rPr>
          <w:rFonts w:cstheme="minorHAnsi"/>
          <w:sz w:val="24"/>
        </w:rPr>
      </w:r>
    </w:p>
    <w:p w14:paraId="739EE9C0" w14:textId="543CAF81">
      <w:pPr>
        <w:pBdr/>
        <w:spacing/>
        <w:ind/>
        <w:jc w:val="both"/>
        <w:rPr>
          <w:rFonts w:cstheme="minorHAnsi"/>
          <w:sz w:val="24"/>
        </w:rPr>
      </w:pPr>
      <w:r>
        <w:rPr>
          <w:rFonts w:cstheme="minorHAnsi"/>
          <w:sz w:val="24"/>
        </w:rPr>
        <w:t xml:space="preserve">P.61 : limites </w:t>
      </w:r>
      <w:r>
        <w:rPr>
          <w:rFonts w:cstheme="minorHAnsi"/>
          <w:sz w:val="24"/>
        </w:rPr>
        <w:t xml:space="preserve">d’OAI-ORE : </w:t>
      </w:r>
      <w:r>
        <w:rPr>
          <w:rFonts w:cstheme="minorHAnsi"/>
          <w:sz w:val="24"/>
        </w:rPr>
        <w:t xml:space="preserve">ORE = plus complexe dans sa conception</w:t>
      </w:r>
      <w:r>
        <w:rPr>
          <w:rFonts w:cstheme="minorHAnsi"/>
          <w:sz w:val="24"/>
        </w:rPr>
        <w:t xml:space="preserve"> que ne l’était OAI-PMH. </w:t>
      </w:r>
      <w:r>
        <w:rPr>
          <w:rFonts w:cstheme="minorHAnsi"/>
          <w:sz w:val="24"/>
        </w:rPr>
        <w:t xml:space="preserve">Il suppose une maîtrise </w:t>
      </w:r>
      <w:r>
        <w:rPr>
          <w:rFonts w:cstheme="minorHAnsi"/>
          <w:sz w:val="24"/>
        </w:rPr>
        <w:t xml:space="preserve">d</w:t>
      </w:r>
      <w:r>
        <w:rPr>
          <w:rFonts w:cstheme="minorHAnsi"/>
          <w:sz w:val="24"/>
        </w:rPr>
        <w:t xml:space="preserve">es technologies et vocabulaires du web sémantique</w:t>
      </w:r>
      <w:r>
        <w:rPr>
          <w:rFonts w:cstheme="minorHAnsi"/>
          <w:sz w:val="24"/>
        </w:rPr>
        <w:t xml:space="preserve">, </w:t>
      </w:r>
      <w:r>
        <w:rPr>
          <w:rFonts w:cstheme="minorHAnsi"/>
          <w:sz w:val="24"/>
        </w:rPr>
        <w:t xml:space="preserve">là où le précédent ne demandait qu’une conversion</w:t>
      </w:r>
      <w:r>
        <w:rPr>
          <w:rFonts w:cstheme="minorHAnsi"/>
          <w:sz w:val="24"/>
        </w:rPr>
        <w:t xml:space="preserve"> en DC, au min</w:t>
      </w:r>
      <w:r>
        <w:rPr>
          <w:rFonts w:cstheme="minorHAnsi"/>
          <w:sz w:val="24"/>
        </w:rPr>
        <w:t xml:space="preserve">. </w:t>
      </w:r>
      <w:r>
        <w:rPr>
          <w:rFonts w:cstheme="minorHAnsi"/>
          <w:sz w:val="24"/>
        </w:rPr>
      </w:r>
    </w:p>
    <w:p w14:paraId="6B66DB1E" w14:textId="1F32ECBB">
      <w:pPr>
        <w:pBdr/>
        <w:spacing/>
        <w:ind/>
        <w:jc w:val="both"/>
        <w:rPr>
          <w:rFonts w:cstheme="minorHAnsi"/>
          <w:sz w:val="24"/>
        </w:rPr>
      </w:pPr>
      <w:r>
        <w:rPr>
          <w:rFonts w:cstheme="minorHAnsi"/>
          <w:sz w:val="24"/>
        </w:rPr>
        <w:t xml:space="preserve">ORE permettait à </w:t>
      </w:r>
      <w:r>
        <w:rPr>
          <w:rFonts w:cstheme="minorHAnsi"/>
          <w:sz w:val="24"/>
        </w:rPr>
        <w:t xml:space="preserve">chq</w:t>
      </w:r>
      <w:r>
        <w:rPr>
          <w:rFonts w:cstheme="minorHAnsi"/>
          <w:sz w:val="24"/>
        </w:rPr>
        <w:t xml:space="preserve"> </w:t>
      </w:r>
      <w:r>
        <w:rPr>
          <w:rFonts w:cstheme="minorHAnsi"/>
          <w:sz w:val="24"/>
        </w:rPr>
        <w:t xml:space="preserve">communauté d’utiliser des ontologies et des standards appropriés</w:t>
      </w:r>
      <w:r>
        <w:rPr>
          <w:rFonts w:cstheme="minorHAnsi"/>
          <w:sz w:val="24"/>
        </w:rPr>
        <w:t xml:space="preserve">, plutôt que de faire converger</w:t>
      </w:r>
      <w:r>
        <w:rPr>
          <w:rFonts w:cstheme="minorHAnsi"/>
          <w:sz w:val="24"/>
        </w:rPr>
        <w:t xml:space="preserve"> </w:t>
      </w:r>
      <w:r>
        <w:rPr>
          <w:rFonts w:cstheme="minorHAnsi"/>
          <w:sz w:val="24"/>
        </w:rPr>
        <w:t xml:space="preserve">tous les contenus vers un format unique. </w:t>
      </w:r>
      <w:r>
        <w:rPr>
          <w:rFonts w:cstheme="minorHAnsi"/>
          <w:sz w:val="24"/>
        </w:rPr>
        <w:t xml:space="preserve">Ma</w:t>
      </w:r>
      <w:r>
        <w:rPr>
          <w:rFonts w:cstheme="minorHAnsi"/>
          <w:sz w:val="24"/>
        </w:rPr>
        <w:t xml:space="preserve">is elle ne </w:t>
      </w:r>
      <w:r>
        <w:rPr>
          <w:rFonts w:cstheme="minorHAnsi"/>
          <w:sz w:val="24"/>
        </w:rPr>
        <w:t xml:space="preserve">cr</w:t>
      </w:r>
      <w:r>
        <w:rPr>
          <w:rFonts w:cstheme="minorHAnsi"/>
          <w:sz w:val="24"/>
        </w:rPr>
        <w:t xml:space="preserve">ée pas un dénominateur commun, comme OAI-PMH</w:t>
      </w:r>
      <w:r>
        <w:rPr>
          <w:rFonts w:cstheme="minorHAnsi"/>
          <w:sz w:val="24"/>
        </w:rPr>
        <w:t xml:space="preserve"> </w:t>
      </w:r>
      <w:r>
        <w:rPr>
          <w:rFonts w:cstheme="minorHAnsi"/>
          <w:sz w:val="24"/>
        </w:rPr>
        <w:t xml:space="preserve">en possède avec le DC. </w:t>
      </w:r>
      <w:r>
        <w:rPr>
          <w:rFonts w:cstheme="minorHAnsi"/>
          <w:sz w:val="24"/>
        </w:rPr>
      </w:r>
    </w:p>
    <w:p w14:paraId="32696E3A" w14:textId="01789271">
      <w:pPr>
        <w:pBdr/>
        <w:spacing/>
        <w:ind/>
        <w:jc w:val="both"/>
        <w:rPr>
          <w:rFonts w:cstheme="minorHAnsi"/>
          <w:sz w:val="24"/>
        </w:rPr>
      </w:pPr>
      <w:r>
        <w:rPr>
          <w:rFonts w:cstheme="minorHAnsi"/>
          <w:sz w:val="24"/>
        </w:rPr>
        <w:t xml:space="preserve">OAI-ORE : conçu pour le web sémantique</w:t>
      </w:r>
      <w:r>
        <w:rPr>
          <w:rFonts w:cstheme="minorHAnsi"/>
          <w:sz w:val="24"/>
        </w:rPr>
        <w:t xml:space="preserve"> : il en utilise la logique, la structure et les standards. </w:t>
      </w:r>
      <w:r>
        <w:rPr>
          <w:rFonts w:cstheme="minorHAnsi"/>
          <w:sz w:val="24"/>
        </w:rPr>
      </w:r>
    </w:p>
    <w:p w14:paraId="59E10E9D" w14:textId="227CBDF0">
      <w:pPr>
        <w:pBdr/>
        <w:spacing/>
        <w:ind/>
        <w:jc w:val="both"/>
        <w:rPr>
          <w:rFonts w:cstheme="minorHAnsi"/>
          <w:sz w:val="24"/>
        </w:rPr>
      </w:pPr>
      <w:r>
        <w:rPr>
          <w:rFonts w:cstheme="minorHAnsi"/>
          <w:sz w:val="24"/>
        </w:rPr>
        <w:t xml:space="preserve">De</w:t>
      </w:r>
      <w:r>
        <w:rPr>
          <w:rFonts w:cstheme="minorHAnsi"/>
          <w:sz w:val="24"/>
        </w:rPr>
        <w:t xml:space="preserve"> grandes institutions nationales ont ensuite porté ce protocole, et </w:t>
      </w:r>
      <w:r>
        <w:rPr>
          <w:rFonts w:cstheme="minorHAnsi"/>
          <w:sz w:val="24"/>
        </w:rPr>
        <w:t xml:space="preserve">chq</w:t>
      </w:r>
      <w:r>
        <w:rPr>
          <w:rFonts w:cstheme="minorHAnsi"/>
          <w:sz w:val="24"/>
        </w:rPr>
        <w:t xml:space="preserve"> partenariat a engendré une adoption plus large d’OAI-PM</w:t>
      </w:r>
      <w:r>
        <w:rPr>
          <w:rFonts w:cstheme="minorHAnsi"/>
          <w:sz w:val="24"/>
        </w:rPr>
        <w:t xml:space="preserve">H, </w:t>
      </w:r>
      <w:r>
        <w:rPr>
          <w:rFonts w:cstheme="minorHAnsi"/>
          <w:sz w:val="24"/>
        </w:rPr>
        <w:t xml:space="preserve">àpd</w:t>
      </w:r>
      <w:r>
        <w:rPr>
          <w:rFonts w:cstheme="minorHAnsi"/>
          <w:sz w:val="24"/>
        </w:rPr>
        <w:t xml:space="preserve"> </w:t>
      </w:r>
      <w:r>
        <w:rPr>
          <w:rFonts w:cstheme="minorHAnsi"/>
          <w:sz w:val="24"/>
        </w:rPr>
        <w:t xml:space="preserve">ce</w:t>
      </w:r>
      <w:r>
        <w:rPr>
          <w:rFonts w:cstheme="minorHAnsi"/>
          <w:sz w:val="24"/>
        </w:rPr>
        <w:t xml:space="preserve">s grands foyers que peuvent être les bibliothèques nationales</w:t>
      </w:r>
      <w:r>
        <w:rPr>
          <w:rFonts w:cstheme="minorHAnsi"/>
          <w:sz w:val="24"/>
        </w:rPr>
        <w:t xml:space="preserve">. À l’inverse, OAI-ORE se </w:t>
      </w:r>
      <w:r>
        <w:rPr>
          <w:rFonts w:cstheme="minorHAnsi"/>
          <w:sz w:val="24"/>
        </w:rPr>
        <w:t xml:space="preserve">retrouve sporadiquement, mais sans une adoption </w:t>
      </w:r>
      <w:r>
        <w:rPr>
          <w:rFonts w:cstheme="minorHAnsi"/>
          <w:sz w:val="24"/>
        </w:rPr>
        <w:t xml:space="preserve">fra</w:t>
      </w:r>
      <w:r>
        <w:rPr>
          <w:rFonts w:cstheme="minorHAnsi"/>
          <w:sz w:val="24"/>
        </w:rPr>
        <w:t xml:space="preserve">nche, sans dissémination impulsée </w:t>
      </w:r>
      <w:r>
        <w:rPr>
          <w:rFonts w:cstheme="minorHAnsi"/>
          <w:sz w:val="24"/>
        </w:rPr>
        <w:t xml:space="preserve">par de grands établissements. </w:t>
      </w:r>
      <w:r>
        <w:rPr>
          <w:rFonts w:cstheme="minorHAnsi"/>
          <w:sz w:val="24"/>
        </w:rPr>
      </w:r>
    </w:p>
    <w:p w14:paraId="6F3A397C" w14:textId="41AE6131">
      <w:pPr>
        <w:pBdr/>
        <w:spacing/>
        <w:ind/>
        <w:jc w:val="both"/>
        <w:rPr>
          <w:rFonts w:cstheme="minorHAnsi"/>
          <w:sz w:val="24"/>
        </w:rPr>
      </w:pPr>
      <w:r>
        <w:rPr>
          <w:rFonts w:cstheme="minorHAnsi"/>
          <w:sz w:val="24"/>
        </w:rPr>
        <w:t xml:space="preserve">Préparation : complexe, sachant que les standards et concepts du web </w:t>
      </w:r>
      <w:r>
        <w:rPr>
          <w:rFonts w:cstheme="minorHAnsi"/>
          <w:sz w:val="24"/>
        </w:rPr>
        <w:t xml:space="preserve">sémantique n’ont que peu essaimé au-delà d’une communaut</w:t>
      </w:r>
      <w:r>
        <w:rPr>
          <w:rFonts w:cstheme="minorHAnsi"/>
          <w:sz w:val="24"/>
        </w:rPr>
        <w:t xml:space="preserve">é particulière. </w:t>
      </w:r>
      <w:r>
        <w:rPr>
          <w:rFonts w:cstheme="minorHAnsi"/>
          <w:sz w:val="24"/>
        </w:rPr>
      </w:r>
    </w:p>
    <w:p w14:paraId="75894689" w14:textId="1D6B2140">
      <w:pPr>
        <w:pBdr/>
        <w:spacing/>
        <w:ind/>
        <w:jc w:val="both"/>
        <w:rPr>
          <w:rFonts w:cstheme="minorHAnsi"/>
          <w:sz w:val="24"/>
        </w:rPr>
      </w:pPr>
      <w:r>
        <w:rPr>
          <w:rFonts w:cstheme="minorHAnsi"/>
          <w:sz w:val="24"/>
        </w:rPr>
        <w:t xml:space="preserve">P.62 : promesses du web sémantique = stade de </w:t>
      </w:r>
      <w:r>
        <w:rPr>
          <w:rFonts w:cstheme="minorHAnsi"/>
          <w:sz w:val="24"/>
        </w:rPr>
        <w:t xml:space="preserve">dvlpt</w:t>
      </w:r>
      <w:r>
        <w:rPr>
          <w:rFonts w:cstheme="minorHAnsi"/>
          <w:sz w:val="24"/>
        </w:rPr>
        <w:t xml:space="preserve"> qui semblait pr</w:t>
      </w:r>
      <w:r>
        <w:rPr>
          <w:rFonts w:cstheme="minorHAnsi"/>
          <w:sz w:val="24"/>
        </w:rPr>
        <w:t xml:space="preserve">omis. Le fait de théoriser </w:t>
      </w:r>
      <w:r>
        <w:rPr>
          <w:rFonts w:cstheme="minorHAnsi"/>
          <w:sz w:val="24"/>
        </w:rPr>
        <w:t xml:space="preserve">le web social comme le web 2.0 se faisait avec la venue postérieure d’un web </w:t>
      </w:r>
      <w:r>
        <w:rPr>
          <w:rFonts w:cstheme="minorHAnsi"/>
          <w:sz w:val="24"/>
        </w:rPr>
        <w:t xml:space="preserve">3.0 = web de données / web sémantique.</w:t>
      </w:r>
      <w:r>
        <w:rPr>
          <w:rFonts w:cstheme="minorHAnsi"/>
          <w:sz w:val="24"/>
        </w:rPr>
      </w:r>
    </w:p>
    <w:p w14:paraId="12FC221F" w14:textId="1BD13F1B">
      <w:pPr>
        <w:pBdr/>
        <w:spacing/>
        <w:ind/>
        <w:jc w:val="both"/>
        <w:rPr>
          <w:rFonts w:cstheme="minorHAnsi"/>
          <w:sz w:val="24"/>
        </w:rPr>
      </w:pPr>
      <w:r>
        <w:rPr>
          <w:rFonts w:cstheme="minorHAnsi"/>
          <w:sz w:val="24"/>
        </w:rPr>
        <w:t xml:space="preserve">W</w:t>
      </w:r>
      <w:r>
        <w:rPr>
          <w:rFonts w:cstheme="minorHAnsi"/>
          <w:sz w:val="24"/>
        </w:rPr>
        <w:t xml:space="preserve">eb</w:t>
      </w:r>
      <w:r>
        <w:rPr>
          <w:rFonts w:cstheme="minorHAnsi"/>
          <w:sz w:val="24"/>
        </w:rPr>
        <w:t xml:space="preserve"> « social » : théorisé </w:t>
      </w:r>
      <w:r>
        <w:rPr>
          <w:rFonts w:cstheme="minorHAnsi"/>
          <w:sz w:val="24"/>
        </w:rPr>
        <w:t xml:space="preserve">comme un espace de communicatio</w:t>
      </w:r>
      <w:r>
        <w:rPr>
          <w:rFonts w:cstheme="minorHAnsi"/>
          <w:sz w:val="24"/>
        </w:rPr>
        <w:t xml:space="preserve">n, de construction de communautés plutôt qu’une manière d’échanger des docs et des données entre individus</w:t>
      </w:r>
      <w:r>
        <w:rPr>
          <w:rFonts w:cstheme="minorHAnsi"/>
          <w:sz w:val="24"/>
        </w:rPr>
        <w:t xml:space="preserve">.</w:t>
      </w:r>
      <w:r>
        <w:rPr>
          <w:rFonts w:cstheme="minorHAnsi"/>
          <w:sz w:val="24"/>
        </w:rPr>
      </w:r>
    </w:p>
    <w:p w14:paraId="1D41D504" w14:textId="756C3E79">
      <w:pPr>
        <w:pBdr/>
        <w:spacing/>
        <w:ind/>
        <w:jc w:val="both"/>
        <w:rPr>
          <w:rFonts w:cstheme="minorHAnsi"/>
          <w:sz w:val="24"/>
        </w:rPr>
      </w:pPr>
      <w:r>
        <w:rPr>
          <w:rFonts w:cstheme="minorHAnsi"/>
          <w:sz w:val="24"/>
        </w:rPr>
        <w:t xml:space="preserve">L</w:t>
      </w:r>
      <w:r>
        <w:rPr>
          <w:rFonts w:cstheme="minorHAnsi"/>
          <w:sz w:val="24"/>
        </w:rPr>
        <w:t xml:space="preserve">e </w:t>
      </w:r>
      <w:r>
        <w:rPr>
          <w:rFonts w:cstheme="minorHAnsi"/>
          <w:sz w:val="24"/>
        </w:rPr>
        <w:t xml:space="preserve">dvlpt</w:t>
      </w:r>
      <w:r>
        <w:rPr>
          <w:rFonts w:cstheme="minorHAnsi"/>
          <w:sz w:val="24"/>
        </w:rPr>
        <w:t xml:space="preserve"> des communautés virtuelles, et l’implication </w:t>
      </w:r>
      <w:r>
        <w:rPr>
          <w:rFonts w:cstheme="minorHAnsi"/>
          <w:sz w:val="24"/>
        </w:rPr>
        <w:t xml:space="preserve">forte des internautes dans ces communautés, ont poussé les entreprises à capitaliser sur l’aspect social du web, se </w:t>
      </w:r>
      <w:r>
        <w:rPr>
          <w:rFonts w:cstheme="minorHAnsi"/>
          <w:sz w:val="24"/>
        </w:rPr>
        <w:t xml:space="preserve">désintéressât sans doute de l’évolution </w:t>
      </w:r>
      <w:r>
        <w:rPr>
          <w:rFonts w:cstheme="minorHAnsi"/>
          <w:sz w:val="24"/>
        </w:rPr>
        <w:t xml:space="preserve">ultérieure qu’</w:t>
      </w:r>
      <w:r>
        <w:rPr>
          <w:rFonts w:cstheme="minorHAnsi"/>
          <w:sz w:val="24"/>
        </w:rPr>
        <w:t xml:space="preserve">est le web sémantique, dont les standards ne se sont pas imposés : si la majeure partie des internautes ont déjà</w:t>
      </w:r>
      <w:r>
        <w:rPr>
          <w:rFonts w:cstheme="minorHAnsi"/>
          <w:sz w:val="24"/>
        </w:rPr>
        <w:t xml:space="preserve"> utilisé un wiki, lu un blog, </w:t>
      </w:r>
      <w:r>
        <w:rPr>
          <w:rFonts w:cstheme="minorHAnsi"/>
          <w:sz w:val="24"/>
        </w:rPr>
        <w:t xml:space="preserve">combien ont utilisé SPARQL, même de manière inconsciente ?</w:t>
      </w:r>
      <w:r>
        <w:rPr>
          <w:rFonts w:cstheme="minorHAnsi"/>
          <w:sz w:val="24"/>
        </w:rPr>
        <w:t xml:space="preserve"> </w:t>
      </w:r>
      <w:r>
        <w:rPr>
          <w:rFonts w:cstheme="minorHAnsi"/>
          <w:sz w:val="24"/>
        </w:rPr>
      </w:r>
    </w:p>
    <w:p w14:paraId="7135D5EE" w14:textId="4806E768">
      <w:pPr>
        <w:pBdr/>
        <w:spacing/>
        <w:ind/>
        <w:jc w:val="both"/>
        <w:rPr>
          <w:rFonts w:cstheme="minorHAnsi"/>
          <w:sz w:val="24"/>
        </w:rPr>
      </w:pPr>
      <w:r>
        <w:rPr>
          <w:rFonts w:cstheme="minorHAnsi"/>
          <w:sz w:val="24"/>
        </w:rPr>
        <w:t xml:space="preserve">P</w:t>
      </w:r>
      <w:r>
        <w:rPr>
          <w:rFonts w:cstheme="minorHAnsi"/>
          <w:sz w:val="24"/>
        </w:rPr>
        <w:t xml:space="preserve">.63 : le W3C est le garant de l’interopérabilité du web. </w:t>
      </w:r>
      <w:r>
        <w:rPr>
          <w:rFonts w:cstheme="minorHAnsi"/>
          <w:sz w:val="24"/>
        </w:rPr>
      </w:r>
    </w:p>
    <w:p w14:paraId="4B009F57" w14:textId="74D53EC2">
      <w:pPr>
        <w:pBdr/>
        <w:spacing/>
        <w:ind/>
        <w:jc w:val="both"/>
        <w:rPr>
          <w:rFonts w:cstheme="minorHAnsi"/>
          <w:sz w:val="24"/>
        </w:rPr>
      </w:pPr>
      <w:r>
        <w:rPr>
          <w:rFonts w:cstheme="minorHAnsi"/>
          <w:sz w:val="24"/>
        </w:rPr>
        <w:t xml:space="preserve">La centralisation autour de</w:t>
      </w:r>
      <w:r>
        <w:rPr>
          <w:rFonts w:cstheme="minorHAnsi"/>
          <w:sz w:val="24"/>
        </w:rPr>
        <w:t xml:space="preserve"> </w:t>
      </w:r>
      <w:r>
        <w:rPr>
          <w:rFonts w:cstheme="minorHAnsi"/>
          <w:sz w:val="24"/>
        </w:rPr>
        <w:t xml:space="preserve">gdes</w:t>
      </w:r>
      <w:r>
        <w:rPr>
          <w:rFonts w:cstheme="minorHAnsi"/>
          <w:sz w:val="24"/>
        </w:rPr>
        <w:t xml:space="preserve"> plates-formes, notamment les réseaux sociaux, pose des pbs de gestion des données personnelles. </w:t>
      </w:r>
      <w:r>
        <w:rPr>
          <w:rFonts w:cstheme="minorHAnsi"/>
          <w:sz w:val="24"/>
        </w:rPr>
      </w:r>
    </w:p>
    <w:p w14:paraId="24BCC497" w14:textId="26A9D154">
      <w:pPr>
        <w:pBdr/>
        <w:spacing/>
        <w:ind/>
        <w:jc w:val="both"/>
        <w:rPr>
          <w:rFonts w:cstheme="minorHAnsi"/>
          <w:sz w:val="24"/>
        </w:rPr>
      </w:pPr>
      <w:r>
        <w:rPr>
          <w:rFonts w:cstheme="minorHAnsi"/>
          <w:sz w:val="24"/>
        </w:rPr>
        <w:t xml:space="preserve">Web sémantique : place bien moins importante : </w:t>
      </w:r>
      <w:r>
        <w:rPr>
          <w:rFonts w:cstheme="minorHAnsi"/>
          <w:sz w:val="24"/>
        </w:rPr>
        <w:t xml:space="preserve">au mieux il est au service des </w:t>
      </w:r>
      <w:r>
        <w:rPr>
          <w:rFonts w:cstheme="minorHAnsi"/>
          <w:sz w:val="24"/>
        </w:rPr>
        <w:t xml:space="preserve">dvlpts</w:t>
      </w:r>
      <w:r>
        <w:rPr>
          <w:rFonts w:cstheme="minorHAnsi"/>
          <w:sz w:val="24"/>
        </w:rPr>
        <w:t xml:space="preserve"> futurs.</w:t>
      </w:r>
      <w:r>
        <w:rPr>
          <w:rFonts w:cstheme="minorHAnsi"/>
          <w:sz w:val="24"/>
        </w:rPr>
      </w:r>
    </w:p>
    <w:p w14:paraId="78660DE3" w14:textId="0B2F0531">
      <w:pPr>
        <w:pBdr/>
        <w:spacing/>
        <w:ind/>
        <w:jc w:val="both"/>
        <w:rPr>
          <w:rFonts w:cstheme="minorHAnsi"/>
          <w:sz w:val="24"/>
        </w:rPr>
      </w:pPr>
      <w:r>
        <w:rPr>
          <w:rFonts w:cstheme="minorHAnsi"/>
          <w:sz w:val="24"/>
        </w:rPr>
        <w:t xml:space="preserve">Ajdh</w:t>
      </w:r>
      <w:r>
        <w:rPr>
          <w:rFonts w:cstheme="minorHAnsi"/>
          <w:sz w:val="24"/>
        </w:rPr>
        <w:t xml:space="preserve"> : </w:t>
      </w:r>
      <w:r>
        <w:rPr>
          <w:rFonts w:cstheme="minorHAnsi"/>
          <w:sz w:val="24"/>
        </w:rPr>
        <w:t xml:space="preserve">tte</w:t>
      </w:r>
      <w:r>
        <w:rPr>
          <w:rFonts w:cstheme="minorHAnsi"/>
          <w:sz w:val="24"/>
        </w:rPr>
        <w:t xml:space="preserve"> utilisation du web = tournée vers la contribution. Vague sociale du web : contribué à ré centraliser les lieux de l’information, qui sont ceux de la con</w:t>
      </w:r>
      <w:r>
        <w:rPr>
          <w:rFonts w:cstheme="minorHAnsi"/>
          <w:sz w:val="24"/>
        </w:rPr>
        <w:t xml:space="preserve">tribution. Heure actuelle : web centralisé, tourné autour de grands pôles.</w:t>
      </w:r>
      <w:r>
        <w:rPr>
          <w:rFonts w:cstheme="minorHAnsi"/>
          <w:sz w:val="24"/>
        </w:rPr>
      </w:r>
    </w:p>
    <w:p w14:paraId="46162138" w14:textId="19CD99D2">
      <w:pPr>
        <w:pBdr/>
        <w:spacing/>
        <w:ind/>
        <w:jc w:val="both"/>
        <w:rPr>
          <w:rFonts w:cstheme="minorHAnsi"/>
          <w:sz w:val="24"/>
        </w:rPr>
      </w:pPr>
      <w:r>
        <w:rPr>
          <w:rFonts w:cstheme="minorHAnsi"/>
          <w:sz w:val="24"/>
        </w:rPr>
        <w:t xml:space="preserve">P.64 : logique OAI-PMH peut être questionnée : logique d’une multiplicité de points d’accès, avec des services cons</w:t>
      </w:r>
      <w:r>
        <w:rPr>
          <w:rFonts w:cstheme="minorHAnsi"/>
          <w:sz w:val="24"/>
        </w:rPr>
        <w:t xml:space="preserve">truits selon les usages, n’est plus forcément adaptée. </w:t>
      </w:r>
      <w:r>
        <w:rPr>
          <w:rFonts w:cstheme="minorHAnsi"/>
          <w:sz w:val="24"/>
        </w:rPr>
      </w:r>
    </w:p>
    <w:p w14:paraId="3E8CFD54" w14:textId="221F8E1F">
      <w:pPr>
        <w:pBdr/>
        <w:spacing/>
        <w:ind/>
        <w:jc w:val="both"/>
        <w:rPr>
          <w:rFonts w:cstheme="minorHAnsi"/>
          <w:sz w:val="24"/>
        </w:rPr>
      </w:pPr>
      <w:r>
        <w:rPr>
          <w:rFonts w:cstheme="minorHAnsi"/>
          <w:sz w:val="24"/>
        </w:rPr>
        <w:t xml:space="preserve">En 2017 : recherche montre que les méta-catal</w:t>
      </w:r>
      <w:r>
        <w:rPr>
          <w:rFonts w:cstheme="minorHAnsi"/>
          <w:sz w:val="24"/>
        </w:rPr>
        <w:t xml:space="preserve">ogue tels qu’</w:t>
      </w:r>
      <w:r>
        <w:rPr>
          <w:rFonts w:cstheme="minorHAnsi"/>
          <w:sz w:val="24"/>
        </w:rPr>
        <w:t xml:space="preserve">OAIster</w:t>
      </w:r>
      <w:r>
        <w:rPr>
          <w:rFonts w:cstheme="minorHAnsi"/>
          <w:sz w:val="24"/>
        </w:rPr>
        <w:t xml:space="preserve"> avaient des points aveugles en terme</w:t>
      </w:r>
      <w:r>
        <w:rPr>
          <w:rFonts w:cstheme="minorHAnsi"/>
          <w:sz w:val="24"/>
        </w:rPr>
        <w:t xml:space="preserve">s</w:t>
      </w:r>
      <w:r>
        <w:rPr>
          <w:rFonts w:cstheme="minorHAnsi"/>
          <w:sz w:val="24"/>
        </w:rPr>
        <w:t xml:space="preserve"> de données exposées, et qu’un peu moins de la moitié (42,3%)</w:t>
      </w:r>
      <w:r>
        <w:rPr>
          <w:rFonts w:cstheme="minorHAnsi"/>
          <w:sz w:val="24"/>
        </w:rPr>
        <w:t xml:space="preserve"> des entrepôts OAI-PMH</w:t>
      </w:r>
      <w:r>
        <w:rPr>
          <w:rFonts w:cstheme="minorHAnsi"/>
          <w:sz w:val="24"/>
        </w:rPr>
        <w:t xml:space="preserve"> étaient spécifiques à un méta-</w:t>
      </w:r>
      <w:r>
        <w:rPr>
          <w:rFonts w:cstheme="minorHAnsi"/>
          <w:sz w:val="24"/>
        </w:rPr>
        <w:t xml:space="preserve">catalogu</w:t>
      </w:r>
      <w:r>
        <w:rPr>
          <w:rFonts w:cstheme="minorHAnsi"/>
          <w:sz w:val="24"/>
        </w:rPr>
        <w:t xml:space="preserve">. Cela signifie que pour avoir accès à des informations contenues dans des e</w:t>
      </w:r>
      <w:r>
        <w:rPr>
          <w:rFonts w:cstheme="minorHAnsi"/>
          <w:sz w:val="24"/>
        </w:rPr>
        <w:t xml:space="preserve">ntrepôts, les usager-e-s doivent avoir la volonté, et la possibilité de chercher potentiellement dans </w:t>
      </w:r>
      <w:r>
        <w:rPr>
          <w:rFonts w:cstheme="minorHAnsi"/>
          <w:sz w:val="24"/>
        </w:rPr>
        <w:t xml:space="preserve">plsrs</w:t>
      </w:r>
      <w:r>
        <w:rPr>
          <w:rFonts w:cstheme="minorHAnsi"/>
          <w:sz w:val="24"/>
        </w:rPr>
        <w:t xml:space="preserve"> </w:t>
      </w:r>
      <w:r>
        <w:rPr>
          <w:rFonts w:cstheme="minorHAnsi"/>
          <w:sz w:val="24"/>
        </w:rPr>
        <w:t xml:space="preserve">b</w:t>
      </w:r>
      <w:r>
        <w:rPr>
          <w:rFonts w:cstheme="minorHAnsi"/>
          <w:sz w:val="24"/>
        </w:rPr>
        <w:t xml:space="preserve">dd</w:t>
      </w:r>
      <w:r>
        <w:rPr>
          <w:rFonts w:cstheme="minorHAnsi"/>
          <w:sz w:val="24"/>
        </w:rPr>
        <w:t xml:space="preserve">.</w:t>
      </w:r>
      <w:r>
        <w:rPr>
          <w:rFonts w:cstheme="minorHAnsi"/>
          <w:sz w:val="24"/>
        </w:rPr>
      </w:r>
    </w:p>
    <w:p w14:paraId="7E5040E4" w14:textId="1D6E116D">
      <w:pPr>
        <w:pBdr/>
        <w:spacing/>
        <w:ind/>
        <w:jc w:val="both"/>
        <w:rPr>
          <w:rFonts w:cstheme="minorHAnsi"/>
          <w:sz w:val="24"/>
        </w:rPr>
      </w:pPr>
      <w:r>
        <w:rPr>
          <w:rFonts w:cstheme="minorHAnsi"/>
          <w:sz w:val="24"/>
        </w:rPr>
        <w:t xml:space="preserve">Bibliothèque numérique local</w:t>
      </w:r>
      <w:r>
        <w:rPr>
          <w:rFonts w:cstheme="minorHAnsi"/>
          <w:sz w:val="24"/>
        </w:rPr>
        <w:t xml:space="preserve">e : convient de penser un outil pratique et ergonomique, reconnaissable par les usager-e-s, ce qui pose</w:t>
      </w:r>
      <w:r>
        <w:rPr>
          <w:rFonts w:cstheme="minorHAnsi"/>
          <w:sz w:val="24"/>
        </w:rPr>
        <w:t xml:space="preserve"> des questions de coûts et de compétences.</w:t>
      </w:r>
      <w:r>
        <w:rPr>
          <w:rFonts w:cstheme="minorHAnsi"/>
          <w:sz w:val="24"/>
        </w:rPr>
      </w:r>
    </w:p>
    <w:p w14:paraId="04466E9C" w14:textId="0820E191">
      <w:pPr>
        <w:pBdr/>
        <w:spacing/>
        <w:ind/>
        <w:jc w:val="both"/>
        <w:rPr>
          <w:rFonts w:cstheme="minorHAnsi"/>
          <w:sz w:val="24"/>
        </w:rPr>
      </w:pPr>
      <w:r>
        <w:rPr>
          <w:rFonts w:cstheme="minorHAnsi"/>
          <w:sz w:val="24"/>
        </w:rPr>
        <w:t xml:space="preserve">À une </w:t>
      </w:r>
      <w:r>
        <w:rPr>
          <w:rFonts w:cstheme="minorHAnsi"/>
          <w:sz w:val="24"/>
        </w:rPr>
        <w:t xml:space="preserve">heure où des impératifs de réduction des coûts se multiplient, le versement de contenu dans une institution centrale ou le passage pa</w:t>
      </w:r>
      <w:r>
        <w:rPr>
          <w:rFonts w:cstheme="minorHAnsi"/>
          <w:sz w:val="24"/>
        </w:rPr>
        <w:t xml:space="preserve">r une solution Marque Blanche fait sens.</w:t>
      </w:r>
      <w:r>
        <w:rPr>
          <w:rFonts w:cstheme="minorHAnsi"/>
          <w:sz w:val="24"/>
        </w:rPr>
      </w:r>
    </w:p>
    <w:p w14:paraId="18665965" w14:textId="25D79F9B">
      <w:pPr>
        <w:pBdr/>
        <w:spacing/>
        <w:ind/>
        <w:jc w:val="both"/>
        <w:rPr>
          <w:rFonts w:cstheme="minorHAnsi"/>
          <w:sz w:val="24"/>
        </w:rPr>
      </w:pPr>
      <w:r>
        <w:rPr>
          <w:rFonts w:cstheme="minorHAnsi"/>
          <w:sz w:val="24"/>
        </w:rPr>
        <w:t xml:space="preserve">P.</w:t>
      </w:r>
      <w:r>
        <w:rPr>
          <w:rFonts w:cstheme="minorHAnsi"/>
          <w:sz w:val="24"/>
        </w:rPr>
        <w:t xml:space="preserve">65 : </w:t>
      </w:r>
      <w:r>
        <w:rPr>
          <w:rFonts w:cstheme="minorHAnsi"/>
          <w:sz w:val="24"/>
        </w:rPr>
        <w:t xml:space="preserve">po</w:t>
      </w:r>
      <w:r>
        <w:rPr>
          <w:rFonts w:cstheme="minorHAnsi"/>
          <w:sz w:val="24"/>
        </w:rPr>
        <w:t xml:space="preserve">ur les acteurs majeurs du numérique, l’importance est l’accès à la donnée, et la centralisation</w:t>
      </w:r>
      <w:r>
        <w:rPr>
          <w:rFonts w:cstheme="minorHAnsi"/>
          <w:sz w:val="24"/>
        </w:rPr>
        <w:t xml:space="preserve"> est une solution de choix, notamment pour entraîner des machin</w:t>
      </w:r>
      <w:r>
        <w:rPr>
          <w:rFonts w:cstheme="minorHAnsi"/>
          <w:sz w:val="24"/>
        </w:rPr>
        <w:t xml:space="preserve">es à effectuer </w:t>
      </w:r>
      <w:r>
        <w:rPr>
          <w:rFonts w:cstheme="minorHAnsi"/>
          <w:sz w:val="24"/>
        </w:rPr>
        <w:t xml:space="preserve">des tâches de manière automatisée (technologies de l’Intelligence Artificielle) ou pour améli</w:t>
      </w:r>
      <w:r>
        <w:rPr>
          <w:rFonts w:cstheme="minorHAnsi"/>
          <w:sz w:val="24"/>
        </w:rPr>
        <w:t xml:space="preserve">orer </w:t>
      </w:r>
      <w:r>
        <w:rPr>
          <w:rFonts w:cstheme="minorHAnsi"/>
          <w:sz w:val="24"/>
        </w:rPr>
        <w:t xml:space="preserve">le système de recherche</w:t>
      </w:r>
      <w:r>
        <w:rPr>
          <w:rFonts w:cstheme="minorHAnsi"/>
          <w:sz w:val="24"/>
        </w:rPr>
        <w:t xml:space="preserve">s sur le web.</w:t>
      </w:r>
      <w:r>
        <w:rPr>
          <w:rFonts w:cstheme="minorHAnsi"/>
          <w:sz w:val="24"/>
        </w:rPr>
      </w:r>
    </w:p>
    <w:p w14:paraId="584DB010" w14:textId="361ED553">
      <w:pPr>
        <w:pBdr/>
        <w:spacing/>
        <w:ind/>
        <w:jc w:val="both"/>
        <w:rPr>
          <w:rFonts w:cstheme="minorHAnsi"/>
          <w:sz w:val="24"/>
        </w:rPr>
      </w:pPr>
      <w:r>
        <w:rPr>
          <w:rFonts w:cstheme="minorHAnsi"/>
          <w:sz w:val="24"/>
        </w:rPr>
        <w:t xml:space="preserve">P</w:t>
      </w:r>
      <w:r>
        <w:rPr>
          <w:rFonts w:cstheme="minorHAnsi"/>
          <w:sz w:val="24"/>
        </w:rPr>
        <w:t xml:space="preserve">.67 : </w:t>
      </w:r>
      <w:r>
        <w:rPr>
          <w:rFonts w:cstheme="minorHAnsi"/>
          <w:sz w:val="24"/>
        </w:rPr>
        <w:t xml:space="preserve">en</w:t>
      </w:r>
      <w:r>
        <w:rPr>
          <w:rFonts w:cstheme="minorHAnsi"/>
          <w:sz w:val="24"/>
        </w:rPr>
        <w:t xml:space="preserve">jeu actuel : meilleur référencement, </w:t>
      </w:r>
      <w:r>
        <w:rPr>
          <w:rFonts w:cstheme="minorHAnsi"/>
          <w:sz w:val="24"/>
        </w:rPr>
        <w:t xml:space="preserve">càd</w:t>
      </w:r>
      <w:r>
        <w:rPr>
          <w:rFonts w:cstheme="minorHAnsi"/>
          <w:sz w:val="24"/>
        </w:rPr>
        <w:t xml:space="preserve"> une position parmi les premières pages web retournées par Google à la suite d’une recherche. L’un </w:t>
      </w:r>
      <w:r>
        <w:rPr>
          <w:rFonts w:cstheme="minorHAnsi"/>
          <w:sz w:val="24"/>
        </w:rPr>
        <w:t xml:space="preserve">des enjeux de la transition bibliographique, initiée par la BnF et l’ABES, est d’ailleurs de mieux faire remonter les collections des bibliothè</w:t>
      </w:r>
      <w:r>
        <w:rPr>
          <w:rFonts w:cstheme="minorHAnsi"/>
          <w:sz w:val="24"/>
        </w:rPr>
        <w:t xml:space="preserve">ques dans les moteurs de recherche, comme le dit Marianne </w:t>
      </w:r>
      <w:r>
        <w:rPr>
          <w:rFonts w:cstheme="minorHAnsi"/>
          <w:sz w:val="24"/>
        </w:rPr>
        <w:t xml:space="preserve">Clatin</w:t>
      </w:r>
      <w:r>
        <w:rPr>
          <w:rFonts w:cstheme="minorHAnsi"/>
          <w:sz w:val="24"/>
        </w:rPr>
        <w:t xml:space="preserve"> en 2016.</w:t>
      </w:r>
      <w:r>
        <w:rPr>
          <w:rFonts w:cstheme="minorHAnsi"/>
          <w:sz w:val="24"/>
        </w:rPr>
      </w:r>
    </w:p>
    <w:p w14:paraId="621EAE84" w14:textId="45DE1C12">
      <w:pPr>
        <w:pBdr/>
        <w:spacing/>
        <w:ind/>
        <w:jc w:val="both"/>
        <w:rPr>
          <w:rFonts w:cstheme="minorHAnsi"/>
          <w:sz w:val="24"/>
        </w:rPr>
      </w:pPr>
      <w:r>
        <w:rPr>
          <w:rFonts w:cstheme="minorHAnsi"/>
          <w:sz w:val="24"/>
        </w:rPr>
        <w:t xml:space="preserve">Avec le programme de la Transition Bibliographique, c’est un nouvel effort qui apparaît our mettre des ressources sur le chemin des usagers </w:t>
      </w:r>
      <w:r>
        <w:rPr>
          <w:rFonts w:cstheme="minorHAnsi"/>
          <w:sz w:val="24"/>
        </w:rPr>
        <w:t xml:space="preserve">et usagères dans l’environnement web. Mais le changement technolog</w:t>
      </w:r>
      <w:r>
        <w:rPr>
          <w:rFonts w:cstheme="minorHAnsi"/>
          <w:sz w:val="24"/>
        </w:rPr>
        <w:t xml:space="preserve">ique et la dissémination de cette technologie dans les institutions avancent dans deux temporalités très différentes : des entrepôts OAI</w:t>
      </w:r>
      <w:r>
        <w:rPr>
          <w:rFonts w:cstheme="minorHAnsi"/>
          <w:sz w:val="24"/>
        </w:rPr>
        <w:t xml:space="preserve">-PMH s’ouvrent encore à l’heure actuel</w:t>
      </w:r>
      <w:r>
        <w:rPr>
          <w:rFonts w:cstheme="minorHAnsi"/>
          <w:sz w:val="24"/>
        </w:rPr>
        <w:t xml:space="preserve">le</w:t>
      </w:r>
      <w:r>
        <w:rPr>
          <w:rFonts w:cstheme="minorHAnsi"/>
          <w:sz w:val="24"/>
        </w:rPr>
        <w:t xml:space="preserve">, le protocole Z</w:t>
      </w:r>
      <w:r>
        <w:rPr>
          <w:rFonts w:cstheme="minorHAnsi"/>
          <w:sz w:val="24"/>
        </w:rPr>
        <w:t xml:space="preserve">39-50 reste utilisé, et certaines bibliothèques s’informatisent pour la première fois en 2020. </w:t>
      </w:r>
      <w:r>
        <w:rPr>
          <w:rFonts w:cstheme="minorHAnsi"/>
          <w:sz w:val="24"/>
        </w:rPr>
      </w:r>
    </w:p>
    <w:p w14:paraId="16AB8551" w14:textId="1979EC9C">
      <w:pPr>
        <w:pBdr/>
        <w:spacing/>
        <w:ind/>
        <w:jc w:val="both"/>
        <w:rPr>
          <w:rFonts w:cstheme="minorHAnsi"/>
          <w:sz w:val="24"/>
        </w:rPr>
      </w:pPr>
      <w:r>
        <w:rPr>
          <w:rFonts w:cstheme="minorHAnsi"/>
          <w:sz w:val="24"/>
        </w:rPr>
        <w:t xml:space="preserve">P</w:t>
      </w:r>
      <w:r>
        <w:rPr>
          <w:rFonts w:cstheme="minorHAnsi"/>
          <w:sz w:val="24"/>
        </w:rPr>
        <w:t xml:space="preserve">.68 : </w:t>
      </w:r>
      <w:r>
        <w:rPr>
          <w:rFonts w:cstheme="minorHAnsi"/>
          <w:sz w:val="24"/>
        </w:rPr>
        <w:t xml:space="preserve">app</w:t>
      </w:r>
      <w:r>
        <w:rPr>
          <w:rFonts w:cstheme="minorHAnsi"/>
          <w:sz w:val="24"/>
        </w:rPr>
        <w:t xml:space="preserve">ort OAI-PMH : déplace des métadonnées depuis un entrepôt vers d’autres. </w:t>
      </w:r>
      <w:r>
        <w:rPr>
          <w:rFonts w:cstheme="minorHAnsi"/>
          <w:sz w:val="24"/>
        </w:rPr>
        <w:t xml:space="preserve">Circulation de manière efficace des métadonnées, et a </w:t>
      </w:r>
      <w:r>
        <w:rPr>
          <w:rFonts w:cstheme="minorHAnsi"/>
          <w:sz w:val="24"/>
        </w:rPr>
        <w:t xml:space="preserve">permis de créer des services à valeur ajoutée sur le web, notamment la constitution des collections diverses dans des biblioth</w:t>
      </w:r>
      <w:r>
        <w:rPr>
          <w:rFonts w:cstheme="minorHAnsi"/>
          <w:sz w:val="24"/>
        </w:rPr>
        <w:t xml:space="preserve">èques numériques.</w:t>
      </w:r>
      <w:r>
        <w:rPr>
          <w:rFonts w:cstheme="minorHAnsi"/>
          <w:sz w:val="24"/>
        </w:rPr>
      </w:r>
    </w:p>
    <w:p w14:paraId="3388E33A" w14:textId="0B86A9B7">
      <w:pPr>
        <w:pBdr/>
        <w:spacing/>
        <w:ind/>
        <w:jc w:val="both"/>
        <w:rPr>
          <w:rFonts w:cstheme="minorHAnsi"/>
          <w:sz w:val="24"/>
        </w:rPr>
      </w:pPr>
      <w:r>
        <w:rPr>
          <w:rFonts w:cstheme="minorHAnsi"/>
          <w:sz w:val="24"/>
        </w:rPr>
        <w:t xml:space="preserve">Importe de définir des objectifs, des priorités claires afin de faire, de la manière la plus commune p</w:t>
      </w:r>
      <w:r>
        <w:rPr>
          <w:rFonts w:cstheme="minorHAnsi"/>
          <w:sz w:val="24"/>
        </w:rPr>
        <w:t xml:space="preserve">ossible, le choix de solutions technologiques compatibles et interopérables, ou tout du moins compatibles.</w:t>
      </w:r>
      <w:r>
        <w:rPr>
          <w:rFonts w:cstheme="minorHAnsi"/>
          <w:sz w:val="24"/>
        </w:rPr>
      </w:r>
    </w:p>
    <w:p w14:paraId="7C2EF90D" w14:textId="6655E1A9">
      <w:pPr>
        <w:pBdr/>
        <w:spacing/>
        <w:ind/>
        <w:jc w:val="both"/>
        <w:rPr>
          <w:rFonts w:cstheme="minorHAnsi"/>
          <w:sz w:val="24"/>
        </w:rPr>
      </w:pPr>
      <w:r>
        <w:rPr>
          <w:rFonts w:cstheme="minorHAnsi"/>
          <w:sz w:val="24"/>
        </w:rPr>
        <w:t xml:space="preserve">Question : dans un monde où les changements structurels et l’adoption de standards généralisés se font sur le temps long, est-il utile, voire souh</w:t>
      </w:r>
      <w:r>
        <w:rPr>
          <w:rFonts w:cstheme="minorHAnsi"/>
          <w:sz w:val="24"/>
        </w:rPr>
        <w:t xml:space="preserve">aitable, de viser l’interopérabilité maximale ? L’avenir n’est-il pas plutôt dans une généralisation de la conversion, </w:t>
      </w:r>
      <w:r>
        <w:rPr>
          <w:rFonts w:cstheme="minorHAnsi"/>
          <w:sz w:val="24"/>
        </w:rPr>
        <w:t xml:space="preserve">c’est-à-dire à assumer l’hétérogénéité des contenus informationnels ?</w:t>
      </w:r>
      <w:r>
        <w:rPr>
          <w:rFonts w:cstheme="minorHAnsi"/>
          <w:sz w:val="24"/>
        </w:rPr>
      </w:r>
    </w:p>
    <w:p w14:paraId="32444E92" w14:textId="22133C25">
      <w:pPr>
        <w:pBdr/>
        <w:spacing/>
        <w:ind/>
        <w:jc w:val="both"/>
        <w:rPr>
          <w:rFonts w:cstheme="minorHAnsi"/>
          <w:sz w:val="24"/>
        </w:rPr>
      </w:pPr>
      <w:r>
        <w:rPr>
          <w:rFonts w:cstheme="minorHAnsi"/>
          <w:sz w:val="24"/>
        </w:rPr>
        <w:t xml:space="preserve">P</w:t>
      </w:r>
      <w:r>
        <w:rPr>
          <w:rFonts w:cstheme="minorHAnsi"/>
          <w:sz w:val="24"/>
        </w:rPr>
        <w:t xml:space="preserve">.69 : la mise au point d’une manière de décrire les docs sur le web, </w:t>
      </w:r>
      <w:r>
        <w:rPr>
          <w:rFonts w:cstheme="minorHAnsi"/>
          <w:i/>
          <w:iCs/>
          <w:sz w:val="24"/>
        </w:rPr>
        <w:t xml:space="preserve">Resource Description and Acc</w:t>
      </w:r>
      <w:r>
        <w:rPr>
          <w:rFonts w:cstheme="minorHAnsi"/>
          <w:i/>
          <w:iCs/>
          <w:sz w:val="24"/>
        </w:rPr>
        <w:t xml:space="preserve">ess </w:t>
      </w:r>
      <w:r>
        <w:rPr>
          <w:rFonts w:cstheme="minorHAnsi"/>
          <w:sz w:val="24"/>
        </w:rPr>
        <w:t xml:space="preserve">(RDA</w:t>
      </w:r>
      <w:r>
        <w:rPr>
          <w:rFonts w:cstheme="minorHAnsi"/>
          <w:sz w:val="24"/>
        </w:rPr>
        <w:t xml:space="preserve">) </w:t>
      </w:r>
      <w:r>
        <w:rPr>
          <w:rFonts w:cstheme="minorHAnsi"/>
          <w:sz w:val="24"/>
        </w:rPr>
        <w:t xml:space="preserve">cherche à créer un cadre général, mais se heurte aux </w:t>
      </w:r>
      <w:r>
        <w:rPr>
          <w:rFonts w:cstheme="minorHAnsi"/>
          <w:sz w:val="24"/>
        </w:rPr>
        <w:t xml:space="preserve">particularismes. </w:t>
      </w:r>
      <w:r>
        <w:rPr>
          <w:rFonts w:cstheme="minorHAnsi"/>
          <w:sz w:val="24"/>
        </w:rPr>
      </w:r>
    </w:p>
    <w:p w14:paraId="6774F3C6" w14:textId="05344DEE">
      <w:pPr>
        <w:pBdr/>
        <w:spacing/>
        <w:ind/>
        <w:jc w:val="both"/>
        <w:rPr>
          <w:rFonts w:cstheme="minorHAnsi"/>
          <w:sz w:val="24"/>
        </w:rPr>
      </w:pPr>
      <w:r>
        <w:rPr>
          <w:rFonts w:cstheme="minorHAnsi"/>
          <w:sz w:val="24"/>
        </w:rPr>
        <w:t xml:space="preserve">P</w:t>
      </w:r>
      <w:r>
        <w:rPr>
          <w:rFonts w:cstheme="minorHAnsi"/>
          <w:sz w:val="24"/>
        </w:rPr>
        <w:t xml:space="preserve">.70 : en 2017, Antoine </w:t>
      </w:r>
      <w:r>
        <w:rPr>
          <w:rFonts w:cstheme="minorHAnsi"/>
          <w:sz w:val="24"/>
        </w:rPr>
        <w:t xml:space="preserve">Courtin</w:t>
      </w:r>
      <w:r>
        <w:rPr>
          <w:rFonts w:cstheme="minorHAnsi"/>
          <w:sz w:val="24"/>
        </w:rPr>
        <w:t xml:space="preserve">, responsable de la cellule ingénierie documentaire à l’INHA, rapp</w:t>
      </w:r>
      <w:r>
        <w:rPr>
          <w:rFonts w:cstheme="minorHAnsi"/>
          <w:sz w:val="24"/>
        </w:rPr>
        <w:t xml:space="preserve">elle que les pratiques des chercheurs, </w:t>
      </w:r>
      <w:r>
        <w:rPr>
          <w:rFonts w:cstheme="minorHAnsi"/>
          <w:sz w:val="24"/>
        </w:rPr>
        <w:t xml:space="preserve">en termes de</w:t>
      </w:r>
      <w:r>
        <w:rPr>
          <w:rFonts w:cstheme="minorHAnsi"/>
          <w:sz w:val="24"/>
        </w:rPr>
        <w:t xml:space="preserve"> données, se limitent bien souvent à copier des données dans un document de traitement de texte.</w:t>
      </w:r>
      <w:r>
        <w:rPr>
          <w:rFonts w:cstheme="minorHAnsi"/>
          <w:sz w:val="24"/>
        </w:rPr>
        <w:t xml:space="preserve"> Dans </w:t>
      </w:r>
      <w:r>
        <w:rPr>
          <w:rFonts w:cstheme="minorHAnsi"/>
          <w:sz w:val="24"/>
        </w:rPr>
        <w:t xml:space="preserve">ce contexte, est-il opportun </w:t>
      </w:r>
      <w:r>
        <w:rPr>
          <w:rFonts w:cstheme="minorHAnsi"/>
          <w:sz w:val="24"/>
        </w:rPr>
        <w:t xml:space="preserve">de</w:t>
      </w:r>
      <w:r>
        <w:rPr>
          <w:rFonts w:cstheme="minorHAnsi"/>
          <w:sz w:val="24"/>
        </w:rPr>
        <w:t xml:space="preserve"> chercher </w:t>
      </w:r>
      <w:r>
        <w:rPr>
          <w:rFonts w:cstheme="minorHAnsi"/>
          <w:sz w:val="24"/>
        </w:rPr>
        <w:t xml:space="preserve">à </w:t>
      </w:r>
      <w:r>
        <w:rPr>
          <w:rFonts w:cstheme="minorHAnsi"/>
          <w:sz w:val="24"/>
        </w:rPr>
        <w:t xml:space="preserve">adopter des formats, des langages de requête, en somme des logiques qui ne sont pas ceux des communauté</w:t>
      </w:r>
      <w:r>
        <w:rPr>
          <w:rFonts w:cstheme="minorHAnsi"/>
          <w:sz w:val="24"/>
        </w:rPr>
        <w:t xml:space="preserve">s que l’on sert ?</w:t>
      </w:r>
      <w:r>
        <w:rPr>
          <w:rFonts w:cstheme="minorHAnsi"/>
          <w:sz w:val="24"/>
        </w:rPr>
      </w:r>
    </w:p>
    <w:p w14:paraId="09A77456" w14:textId="77777777">
      <w:pPr>
        <w:pBdr/>
        <w:spacing/>
        <w:ind/>
        <w:jc w:val="both"/>
        <w:rPr>
          <w:rFonts w:cstheme="minorHAnsi"/>
          <w:sz w:val="24"/>
        </w:rPr>
      </w:pPr>
      <w:r>
        <w:rPr>
          <w:rFonts w:cstheme="minorHAnsi"/>
          <w:sz w:val="24"/>
        </w:rPr>
        <w:t xml:space="preserve">U</w:t>
      </w:r>
      <w:r>
        <w:rPr>
          <w:rFonts w:cstheme="minorHAnsi"/>
          <w:sz w:val="24"/>
        </w:rPr>
        <w:t xml:space="preserve">sage des technologies du web sémantique a un potentiel fort d’amé</w:t>
      </w:r>
      <w:r>
        <w:rPr>
          <w:rFonts w:cstheme="minorHAnsi"/>
          <w:sz w:val="24"/>
        </w:rPr>
        <w:t xml:space="preserve">lioration des services rendus aux usagers, mais de ces objectifs découlent des approches totalement différentes. Utiliser ces technologies en back-o</w:t>
      </w:r>
      <w:r>
        <w:rPr>
          <w:rFonts w:cstheme="minorHAnsi"/>
          <w:sz w:val="24"/>
        </w:rPr>
        <w:t xml:space="preserve">ffice est une possibilité : répondre à des questions spécifiques d’usager-e-s avec SPARQL ou fournir des données par des extractions </w:t>
      </w:r>
      <w:r>
        <w:rPr>
          <w:rFonts w:cstheme="minorHAnsi"/>
          <w:sz w:val="24"/>
        </w:rPr>
        <w:t xml:space="preserve">à la demande, par exemple, sans faire la promo du moyen utilisé. </w:t>
      </w:r>
      <w:r>
        <w:rPr>
          <w:rFonts w:cstheme="minorHAnsi"/>
          <w:sz w:val="24"/>
        </w:rPr>
      </w:r>
    </w:p>
    <w:p w14:paraId="1FD366F5" w14:textId="5EEB72FE">
      <w:pPr>
        <w:pBdr/>
        <w:spacing/>
        <w:ind/>
        <w:jc w:val="both"/>
        <w:rPr>
          <w:rFonts w:cstheme="minorHAnsi"/>
          <w:sz w:val="24"/>
        </w:rPr>
      </w:pPr>
      <w:r>
        <w:rPr>
          <w:lang w:eastAsia="fr-FR"/>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3175</wp:posOffset>
                </wp:positionH>
                <wp:positionV relativeFrom="paragraph">
                  <wp:posOffset>297180</wp:posOffset>
                </wp:positionV>
                <wp:extent cx="4811395" cy="3521710"/>
                <wp:effectExtent l="0" t="0" r="1905"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90054" name=""/>
                        <pic:cNvPicPr>
                          <a:picLocks noChangeAspect="1"/>
                        </pic:cNvPicPr>
                        <pic:nvPr/>
                      </pic:nvPicPr>
                      <pic:blipFill rotWithShape="1">
                        <a:blip r:embed="rId9"/>
                        <a:stretch/>
                      </pic:blipFill>
                      <pic:spPr bwMode="auto">
                        <a:xfrm>
                          <a:off x="0" y="0"/>
                          <a:ext cx="4811395" cy="3521709"/>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text;margin-left:0.25pt;mso-position-horizontal:absolute;mso-position-vertical-relative:text;margin-top:23.40pt;mso-position-vertical:absolute;width:378.85pt;height:277.30pt;mso-wrap-distance-left:9.00pt;mso-wrap-distance-top:0.00pt;mso-wrap-distance-right:9.00pt;mso-wrap-distance-bottom:0.00pt;z-index:1;" stroked="false">
                <w10:wrap type="topAndBottom"/>
                <v:imagedata r:id="rId9" o:title=""/>
                <o:lock v:ext="edit" rotation="t"/>
              </v:shape>
            </w:pict>
          </mc:Fallback>
        </mc:AlternateContent>
      </w:r>
      <w:r>
        <w:rPr>
          <w:rFonts w:cstheme="minorHAnsi"/>
          <w:sz w:val="24"/>
        </w:rPr>
      </w:r>
    </w:p>
    <w:p w14:paraId="0037DDA2" w14:textId="77777777">
      <w:pPr>
        <w:pBdr/>
        <w:spacing/>
        <w:ind/>
        <w:jc w:val="both"/>
        <w:rPr>
          <w:rFonts w:cstheme="minorHAnsi"/>
          <w:sz w:val="24"/>
        </w:rPr>
      </w:pPr>
      <w:r>
        <w:rPr>
          <w:rFonts w:cstheme="minorHAnsi"/>
          <w:sz w:val="24"/>
        </w:rPr>
      </w:r>
      <w:r>
        <w:rPr>
          <w:rFonts w:cstheme="minorHAnsi"/>
          <w:sz w:val="24"/>
        </w:rPr>
      </w:r>
    </w:p>
    <w:p w14:paraId="756F4C39" w14:textId="77DCF9D7">
      <w:pPr>
        <w:pBdr/>
        <w:spacing/>
        <w:ind/>
        <w:jc w:val="both"/>
        <w:rPr>
          <w:rFonts w:cstheme="minorHAnsi"/>
          <w:sz w:val="24"/>
        </w:rPr>
      </w:pPr>
      <w:r>
        <w:rPr>
          <w:rFonts w:cstheme="minorHAnsi"/>
          <w:sz w:val="24"/>
        </w:rPr>
        <w:t xml:space="preserve">P</w:t>
      </w:r>
      <w:r>
        <w:rPr>
          <w:rFonts w:cstheme="minorHAnsi"/>
          <w:sz w:val="24"/>
        </w:rPr>
        <w:t xml:space="preserve">.81 : la transition bibliographique est la traduction nationale de cette ambition, et elle s’applique en même temps aux bibliothèques universitaires (à travers l’ABES° et de lecture </w:t>
      </w:r>
      <w:r>
        <w:rPr>
          <w:rFonts w:cstheme="minorHAnsi"/>
          <w:sz w:val="24"/>
        </w:rPr>
        <w:t xml:space="preserve">publique (à travers la BnF). Publication du code de catalogage RDA en 2010 amorce une réflexion fr a</w:t>
      </w:r>
      <w:r>
        <w:rPr>
          <w:rFonts w:cstheme="minorHAnsi"/>
          <w:sz w:val="24"/>
        </w:rPr>
        <w:t xml:space="preserve">utour de son éventuelle adoption. </w:t>
      </w:r>
      <w:r>
        <w:rPr>
          <w:rFonts w:cstheme="minorHAnsi"/>
          <w:sz w:val="24"/>
        </w:rPr>
      </w:r>
    </w:p>
    <w:p w14:paraId="354202DE" w14:textId="21DF07DE">
      <w:pPr>
        <w:pBdr/>
        <w:spacing/>
        <w:ind/>
        <w:jc w:val="both"/>
        <w:rPr>
          <w:rFonts w:cstheme="minorHAnsi"/>
          <w:sz w:val="24"/>
        </w:rPr>
      </w:pPr>
      <w:r>
        <w:rPr>
          <w:rFonts w:cstheme="minorHAnsi"/>
          <w:sz w:val="24"/>
        </w:rPr>
        <w:t xml:space="preserve">Plusieurs étapes : tests par des </w:t>
      </w:r>
      <w:r>
        <w:rPr>
          <w:rFonts w:cstheme="minorHAnsi"/>
          <w:sz w:val="24"/>
        </w:rPr>
        <w:t xml:space="preserve">gpes</w:t>
      </w:r>
      <w:r>
        <w:rPr>
          <w:rFonts w:cstheme="minorHAnsi"/>
          <w:sz w:val="24"/>
        </w:rPr>
        <w:t xml:space="preserve"> d’expert-e-s, mise en place d’un </w:t>
      </w:r>
      <w:r>
        <w:rPr>
          <w:rFonts w:cstheme="minorHAnsi"/>
          <w:sz w:val="24"/>
        </w:rPr>
        <w:t xml:space="preserve">gpe</w:t>
      </w:r>
      <w:r>
        <w:rPr>
          <w:rFonts w:cstheme="minorHAnsi"/>
          <w:sz w:val="24"/>
        </w:rPr>
        <w:t xml:space="preserve"> stratégi</w:t>
      </w:r>
      <w:r>
        <w:rPr>
          <w:rFonts w:cstheme="minorHAnsi"/>
          <w:sz w:val="24"/>
        </w:rPr>
        <w:t xml:space="preserve">que, puis d’un comité stratégique bibliographique. Les différents acteurs de ces </w:t>
      </w:r>
      <w:r>
        <w:rPr>
          <w:rFonts w:cstheme="minorHAnsi"/>
          <w:sz w:val="24"/>
        </w:rPr>
        <w:t xml:space="preserve">étapents</w:t>
      </w:r>
      <w:r>
        <w:rPr>
          <w:rFonts w:cstheme="minorHAnsi"/>
          <w:sz w:val="24"/>
        </w:rPr>
        <w:t xml:space="preserve"> : bibliothécaires, AFNOR, différents ministères de tutelles et organism</w:t>
      </w:r>
      <w:r>
        <w:rPr>
          <w:rFonts w:cstheme="minorHAnsi"/>
          <w:sz w:val="24"/>
        </w:rPr>
        <w:t xml:space="preserve">es de formation. </w:t>
      </w:r>
      <w:r>
        <w:rPr>
          <w:rFonts w:cstheme="minorHAnsi"/>
          <w:sz w:val="24"/>
        </w:rPr>
      </w:r>
    </w:p>
    <w:p w14:paraId="4B8DBE3D" w14:textId="124C3CE8">
      <w:pPr>
        <w:pBdr/>
        <w:spacing/>
        <w:ind/>
        <w:jc w:val="both"/>
        <w:rPr>
          <w:rFonts w:cstheme="minorHAnsi"/>
          <w:sz w:val="24"/>
        </w:rPr>
      </w:pPr>
      <w:r>
        <w:rPr>
          <w:rFonts w:cstheme="minorHAnsi"/>
          <w:sz w:val="24"/>
        </w:rPr>
        <w:t xml:space="preserve">Problématiques : changement commun </w:t>
      </w:r>
      <w:r>
        <w:rPr>
          <w:rFonts w:cstheme="minorHAnsi"/>
          <w:sz w:val="24"/>
        </w:rPr>
        <w:t xml:space="preserve">des pratiques implique une organisation englobante, et une progression prudente. Ne pas impliquer les différentes parties prenantes dans le processus, c’est prendre le risque de ne pas</w:t>
      </w:r>
      <w:r>
        <w:rPr>
          <w:rFonts w:cstheme="minorHAnsi"/>
          <w:sz w:val="24"/>
        </w:rPr>
        <w:t xml:space="preserve"> parvenir à créer un véritable changement, et donc de perpétuer une incohérence forte dans l’exposition de nos données, ce qui pose un véritable problème </w:t>
      </w:r>
      <w:r>
        <w:rPr>
          <w:rFonts w:cstheme="minorHAnsi"/>
          <w:sz w:val="24"/>
        </w:rPr>
        <w:t xml:space="preserve">pour répondre aux défis communs et particuliers qui sont ceux de la profession.</w:t>
      </w:r>
      <w:r>
        <w:rPr>
          <w:rFonts w:cstheme="minorHAnsi"/>
          <w:sz w:val="24"/>
        </w:rPr>
      </w:r>
    </w:p>
    <w:p w14:paraId="7255CE58" w14:textId="26E6FF26">
      <w:pPr>
        <w:pBdr/>
        <w:spacing/>
        <w:ind/>
        <w:jc w:val="both"/>
        <w:rPr>
          <w:rFonts w:cstheme="minorHAnsi"/>
          <w:sz w:val="24"/>
        </w:rPr>
      </w:pPr>
      <w:r>
        <w:rPr>
          <w:rFonts w:cstheme="minorHAnsi"/>
          <w:sz w:val="24"/>
        </w:rPr>
        <w:t xml:space="preserve">T</w:t>
      </w:r>
      <w:r>
        <w:rPr>
          <w:rFonts w:cstheme="minorHAnsi"/>
          <w:sz w:val="24"/>
        </w:rPr>
        <w:t xml:space="preserve">ransition bibliographique : objectif de faire mieux remonter les données des bibliothèques dans les moteurs de recherche, par des moyens différents.</w:t>
      </w:r>
      <w:r>
        <w:rPr>
          <w:rFonts w:cstheme="minorHAnsi"/>
          <w:sz w:val="24"/>
        </w:rPr>
      </w:r>
    </w:p>
    <w:p w14:paraId="0CB803EB" w14:textId="2B30D0B4">
      <w:pPr>
        <w:pBdr/>
        <w:spacing/>
        <w:ind/>
        <w:jc w:val="both"/>
        <w:rPr>
          <w:rFonts w:cstheme="minorHAnsi"/>
          <w:sz w:val="24"/>
        </w:rPr>
      </w:pPr>
      <w:r>
        <w:rPr>
          <w:rFonts w:cstheme="minorHAnsi"/>
          <w:sz w:val="24"/>
        </w:rPr>
        <w:t xml:space="preserve">P.84 : exposition des données des bibliothèques en RDF = interrogation via le langage de requête SPARQL. </w:t>
      </w:r>
      <w:r>
        <w:rPr>
          <w:rFonts w:cstheme="minorHAnsi"/>
          <w:sz w:val="24"/>
        </w:rPr>
      </w:r>
    </w:p>
    <w:p w14:paraId="5D57EFD4" w14:textId="01C4F73C">
      <w:pPr>
        <w:pBdr/>
        <w:spacing/>
        <w:ind/>
        <w:jc w:val="both"/>
        <w:rPr>
          <w:rFonts w:cstheme="minorHAnsi"/>
          <w:sz w:val="24"/>
        </w:rPr>
      </w:pPr>
      <w:r>
        <w:rPr>
          <w:rFonts w:cstheme="minorHAnsi"/>
          <w:sz w:val="24"/>
        </w:rPr>
        <w:t xml:space="preserve">P.85 : diffusion des technologies du web sémantique peut ainsi se faire par le lien particulier tissé avec les chercheurs et chercheuses, mais aussi des personn</w:t>
      </w:r>
      <w:r>
        <w:rPr>
          <w:rFonts w:cstheme="minorHAnsi"/>
          <w:sz w:val="24"/>
        </w:rPr>
        <w:t xml:space="preserve">els, par exemple pour organiser une exposition, créer une bibliographie particulière, effectuer une recension d’ouvrages, autant de cas où une requête SPARQL </w:t>
      </w:r>
      <w:r>
        <w:rPr>
          <w:rFonts w:cstheme="minorHAnsi"/>
          <w:sz w:val="24"/>
        </w:rPr>
        <w:t xml:space="preserve">peut être utile. Diffuser ces technologies </w:t>
      </w:r>
      <w:r>
        <w:rPr>
          <w:rFonts w:cstheme="minorHAnsi"/>
          <w:sz w:val="24"/>
        </w:rPr>
        <w:t xml:space="preserve">auprès d’un public amené à utiliser des données, à utiliser nos collections permet d’encourager des utilisation s plus riches de celles-ci.</w:t>
      </w:r>
      <w:r>
        <w:rPr>
          <w:rFonts w:cstheme="minorHAnsi"/>
          <w:sz w:val="24"/>
        </w:rPr>
      </w:r>
    </w:p>
    <w:p w14:paraId="4E6F692A" w14:textId="6869B1D1">
      <w:pPr>
        <w:pStyle w:val="677"/>
        <w:pBdr/>
        <w:spacing/>
        <w:ind/>
        <w:jc w:val="both"/>
        <w:rPr>
          <w:rFonts w:asciiTheme="minorHAnsi" w:hAnsiTheme="minorHAnsi" w:cstheme="minorHAnsi"/>
          <w:b/>
          <w:color w:val="auto"/>
          <w:sz w:val="28"/>
        </w:rPr>
      </w:pPr>
      <w:r>
        <w:rPr>
          <w:rFonts w:asciiTheme="minorHAnsi" w:hAnsiTheme="minorHAnsi" w:cstheme="minorHAnsi"/>
          <w:b/>
          <w:color w:val="auto"/>
          <w:sz w:val="28"/>
        </w:rPr>
        <w:t xml:space="preserve">Elina Leblanc. Bibliothèques numériques enrichies et participatives : Utilisateurs, services, interfaces. Bibliothèque électronique [</w:t>
      </w:r>
      <w:r>
        <w:rPr>
          <w:rFonts w:asciiTheme="minorHAnsi" w:hAnsiTheme="minorHAnsi" w:cstheme="minorHAnsi"/>
          <w:b/>
          <w:color w:val="auto"/>
          <w:sz w:val="28"/>
        </w:rPr>
        <w:t xml:space="preserve">cs.DL</w:t>
      </w:r>
      <w:r>
        <w:rPr>
          <w:rFonts w:asciiTheme="minorHAnsi" w:hAnsiTheme="minorHAnsi" w:cstheme="minorHAnsi"/>
          <w:b/>
          <w:color w:val="auto"/>
          <w:sz w:val="28"/>
        </w:rPr>
        <w:t xml:space="preserve">]. Grenoble UGA - Université Grenoble Alpes, 2019.</w:t>
      </w:r>
      <w:r>
        <w:rPr>
          <w:rFonts w:asciiTheme="minorHAnsi" w:hAnsiTheme="minorHAnsi" w:cstheme="minorHAnsi"/>
          <w:b/>
          <w:color w:val="auto"/>
          <w:sz w:val="28"/>
        </w:rPr>
      </w:r>
    </w:p>
    <w:p w14:paraId="39D780B5" w14:textId="77777777">
      <w:pPr>
        <w:pBdr/>
        <w:spacing/>
        <w:ind/>
        <w:rPr/>
      </w:pPr>
      <w:r/>
      <w:r/>
    </w:p>
    <w:p w14:paraId="7F8D123E" w14:textId="416157BB">
      <w:pPr>
        <w:pStyle w:val="678"/>
        <w:pBdr/>
        <w:spacing/>
        <w:ind/>
        <w:jc w:val="both"/>
        <w:rPr>
          <w:rFonts w:asciiTheme="minorHAnsi" w:hAnsiTheme="minorHAnsi" w:cstheme="minorHAnsi"/>
          <w:b/>
          <w:color w:val="auto"/>
          <w:sz w:val="28"/>
        </w:rPr>
      </w:pPr>
      <w:r>
        <w:rPr>
          <w:rFonts w:asciiTheme="minorHAnsi" w:hAnsiTheme="minorHAnsi" w:cstheme="minorHAnsi"/>
          <w:b/>
          <w:color w:val="auto"/>
          <w:sz w:val="28"/>
        </w:rPr>
        <w:t xml:space="preserve">Chapitre 1 : Les bibliothèques numériques agrégatives et spécialisées. Définition, contexte, enjeux.</w:t>
      </w:r>
      <w:r>
        <w:rPr>
          <w:rFonts w:asciiTheme="minorHAnsi" w:hAnsiTheme="minorHAnsi" w:cstheme="minorHAnsi"/>
          <w:b/>
          <w:color w:val="auto"/>
          <w:sz w:val="28"/>
        </w:rPr>
      </w:r>
    </w:p>
    <w:p w14:paraId="33BB473C" w14:textId="5A2455F6">
      <w:pPr>
        <w:pBdr/>
        <w:spacing/>
        <w:ind/>
        <w:jc w:val="both"/>
        <w:rPr>
          <w:sz w:val="24"/>
        </w:rPr>
      </w:pPr>
      <w:r>
        <w:rPr>
          <w:sz w:val="24"/>
        </w:rPr>
        <w:t xml:space="preserve">p.35-64 :</w:t>
      </w:r>
      <w:r>
        <w:rPr>
          <w:sz w:val="24"/>
        </w:rPr>
      </w:r>
    </w:p>
    <w:p w14:paraId="3F02B14F" w14:textId="196BC6D6">
      <w:pPr>
        <w:pBdr/>
        <w:spacing/>
        <w:ind/>
        <w:jc w:val="both"/>
        <w:rPr>
          <w:sz w:val="24"/>
        </w:rPr>
      </w:pPr>
      <w:r>
        <w:rPr>
          <w:sz w:val="24"/>
        </w:rPr>
        <w:t xml:space="preserve">p.35 :</w:t>
      </w:r>
      <w:r>
        <w:rPr>
          <w:sz w:val="24"/>
        </w:rPr>
      </w:r>
    </w:p>
    <w:p w14:paraId="56B7D010" w14:textId="0EA1715E">
      <w:pPr>
        <w:pBdr/>
        <w:spacing/>
        <w:ind/>
        <w:jc w:val="both"/>
        <w:rPr>
          <w:sz w:val="24"/>
        </w:rPr>
      </w:pPr>
      <w:r>
        <w:rPr>
          <w:sz w:val="24"/>
        </w:rPr>
        <w:t xml:space="preserve">Connaître </w:t>
      </w:r>
      <w:r>
        <w:rPr>
          <w:sz w:val="24"/>
        </w:rPr>
        <w:t xml:space="preserve">précisément la nature de sa bibliothèque numérique, ses enjeux et ses contraintes est le premier pas vers la définition d’une offre de services pertinente, qui prenne en compte chaque aspect de la bibliothèque.</w:t>
      </w:r>
      <w:r>
        <w:rPr>
          <w:sz w:val="24"/>
        </w:rPr>
      </w:r>
    </w:p>
    <w:p w14:paraId="6286D3C6" w14:textId="04FFC415">
      <w:pPr>
        <w:pBdr/>
        <w:spacing/>
        <w:ind/>
        <w:jc w:val="both"/>
        <w:rPr>
          <w:sz w:val="24"/>
        </w:rPr>
      </w:pPr>
      <w:r>
        <w:rPr>
          <w:sz w:val="24"/>
        </w:rPr>
        <w:t xml:space="preserve">La mise au point de ces portails thématiques s’accompagne de nombreux enjeux en termes de constitution des collections, dans la mesure où les contenus proviennent de plusieurs institutions. De la méthode sélectionnée pour constitue</w:t>
      </w:r>
      <w:r>
        <w:rPr>
          <w:sz w:val="24"/>
        </w:rPr>
        <w:t xml:space="preserve">r les collections découlent alors des enjeux non seulement en termes de présentation et de visualisation des données, mais également en termes d’expérience des utilisateurs avec ces données. Les portails, qu’ils soient généraux ou thématiques, viennent en </w:t>
      </w:r>
      <w:r>
        <w:rPr>
          <w:sz w:val="24"/>
        </w:rPr>
        <w:t xml:space="preserve">effet interroger les méthodes traditionnellement utilisées pour les bibliothèques numériques pour acquérir et organiser leurs collections, et remettent en question les règles ergonomiques établies pour assurer une expérience satisfaisante aux utilisateurs.</w:t>
      </w:r>
      <w:r>
        <w:rPr>
          <w:sz w:val="24"/>
        </w:rPr>
      </w:r>
    </w:p>
    <w:p w14:paraId="563E4C8B" w14:textId="084BCFA0">
      <w:pPr>
        <w:pBdr/>
        <w:spacing/>
        <w:ind/>
        <w:jc w:val="both"/>
        <w:rPr>
          <w:sz w:val="24"/>
        </w:rPr>
      </w:pPr>
      <w:r>
        <w:rPr>
          <w:sz w:val="24"/>
        </w:rPr>
        <w:t xml:space="preserve">p.37</w:t>
      </w:r>
      <w:r>
        <w:rPr>
          <w:sz w:val="24"/>
        </w:rPr>
        <w:t xml:space="preserve"> : Les bibliothèques numériques : un monde de diversité</w:t>
      </w:r>
      <w:r>
        <w:rPr>
          <w:sz w:val="24"/>
        </w:rPr>
      </w:r>
    </w:p>
    <w:p w14:paraId="1980A7AC" w14:textId="07C3ED80">
      <w:pPr>
        <w:pBdr/>
        <w:spacing/>
        <w:ind/>
        <w:jc w:val="both"/>
        <w:rPr>
          <w:sz w:val="24"/>
        </w:rPr>
      </w:pPr>
      <w:r>
        <w:rPr>
          <w:sz w:val="24"/>
        </w:rPr>
        <w:t xml:space="preserve">une</w:t>
      </w:r>
      <w:r>
        <w:rPr>
          <w:sz w:val="24"/>
        </w:rPr>
        <w:t xml:space="preserve"> notion complexe et multiple </w:t>
      </w:r>
      <w:r>
        <w:rPr>
          <w:sz w:val="24"/>
        </w:rPr>
      </w:r>
    </w:p>
    <w:p w14:paraId="027AEFD1" w14:textId="61B06C4E">
      <w:pPr>
        <w:pBdr/>
        <w:spacing/>
        <w:ind/>
        <w:jc w:val="both"/>
        <w:rPr>
          <w:sz w:val="24"/>
        </w:rPr>
      </w:pPr>
      <w:r>
        <w:rPr>
          <w:sz w:val="24"/>
        </w:rPr>
        <w:t xml:space="preserve">concept</w:t>
      </w:r>
      <w:r>
        <w:rPr>
          <w:sz w:val="24"/>
        </w:rPr>
        <w:t xml:space="preserve"> de bibliothèque numérique est apparu au milieu des années 1990. La documentation numérique était déjà présente dans les bibliothèques analogiques, mais ces dernières ne la considéraient pas encore comme une </w:t>
      </w:r>
      <w:r>
        <w:rPr>
          <w:sz w:val="24"/>
        </w:rPr>
        <w:t xml:space="preserve">entité indépendante de leurs autres collections.</w:t>
      </w:r>
      <w:r>
        <w:rPr>
          <w:sz w:val="24"/>
        </w:rPr>
      </w:r>
    </w:p>
    <w:p w14:paraId="4837DE74" w14:textId="3725FA93">
      <w:pPr>
        <w:pBdr/>
        <w:spacing/>
        <w:ind/>
        <w:jc w:val="both"/>
        <w:rPr>
          <w:sz w:val="24"/>
        </w:rPr>
      </w:pPr>
      <w:r>
        <w:rPr>
          <w:sz w:val="24"/>
        </w:rPr>
        <w:t xml:space="preserve">En 2000, Candy Schwartz relève soixante-quatre définitions différentes. Ce chiffre met en lumière un fait bien admis par les spécialistes : la notion de bibliothèque numérique est floue et difficilement définissable. </w:t>
      </w:r>
      <w:r>
        <w:rPr>
          <w:sz w:val="24"/>
        </w:rPr>
      </w:r>
    </w:p>
    <w:p w14:paraId="470AAC46" w14:textId="66263153">
      <w:pPr>
        <w:pBdr/>
        <w:spacing/>
        <w:ind/>
        <w:jc w:val="both"/>
        <w:rPr>
          <w:sz w:val="24"/>
        </w:rPr>
      </w:pPr>
      <w:r>
        <w:rPr>
          <w:sz w:val="24"/>
        </w:rPr>
        <w:t xml:space="preserve">Dès l’apparition de ce concept, les définitions se séparent en deux</w:t>
      </w:r>
      <w:r>
        <w:rPr>
          <w:sz w:val="24"/>
        </w:rPr>
        <w:t xml:space="preserve"> courants. D’un côté, se trouve la recherche en informatique, qui met l’accent sur la spécificité de la documentation numérique et sur les nouvelles technologies. De l’autre côté, se trouve le monde des bibliothèques, qui perçoit les bibliothèques numériqu</w:t>
      </w:r>
      <w:r>
        <w:rPr>
          <w:sz w:val="24"/>
        </w:rPr>
        <w:t xml:space="preserve">es soit comme des bibliothèques augmentées, c’est-à-dire des extensions des missions traditionnelles et des services des bibliothèques analogiques ; soit comme des bibliothèques hybrides, c’est-à-dire un mélange entre collections analogiques et numériques.</w:t>
      </w:r>
      <w:r>
        <w:rPr>
          <w:sz w:val="24"/>
        </w:rPr>
      </w:r>
    </w:p>
    <w:p w14:paraId="623F3AA8" w14:textId="026131C1">
      <w:pPr>
        <w:pBdr/>
        <w:spacing/>
        <w:ind/>
        <w:jc w:val="both"/>
        <w:rPr>
          <w:sz w:val="24"/>
        </w:rPr>
      </w:pPr>
      <w:r>
        <w:rPr>
          <w:sz w:val="24"/>
        </w:rPr>
        <w:t xml:space="preserve">Au début des années 2000, de nouvelles définitions tentent de réconcilier les deux approches, Christine </w:t>
      </w:r>
      <w:r>
        <w:rPr>
          <w:sz w:val="24"/>
        </w:rPr>
        <w:t xml:space="preserve">Borgman</w:t>
      </w:r>
      <w:r>
        <w:rPr>
          <w:sz w:val="24"/>
        </w:rPr>
        <w:t xml:space="preserve"> envisage les bibliothèques numériques comme des systèmes de recherche et de consultation de documents électroniques, qui ont été préalablement collectés, puis constitués en collections afin de répondre aux besoins de leurs utilisateurs.</w:t>
      </w:r>
      <w:r>
        <w:rPr>
          <w:sz w:val="24"/>
        </w:rPr>
      </w:r>
    </w:p>
    <w:p w14:paraId="65BE5D14" w14:textId="28996537">
      <w:pPr>
        <w:pBdr/>
        <w:spacing/>
        <w:ind/>
        <w:jc w:val="both"/>
        <w:rPr>
          <w:sz w:val="24"/>
        </w:rPr>
      </w:pPr>
      <w:r>
        <w:rPr>
          <w:sz w:val="24"/>
        </w:rPr>
        <w:t xml:space="preserve">William Arms définit les bibliothèques numériques comme des collections structurées en réseau et manipulables grâce à un ensemble de services.</w:t>
      </w:r>
      <w:r>
        <w:rPr>
          <w:sz w:val="24"/>
        </w:rPr>
      </w:r>
    </w:p>
    <w:p w14:paraId="1FCCB20B" w14:textId="5B9751BC">
      <w:pPr>
        <w:pBdr/>
        <w:spacing/>
        <w:ind/>
        <w:jc w:val="both"/>
        <w:rPr>
          <w:sz w:val="24"/>
        </w:rPr>
      </w:pPr>
      <w:r>
        <w:rPr>
          <w:sz w:val="24"/>
        </w:rPr>
        <w:t xml:space="preserve">Ces deux définitions essaient de mettre en balance d’un côté l’aspect « système d’information » de la bibliothèque numérique, qui intéresse les sciences informatiques, et de l’autre, l’aspect « système documentaire », cher aux bibliothèques analogiques.</w:t>
      </w:r>
      <w:r>
        <w:rPr>
          <w:sz w:val="24"/>
        </w:rPr>
      </w:r>
    </w:p>
    <w:p w14:paraId="7F623C54" w14:textId="34E1C63A">
      <w:pPr>
        <w:pBdr/>
        <w:spacing/>
        <w:ind/>
        <w:jc w:val="both"/>
        <w:rPr>
          <w:sz w:val="24"/>
        </w:rPr>
      </w:pPr>
      <w:r>
        <w:rPr>
          <w:sz w:val="24"/>
        </w:rPr>
        <w:t xml:space="preserve">Véritable tournant avec les travaux de Gary </w:t>
      </w:r>
      <w:r>
        <w:rPr>
          <w:sz w:val="24"/>
        </w:rPr>
        <w:t xml:space="preserve">Marchionini</w:t>
      </w:r>
      <w:r>
        <w:rPr>
          <w:sz w:val="24"/>
        </w:rPr>
        <w:t xml:space="preserve">. Il considère en effet les bibliothèques numériques comme des </w:t>
      </w:r>
      <w:r>
        <w:rPr>
          <w:sz w:val="24"/>
        </w:rPr>
        <w:t xml:space="preserve">« </w:t>
      </w:r>
      <w:r>
        <w:rPr>
          <w:sz w:val="24"/>
        </w:rPr>
        <w:t xml:space="preserve">systèmes </w:t>
      </w:r>
      <w:r>
        <w:rPr>
          <w:sz w:val="24"/>
        </w:rPr>
        <w:t xml:space="preserve">complexes émergents », qui, en engageant les nouvelles technologies avec les différentes formes du savoir humain, créent de nouveaux besoins.</w:t>
      </w:r>
      <w:r>
        <w:rPr>
          <w:sz w:val="24"/>
        </w:rPr>
      </w:r>
    </w:p>
    <w:p w14:paraId="547E6C78" w14:textId="1697CDAB">
      <w:pPr>
        <w:pBdr/>
        <w:spacing/>
        <w:ind/>
        <w:jc w:val="both"/>
        <w:rPr>
          <w:sz w:val="24"/>
        </w:rPr>
      </w:pPr>
      <w:r>
        <w:rPr>
          <w:sz w:val="24"/>
        </w:rPr>
        <w:t xml:space="preserve">Ann Bishop et al., envisage les bibliothèques numériques comme des systèmes sociotechniques, mettant en réseaux les technologies, les documents, les personnes, les pratiques et les services.</w:t>
      </w:r>
      <w:r>
        <w:rPr>
          <w:sz w:val="24"/>
        </w:rPr>
      </w:r>
    </w:p>
    <w:p w14:paraId="58B9DE6E" w14:textId="29C3800D">
      <w:pPr>
        <w:pBdr/>
        <w:spacing/>
        <w:ind/>
        <w:jc w:val="both"/>
        <w:rPr>
          <w:sz w:val="24"/>
        </w:rPr>
      </w:pPr>
      <w:r>
        <w:rPr>
          <w:sz w:val="24"/>
        </w:rPr>
        <w:t xml:space="preserve">p.38 :</w:t>
      </w:r>
      <w:r>
        <w:rPr>
          <w:sz w:val="24"/>
        </w:rPr>
      </w:r>
    </w:p>
    <w:p w14:paraId="4C143E8D" w14:textId="6B1064F2">
      <w:pPr>
        <w:pBdr/>
        <w:spacing/>
        <w:ind/>
        <w:jc w:val="both"/>
        <w:rPr>
          <w:sz w:val="24"/>
        </w:rPr>
      </w:pPr>
      <w:r>
        <w:rPr>
          <w:sz w:val="24"/>
        </w:rPr>
        <w:t xml:space="preserve">Lagoze</w:t>
      </w:r>
      <w:r>
        <w:rPr>
          <w:sz w:val="24"/>
        </w:rPr>
        <w:t xml:space="preserve"> et al. Va plus loin en les envisageant comme des espaces de partage, de collaboration, de manipulation et d’agrégation.</w:t>
      </w:r>
      <w:r>
        <w:rPr>
          <w:sz w:val="24"/>
        </w:rPr>
      </w:r>
    </w:p>
    <w:p w14:paraId="1E839D72" w14:textId="68EDAEAF">
      <w:pPr>
        <w:pBdr/>
        <w:spacing/>
        <w:ind/>
        <w:jc w:val="both"/>
        <w:rPr>
          <w:sz w:val="24"/>
        </w:rPr>
      </w:pPr>
      <w:r>
        <w:rPr>
          <w:sz w:val="24"/>
        </w:rPr>
        <w:t xml:space="preserve">Définition sur laquelle l’autrice s’est arrêtée face à la mu</w:t>
      </w:r>
      <w:r>
        <w:rPr>
          <w:sz w:val="24"/>
        </w:rPr>
        <w:t xml:space="preserve">ltitude de définition possible autour de ce concept : « Les bibliothèques numériques sont des organisations [patrimoniales] qui offrent des ressources, y compris en personnel, pour sélectionner, structurer, offrir un accès intellectuel, interpréter, distri</w:t>
      </w:r>
      <w:r>
        <w:rPr>
          <w:sz w:val="24"/>
        </w:rPr>
        <w:t xml:space="preserve">buer et conserver l’intégrité de documents sous forme numérique. Une bibliothèque numérique garantit également un accès sur la durée aux œuvres électroniques dans le but d’être aisément et à moindre coût disponibles à un ou plusieurs publics spécifiques. »</w:t>
      </w:r>
      <w:r>
        <w:rPr>
          <w:sz w:val="24"/>
        </w:rPr>
      </w:r>
    </w:p>
    <w:p w14:paraId="01536930" w14:textId="4294C823">
      <w:pPr>
        <w:pBdr/>
        <w:spacing/>
        <w:ind/>
        <w:jc w:val="both"/>
        <w:rPr>
          <w:sz w:val="24"/>
        </w:rPr>
      </w:pPr>
      <w:r>
        <w:rPr>
          <w:sz w:val="24"/>
        </w:rPr>
        <w:t xml:space="preserve">Cette définition a l’avantage de ne pas donner de cadre uniforme aux bibliothèques numériques, et leur attribue</w:t>
      </w:r>
      <w:r>
        <w:rPr>
          <w:sz w:val="24"/>
        </w:rPr>
        <w:t xml:space="preserve"> un ensemble de critères, centrés sur l’acquisition des contenus, la gestion des collections et les services. Ces critères offrent une large marge de manœuvre aux bibliothèques numériques, mais peut renvoyer à des types de projet de nature très différente.</w:t>
      </w:r>
      <w:r>
        <w:rPr>
          <w:sz w:val="24"/>
        </w:rPr>
      </w:r>
    </w:p>
    <w:p w14:paraId="60CEB264" w14:textId="6A3D678C">
      <w:pPr>
        <w:pBdr/>
        <w:spacing/>
        <w:ind/>
        <w:jc w:val="both"/>
        <w:rPr>
          <w:sz w:val="24"/>
        </w:rPr>
      </w:pPr>
      <w:r>
        <w:rPr>
          <w:sz w:val="24"/>
        </w:rPr>
        <w:t xml:space="preserve">p.39 : une histoire ancienne : de l’apparition des bibliothèques numériques patrimoniales dans les années 1990 à leur démultiplication au cours des années 2000</w:t>
      </w:r>
      <w:r>
        <w:rPr>
          <w:sz w:val="24"/>
        </w:rPr>
      </w:r>
    </w:p>
    <w:p w14:paraId="50BA622A" w14:textId="72AC178A">
      <w:pPr>
        <w:pBdr/>
        <w:spacing/>
        <w:ind/>
        <w:jc w:val="both"/>
        <w:rPr>
          <w:sz w:val="24"/>
        </w:rPr>
      </w:pPr>
      <w:r>
        <w:rPr>
          <w:sz w:val="24"/>
        </w:rPr>
        <w:t xml:space="preserve">1971 : projet de Gutenberg = acte de naissance des bibliothèques numériques pour la plupart des auteurs. Projet lancé par Michael Hart aux USA. L’objectif de ce projet est de proposer à la consultation des livres numérisés </w:t>
      </w:r>
      <w:r>
        <w:rPr>
          <w:sz w:val="24"/>
        </w:rPr>
        <w:t xml:space="preserve">océrisés</w:t>
      </w:r>
      <w:r>
        <w:rPr>
          <w:sz w:val="24"/>
        </w:rPr>
        <w:t xml:space="preserve">, dont la correction est assurée par une équipe de volontaires. Toujours en activité, le projet Gutenberg compte aujourd’hui plus de 45 000 ouvrages, tous issus du domaine public.</w:t>
      </w:r>
      <w:r>
        <w:rPr>
          <w:sz w:val="24"/>
        </w:rPr>
      </w:r>
    </w:p>
    <w:p w14:paraId="4F0FFB3F" w14:textId="6DF8FED4">
      <w:pPr>
        <w:pBdr/>
        <w:spacing/>
        <w:ind/>
        <w:jc w:val="both"/>
        <w:rPr>
          <w:sz w:val="24"/>
        </w:rPr>
      </w:pPr>
      <w:r>
        <w:rPr>
          <w:sz w:val="24"/>
        </w:rPr>
        <w:t xml:space="preserve">Début des années 1990 pour voir apparaître les premières grandes initiatives de bibliothèques numériques sous l’impulsion des bibliothèques et des universités. </w:t>
      </w:r>
      <w:r>
        <w:rPr>
          <w:sz w:val="24"/>
        </w:rPr>
      </w:r>
    </w:p>
    <w:p w14:paraId="04550A79" w14:textId="48A74C31">
      <w:pPr>
        <w:pBdr/>
        <w:spacing/>
        <w:ind/>
        <w:jc w:val="both"/>
        <w:rPr>
          <w:sz w:val="24"/>
        </w:rPr>
      </w:pPr>
      <w:r>
        <w:rPr>
          <w:sz w:val="24"/>
        </w:rPr>
        <w:t xml:space="preserve">Naissance de nombreux projets :</w:t>
      </w:r>
      <w:r>
        <w:rPr>
          <w:sz w:val="24"/>
        </w:rPr>
      </w:r>
    </w:p>
    <w:p w14:paraId="5522BF8D" w14:textId="07E02ECF">
      <w:pPr>
        <w:pStyle w:val="683"/>
        <w:numPr>
          <w:ilvl w:val="0"/>
          <w:numId w:val="3"/>
        </w:numPr>
        <w:pBdr/>
        <w:spacing/>
        <w:ind/>
        <w:rPr>
          <w:sz w:val="24"/>
        </w:rPr>
      </w:pPr>
      <w:r>
        <w:rPr>
          <w:sz w:val="24"/>
        </w:rPr>
        <w:t xml:space="preserve">Le projet American Memory, rebaptisé </w:t>
      </w:r>
      <w:r>
        <w:rPr>
          <w:i/>
          <w:sz w:val="24"/>
        </w:rPr>
        <w:t xml:space="preserve">National Digital Library Program </w:t>
      </w:r>
      <w:r>
        <w:rPr>
          <w:sz w:val="24"/>
        </w:rPr>
        <w:t xml:space="preserve">en 1995, est né en 1989 à l’initiative de la </w:t>
      </w:r>
      <w:r>
        <w:rPr>
          <w:i/>
          <w:sz w:val="24"/>
        </w:rPr>
        <w:t xml:space="preserve">Library of Congress</w:t>
      </w:r>
      <w:r>
        <w:rPr>
          <w:sz w:val="24"/>
        </w:rPr>
        <w:t xml:space="preserve">. Conse</w:t>
      </w:r>
      <w:r>
        <w:rPr>
          <w:sz w:val="24"/>
        </w:rPr>
        <w:t xml:space="preserve">rvatoire numérique de la culture et de l’histoire américaine, il a été le cadre de nombreux travaux sur les métadonnées, dont il a démontré l’importance en termes de visibilité des collections et d’amélioration des recherches utilisateurs. C’est au projet </w:t>
      </w:r>
      <w:r>
        <w:rPr>
          <w:sz w:val="24"/>
        </w:rPr>
        <w:t xml:space="preserve">American Memory et à la </w:t>
      </w:r>
      <w:r>
        <w:rPr>
          <w:i/>
          <w:sz w:val="24"/>
        </w:rPr>
        <w:t xml:space="preserve">Library of Congress </w:t>
      </w:r>
      <w:r>
        <w:rPr>
          <w:sz w:val="24"/>
        </w:rPr>
        <w:t xml:space="preserve">que les bibliothèques numériques doivent les réflexions et les recommandations sur l’interopérabilité et la réutilisation des données en vue de leur pérennisation.</w:t>
      </w:r>
      <w:r>
        <w:rPr>
          <w:sz w:val="24"/>
        </w:rPr>
      </w:r>
    </w:p>
    <w:p w14:paraId="3E707292" w14:textId="6EB7A67B">
      <w:pPr>
        <w:pStyle w:val="683"/>
        <w:numPr>
          <w:ilvl w:val="0"/>
          <w:numId w:val="3"/>
        </w:numPr>
        <w:pBdr/>
        <w:spacing/>
        <w:ind/>
        <w:rPr>
          <w:sz w:val="24"/>
        </w:rPr>
      </w:pPr>
      <w:r>
        <w:rPr>
          <w:sz w:val="24"/>
        </w:rPr>
        <w:t xml:space="preserve">La bibliothèque numérique </w:t>
      </w:r>
      <w:r>
        <w:rPr>
          <w:i/>
          <w:sz w:val="24"/>
        </w:rPr>
        <w:t xml:space="preserve">Alexandria </w:t>
      </w:r>
      <w:r>
        <w:rPr>
          <w:sz w:val="24"/>
        </w:rPr>
        <w:t xml:space="preserve">a été développée en 1994 par l’université de Californie. Elle propose un ensemble de cartes, d’images et de textes centrés sur les notions d’espace et de géographie, afin d’en facilit</w:t>
      </w:r>
      <w:r>
        <w:rPr>
          <w:sz w:val="24"/>
        </w:rPr>
        <w:t xml:space="preserve">er l’étude. C’est l’une des premières bibliothèques numériques à avoir montré l’intérêt du développement itératif à l’aide de retours d’expérience des utilisateurs, pour identifier les problèmes d’interface, de navigation ou d’organisation des collections.</w:t>
      </w:r>
      <w:r>
        <w:rPr>
          <w:sz w:val="24"/>
        </w:rPr>
      </w:r>
    </w:p>
    <w:p w14:paraId="490486CF" w14:textId="0D4CF2EA">
      <w:pPr>
        <w:pStyle w:val="683"/>
        <w:numPr>
          <w:ilvl w:val="0"/>
          <w:numId w:val="3"/>
        </w:numPr>
        <w:pBdr/>
        <w:spacing/>
        <w:ind/>
        <w:rPr>
          <w:sz w:val="24"/>
        </w:rPr>
      </w:pPr>
      <w:r>
        <w:rPr>
          <w:i/>
          <w:sz w:val="24"/>
        </w:rPr>
        <w:t xml:space="preserve">Perseus </w:t>
      </w:r>
      <w:r>
        <w:rPr>
          <w:sz w:val="24"/>
        </w:rPr>
        <w:t xml:space="preserve">est une bibliothèque numérique centrée sur la littérature gréco-latine, mise en ligne en 1995 par l’université </w:t>
      </w:r>
      <w:r>
        <w:rPr>
          <w:sz w:val="24"/>
        </w:rPr>
        <w:t xml:space="preserve">Tufts</w:t>
      </w:r>
      <w:r>
        <w:rPr>
          <w:sz w:val="24"/>
        </w:rPr>
        <w:t xml:space="preserve"> aux Etats-Unis. </w:t>
      </w:r>
      <w:r>
        <w:rPr>
          <w:i/>
          <w:sz w:val="24"/>
        </w:rPr>
        <w:t xml:space="preserve">Perseus </w:t>
      </w:r>
      <w:r>
        <w:rPr>
          <w:sz w:val="24"/>
        </w:rPr>
        <w:t xml:space="preserve">a joué un rôle clé dans l’étude des relations interface-utilisateur, en mettant notamment en évidence le</w:t>
      </w:r>
      <w:r>
        <w:rPr>
          <w:sz w:val="24"/>
        </w:rPr>
        <w:t xml:space="preserve"> lien d’interdépendance qui les unit. Si l’objectif de la bibliothèque numérique est d’offrir des ressources et des informations aux utilisateurs, ces derniers doivent en contrepartie développer de « nouvelles stratégies » pour interagir avec l’interface. </w:t>
      </w:r>
      <w:r>
        <w:rPr>
          <w:i/>
          <w:sz w:val="24"/>
        </w:rPr>
        <w:t xml:space="preserve">Perseus </w:t>
      </w:r>
      <w:r>
        <w:rPr>
          <w:sz w:val="24"/>
        </w:rPr>
        <w:t xml:space="preserve">a ainsi démontré l’importance des études utilisateurs lors du développement de la bibliothèque numérique, mais </w:t>
      </w:r>
      <w:r>
        <w:rPr>
          <w:sz w:val="24"/>
        </w:rPr>
        <w:t xml:space="preserve">aussi après son lancement pour s’adapter aux changements.</w:t>
      </w:r>
      <w:r>
        <w:rPr>
          <w:sz w:val="24"/>
        </w:rPr>
      </w:r>
    </w:p>
    <w:p w14:paraId="5C0FB7C6" w14:textId="210C4AE1">
      <w:pPr>
        <w:pStyle w:val="683"/>
        <w:numPr>
          <w:ilvl w:val="0"/>
          <w:numId w:val="3"/>
        </w:numPr>
        <w:pBdr/>
        <w:spacing/>
        <w:ind/>
        <w:rPr>
          <w:sz w:val="24"/>
        </w:rPr>
      </w:pPr>
      <w:r>
        <w:rPr>
          <w:i/>
          <w:sz w:val="24"/>
        </w:rPr>
        <w:t xml:space="preserve">Gallica</w:t>
      </w:r>
      <w:r>
        <w:rPr>
          <w:i/>
          <w:sz w:val="24"/>
        </w:rPr>
        <w:t xml:space="preserve">, </w:t>
      </w:r>
      <w:r>
        <w:rPr>
          <w:sz w:val="24"/>
        </w:rPr>
        <w:t xml:space="preserve">mise en ligne en 1997, fait partie des premières bibliothèques numériques européennes. A se</w:t>
      </w:r>
      <w:r>
        <w:rPr>
          <w:sz w:val="24"/>
        </w:rPr>
        <w:t xml:space="preserve">s débuts, elle se présente à l’origine comme une bibliothèque patrimoniale à vocation encyclopédique, qui propose des ouvrages rares en mode image, complétés par un ensemble de ressources qui permettent de les éclairer. De la même manière que le programme </w:t>
      </w:r>
      <w:r>
        <w:rPr>
          <w:i/>
          <w:sz w:val="24"/>
        </w:rPr>
        <w:t xml:space="preserve">American Memory, </w:t>
      </w:r>
      <w:r>
        <w:rPr>
          <w:i/>
          <w:sz w:val="24"/>
        </w:rPr>
        <w:t xml:space="preserve">gallica</w:t>
      </w:r>
      <w:r>
        <w:rPr>
          <w:i/>
          <w:sz w:val="24"/>
        </w:rPr>
        <w:t xml:space="preserve"> </w:t>
      </w:r>
      <w:r>
        <w:rPr>
          <w:sz w:val="24"/>
        </w:rPr>
        <w:t xml:space="preserve">joue un rôle fondamental </w:t>
      </w:r>
      <w:r>
        <w:rPr>
          <w:sz w:val="24"/>
        </w:rPr>
        <w:t xml:space="preserve">dans la définition de standards de métadonnées, ainsi que dans la numérisation patrimoniale.</w:t>
      </w:r>
      <w:r>
        <w:rPr>
          <w:sz w:val="24"/>
        </w:rPr>
      </w:r>
    </w:p>
    <w:p w14:paraId="203A3972" w14:textId="7B5E2ECF">
      <w:pPr>
        <w:pBdr/>
        <w:spacing/>
        <w:ind/>
        <w:rPr>
          <w:sz w:val="24"/>
        </w:rPr>
      </w:pPr>
      <w:r>
        <w:rPr>
          <w:sz w:val="24"/>
        </w:rPr>
        <w:t xml:space="preserve">p.40 :</w:t>
      </w:r>
      <w:r>
        <w:rPr>
          <w:sz w:val="24"/>
        </w:rPr>
      </w:r>
    </w:p>
    <w:p w14:paraId="6736C2D1" w14:textId="1A9F2920">
      <w:pPr>
        <w:pBdr/>
        <w:spacing/>
        <w:ind/>
        <w:jc w:val="both"/>
        <w:rPr>
          <w:sz w:val="24"/>
        </w:rPr>
      </w:pPr>
      <w:r>
        <w:rPr>
          <w:sz w:val="24"/>
        </w:rPr>
        <w:t xml:space="preserve">Les années 2000 voient en effet émerger un nouveau type de bibliothèque numérique, les bibliothèques numériques de masse.</w:t>
      </w:r>
      <w:r>
        <w:rPr>
          <w:sz w:val="24"/>
        </w:rPr>
      </w:r>
    </w:p>
    <w:p w14:paraId="709747A3" w14:textId="7A6A5D6C">
      <w:pPr>
        <w:pBdr/>
        <w:spacing/>
        <w:ind/>
        <w:jc w:val="both"/>
        <w:rPr>
          <w:sz w:val="24"/>
        </w:rPr>
      </w:pPr>
      <w:r>
        <w:rPr>
          <w:sz w:val="24"/>
        </w:rPr>
        <w:t xml:space="preserve">Les bibliothèques pionnières proposaient des ressources sélectionnées et num</w:t>
      </w:r>
      <w:r>
        <w:rPr>
          <w:sz w:val="24"/>
        </w:rPr>
        <w:t xml:space="preserve">érisées en fonction d’objectifs scientifiques précis, les bibliothèques numériques de masse optent pour une démarche industrielle, qui consiste à numériser des documents à la chaîne sans faire de distinction entre les formats, les périodes ou les contenus.</w:t>
      </w:r>
      <w:r>
        <w:rPr>
          <w:sz w:val="24"/>
        </w:rPr>
      </w:r>
    </w:p>
    <w:p w14:paraId="5D8EEC5F" w14:textId="54C1364A">
      <w:pPr>
        <w:pBdr/>
        <w:spacing/>
        <w:ind/>
        <w:jc w:val="both"/>
        <w:rPr>
          <w:sz w:val="24"/>
        </w:rPr>
      </w:pPr>
      <w:r>
        <w:rPr>
          <w:sz w:val="24"/>
        </w:rPr>
        <w:t xml:space="preserve">p.41 :</w:t>
      </w:r>
      <w:r>
        <w:rPr>
          <w:sz w:val="24"/>
        </w:rPr>
      </w:r>
    </w:p>
    <w:p w14:paraId="134C89A1" w14:textId="622DBD9F">
      <w:pPr>
        <w:pBdr/>
        <w:spacing/>
        <w:ind/>
        <w:jc w:val="both"/>
        <w:rPr>
          <w:sz w:val="24"/>
        </w:rPr>
      </w:pPr>
      <w:r>
        <w:rPr>
          <w:sz w:val="24"/>
        </w:rPr>
        <w:t xml:space="preserve">développement</w:t>
      </w:r>
      <w:r>
        <w:rPr>
          <w:sz w:val="24"/>
        </w:rPr>
        <w:t xml:space="preserve"> des bibliothèques numériques spécialisées, à l’échelle d’une région, d’une vill</w:t>
      </w:r>
      <w:r>
        <w:rPr>
          <w:sz w:val="24"/>
        </w:rPr>
        <w:t xml:space="preserve">e, d’une collection, d’une période ou d’un format. Fortement liés à l’institution dont ils sont issus, ces projets s’inscrivent dans la lignée des premières bibliothèques numériques, en poursuivant leurs travaux et leurs expérimentations sur les interfaces</w:t>
      </w:r>
      <w:r>
        <w:rPr>
          <w:sz w:val="24"/>
        </w:rPr>
        <w:t xml:space="preserve">, les métadonnées ou encore la conception, mais appliquées à un type de ressource ou à une discipline en particulier. </w:t>
      </w:r>
      <w:r>
        <w:rPr>
          <w:sz w:val="24"/>
        </w:rPr>
      </w:r>
    </w:p>
    <w:p w14:paraId="0FD05B53" w14:textId="1C5B09C6">
      <w:pPr>
        <w:pBdr/>
        <w:spacing/>
        <w:ind/>
        <w:jc w:val="both"/>
        <w:rPr>
          <w:sz w:val="24"/>
        </w:rPr>
      </w:pPr>
      <w:r>
        <w:rPr>
          <w:sz w:val="24"/>
        </w:rPr>
        <w:t xml:space="preserve">A la fin des années 2000, les bibliothèques numériques font face à un nouveau défi, celui de connecter les bibliothèques spécialisées entre elles. On entre alors dans l’ère des bibliothèques numériques de grande échelle (large-</w:t>
      </w:r>
      <w:r>
        <w:rPr>
          <w:sz w:val="24"/>
        </w:rPr>
        <w:t xml:space="preserve">scale</w:t>
      </w:r>
      <w:r>
        <w:rPr>
          <w:sz w:val="24"/>
        </w:rPr>
        <w:t xml:space="preserve"> digital </w:t>
      </w:r>
      <w:r>
        <w:rPr>
          <w:sz w:val="24"/>
        </w:rPr>
        <w:t xml:space="preserve">libraries</w:t>
      </w:r>
      <w:r>
        <w:rPr>
          <w:sz w:val="24"/>
        </w:rPr>
        <w:t xml:space="preserve">), qui se présentent comme des portails d’accès unifié à une partie du patrimoine numérisé disponible en ligne.</w:t>
      </w:r>
      <w:r>
        <w:rPr>
          <w:sz w:val="24"/>
        </w:rPr>
      </w:r>
    </w:p>
    <w:p w14:paraId="6B92A8E6" w14:textId="5505E895">
      <w:pPr>
        <w:pBdr/>
        <w:spacing/>
        <w:ind/>
        <w:jc w:val="both"/>
        <w:rPr>
          <w:sz w:val="24"/>
        </w:rPr>
      </w:pPr>
      <w:r>
        <w:rPr>
          <w:sz w:val="24"/>
        </w:rPr>
        <w:t xml:space="preserve">Avec l’arrivée de bibliothèque numérique globale telle qu’</w:t>
      </w:r>
      <w:r>
        <w:rPr>
          <w:sz w:val="24"/>
        </w:rPr>
        <w:t xml:space="preserve">Europeana</w:t>
      </w:r>
      <w:r>
        <w:rPr>
          <w:sz w:val="24"/>
        </w:rPr>
        <w:t xml:space="preserve"> entraîne l’arrivée de nouveaux acteurs dans le domaine des bibliothèques numériques, qui n’est plus seulement « </w:t>
      </w:r>
      <w:r>
        <w:rPr>
          <w:sz w:val="24"/>
        </w:rPr>
        <w:t xml:space="preserve">réserv</w:t>
      </w:r>
      <w:r>
        <w:rPr>
          <w:sz w:val="24"/>
        </w:rPr>
        <w:t xml:space="preserve">[é] aux seuls spécialistes de la bibliothéconomie ».</w:t>
      </w:r>
      <w:r>
        <w:rPr>
          <w:sz w:val="24"/>
        </w:rPr>
      </w:r>
    </w:p>
    <w:p w14:paraId="73C523CF" w14:textId="1894CA4A">
      <w:pPr>
        <w:pBdr/>
        <w:spacing/>
        <w:ind/>
        <w:jc w:val="both"/>
        <w:rPr>
          <w:sz w:val="24"/>
        </w:rPr>
      </w:pPr>
      <w:r>
        <w:rPr>
          <w:sz w:val="24"/>
        </w:rPr>
        <w:t xml:space="preserve">Les bibliothèques numériques deviennent alors le lieu </w:t>
      </w:r>
      <w:r>
        <w:rPr>
          <w:sz w:val="24"/>
        </w:rPr>
        <w:t xml:space="preserve">d’ «</w:t>
      </w:r>
      <w:r>
        <w:rPr>
          <w:sz w:val="24"/>
        </w:rPr>
        <w:t xml:space="preserve"> enjeux juridiques (droit d’auteur, œuvres orphelines), économiques (édition numérique, financements publics-privés[sic]), politiques (influence dans le domaine de l’information) et patrimoniaux (pérennité des documents numériques) ».</w:t>
      </w:r>
      <w:r>
        <w:rPr>
          <w:sz w:val="24"/>
        </w:rPr>
      </w:r>
    </w:p>
    <w:p w14:paraId="1F212BB0" w14:textId="22C388B3">
      <w:pPr>
        <w:pBdr/>
        <w:spacing/>
        <w:ind/>
        <w:jc w:val="both"/>
        <w:rPr>
          <w:sz w:val="24"/>
        </w:rPr>
      </w:pPr>
      <w:r>
        <w:rPr>
          <w:sz w:val="24"/>
        </w:rPr>
        <w:t xml:space="preserve">p.42 : un paysage hétérogène à l’orée des années 2010</w:t>
      </w:r>
      <w:r>
        <w:rPr>
          <w:sz w:val="24"/>
        </w:rPr>
      </w:r>
    </w:p>
    <w:p w14:paraId="42600163" w14:textId="30C01A20">
      <w:pPr>
        <w:pBdr/>
        <w:spacing/>
        <w:ind/>
        <w:jc w:val="both"/>
        <w:rPr>
          <w:sz w:val="24"/>
        </w:rPr>
      </w:pPr>
      <w:r>
        <w:rPr>
          <w:sz w:val="24"/>
        </w:rPr>
        <w:t xml:space="preserve">dans</w:t>
      </w:r>
      <w:r>
        <w:rPr>
          <w:sz w:val="24"/>
        </w:rPr>
        <w:t xml:space="preserve"> leur Manuel de la constitution des bibliothèques numériques, Thierry </w:t>
      </w:r>
      <w:r>
        <w:rPr>
          <w:sz w:val="24"/>
        </w:rPr>
        <w:t xml:space="preserve">Claerr</w:t>
      </w:r>
      <w:r>
        <w:rPr>
          <w:sz w:val="24"/>
        </w:rPr>
        <w:t xml:space="preserve"> et Isabelle </w:t>
      </w:r>
      <w:r>
        <w:rPr>
          <w:sz w:val="24"/>
        </w:rPr>
        <w:t xml:space="preserve">Westeel</w:t>
      </w:r>
      <w:r>
        <w:rPr>
          <w:sz w:val="24"/>
        </w:rPr>
        <w:t xml:space="preserve"> distinguent trois catégories de bibliothèques numériques : « les programmes nationaux structurants », « les portails régionaux » </w:t>
      </w:r>
      <w:r>
        <w:rPr>
          <w:sz w:val="24"/>
        </w:rPr>
        <w:t xml:space="preserve">et les « programmes de recherche ». Cette classification tend à reproduire l’organisation des bibliothèques traditionnelles : bibliothèque nationale, bibliothèque municipale à vocation régionale (BMVR°, bibliothèque municipale, bibliothèque universitaire. </w:t>
      </w:r>
      <w:r>
        <w:rPr>
          <w:sz w:val="24"/>
        </w:rPr>
      </w:r>
    </w:p>
    <w:p w14:paraId="54B71105" w14:textId="046A9D23">
      <w:pPr>
        <w:pBdr/>
        <w:spacing/>
        <w:ind/>
        <w:jc w:val="both"/>
        <w:rPr>
          <w:sz w:val="24"/>
        </w:rPr>
      </w:pPr>
      <w:r>
        <w:rPr>
          <w:sz w:val="24"/>
        </w:rPr>
        <w:t xml:space="preserve">La nature même d’une bibliothèque numérique dépend du type de l’institution dont elle est issue et dont elle hérite des caractéristiques. </w:t>
      </w:r>
      <w:r>
        <w:rPr>
          <w:sz w:val="24"/>
        </w:rPr>
      </w:r>
    </w:p>
    <w:p w14:paraId="091AE816" w14:textId="17B885EB">
      <w:pPr>
        <w:pBdr/>
        <w:spacing/>
        <w:ind/>
        <w:jc w:val="both"/>
        <w:rPr>
          <w:sz w:val="24"/>
        </w:rPr>
      </w:pPr>
      <w:r>
        <w:rPr>
          <w:sz w:val="24"/>
        </w:rPr>
        <w:t xml:space="preserve">Ajout les programmes internationaux également.</w:t>
      </w:r>
      <w:r>
        <w:rPr>
          <w:sz w:val="24"/>
        </w:rPr>
      </w:r>
    </w:p>
    <w:p w14:paraId="1CF63A5A" w14:textId="2D294818">
      <w:pPr>
        <w:pBdr/>
        <w:spacing/>
        <w:ind/>
        <w:jc w:val="both"/>
        <w:rPr>
          <w:sz w:val="24"/>
        </w:rPr>
      </w:pPr>
      <w:r>
        <w:rPr>
          <w:sz w:val="24"/>
        </w:rPr>
      </w:r>
      <w:r>
        <w:rPr>
          <w:sz w:val="24"/>
        </w:rPr>
      </w:r>
    </w:p>
    <w:p w14:paraId="23BF7971" w14:textId="61B5EAFC">
      <w:pPr>
        <w:pBdr/>
        <w:spacing/>
        <w:ind/>
        <w:jc w:val="both"/>
        <w:rPr>
          <w:sz w:val="24"/>
        </w:rPr>
      </w:pPr>
      <w:r>
        <w:rPr>
          <w:sz w:val="24"/>
        </w:rPr>
        <w:t xml:space="preserve">p.48 :</w:t>
      </w:r>
      <w:r>
        <w:rPr>
          <w:sz w:val="24"/>
        </w:rPr>
      </w:r>
    </w:p>
    <w:p w14:paraId="1B04AB14" w14:textId="295C157C">
      <w:pPr>
        <w:pBdr/>
        <w:spacing/>
        <w:ind/>
        <w:jc w:val="both"/>
        <w:rPr>
          <w:sz w:val="24"/>
        </w:rPr>
      </w:pPr>
      <w:r>
        <w:rPr>
          <w:sz w:val="24"/>
        </w:rPr>
        <w:t xml:space="preserve">Contexte d’apparition des bibliothèques agrégatives patrimoniales et scientifiques.</w:t>
      </w:r>
      <w:r>
        <w:rPr>
          <w:sz w:val="24"/>
        </w:rPr>
      </w:r>
    </w:p>
    <w:p w14:paraId="3C3AAAC3" w14:textId="56D766D1">
      <w:pPr>
        <w:pBdr/>
        <w:spacing/>
        <w:ind/>
        <w:jc w:val="both"/>
        <w:rPr>
          <w:sz w:val="24"/>
        </w:rPr>
      </w:pPr>
      <w:r>
        <w:rPr>
          <w:sz w:val="24"/>
        </w:rPr>
        <w:t xml:space="preserve">A partir du milieu des années 2000 et de l’arrivée de Google Books, la tendance au regroupement et à la collaboration entre institutions s’accélère, en tant que réponse à ce nouveau programme d’une </w:t>
      </w:r>
      <w:r>
        <w:rPr>
          <w:sz w:val="24"/>
        </w:rPr>
        <w:t xml:space="preserve">ampleur nouvelle, à l’exemple d’</w:t>
      </w:r>
      <w:r>
        <w:rPr>
          <w:i/>
          <w:sz w:val="24"/>
        </w:rPr>
        <w:t xml:space="preserve">Europeana</w:t>
      </w:r>
      <w:r>
        <w:rPr>
          <w:sz w:val="24"/>
        </w:rPr>
        <w:t xml:space="preserve">.</w:t>
      </w:r>
      <w:r>
        <w:rPr>
          <w:sz w:val="24"/>
        </w:rPr>
      </w:r>
    </w:p>
    <w:p w14:paraId="209045E8" w14:textId="1FC48EBF">
      <w:pPr>
        <w:pBdr/>
        <w:spacing/>
        <w:ind/>
        <w:jc w:val="both"/>
        <w:rPr>
          <w:sz w:val="24"/>
        </w:rPr>
      </w:pPr>
      <w:r>
        <w:rPr>
          <w:sz w:val="24"/>
        </w:rPr>
        <w:t xml:space="preserve">Parallèlement à la construction de ces portails généraux, sont apparus d’autres types de portails, que nous pouvons qualifier de portails patrimoniaux et scientifiques. Ce type de bi</w:t>
      </w:r>
      <w:r>
        <w:rPr>
          <w:sz w:val="24"/>
        </w:rPr>
        <w:t xml:space="preserve">bliothèque numérique, fruit de la collaboration entre des institutions ou des projets aux intérêts communs, regroupe des collections liées par une même thématique et s’adresse à un public précis, auquel il offre un ensemble d’outils et de services adaptés.</w:t>
      </w:r>
      <w:r>
        <w:rPr>
          <w:sz w:val="24"/>
        </w:rPr>
      </w:r>
    </w:p>
    <w:p w14:paraId="52A4FB5E" w14:textId="72F986C1">
      <w:pPr>
        <w:pBdr/>
        <w:spacing/>
        <w:ind/>
        <w:jc w:val="both"/>
        <w:rPr>
          <w:sz w:val="24"/>
        </w:rPr>
      </w:pPr>
      <w:r>
        <w:rPr>
          <w:sz w:val="24"/>
        </w:rPr>
        <w:t xml:space="preserve">Leur objectif est de devenir « de réels outils de recherche, qui permettent également de faciliter la mise à disposition à un public plus large de textes et de documents souvent complexes » pour un domaine donné.</w:t>
      </w:r>
      <w:r>
        <w:rPr>
          <w:sz w:val="24"/>
        </w:rPr>
      </w:r>
    </w:p>
    <w:p w14:paraId="69B38B07" w14:textId="3471C5CB">
      <w:pPr>
        <w:pBdr/>
        <w:spacing/>
        <w:ind/>
        <w:jc w:val="both"/>
        <w:rPr>
          <w:sz w:val="24"/>
        </w:rPr>
      </w:pPr>
      <w:r>
        <w:rPr>
          <w:sz w:val="24"/>
        </w:rPr>
        <w:t xml:space="preserve">Exemple de projet français : </w:t>
      </w:r>
      <w:r>
        <w:rPr>
          <w:i/>
          <w:sz w:val="24"/>
        </w:rPr>
        <w:t xml:space="preserve">Biblissima</w:t>
      </w:r>
      <w:r>
        <w:rPr>
          <w:i/>
          <w:sz w:val="24"/>
        </w:rPr>
        <w:t xml:space="preserve"> </w:t>
      </w:r>
      <w:r>
        <w:rPr>
          <w:sz w:val="24"/>
        </w:rPr>
        <w:t xml:space="preserve">– </w:t>
      </w:r>
      <w:r>
        <w:rPr>
          <w:i/>
          <w:sz w:val="24"/>
        </w:rPr>
        <w:t xml:space="preserve">Bibliotheca</w:t>
      </w:r>
      <w:r>
        <w:rPr>
          <w:i/>
          <w:sz w:val="24"/>
        </w:rPr>
        <w:t xml:space="preserve"> </w:t>
      </w:r>
      <w:r>
        <w:rPr>
          <w:i/>
          <w:sz w:val="24"/>
        </w:rPr>
        <w:t xml:space="preserve">Bibliothecarum</w:t>
      </w:r>
      <w:r>
        <w:rPr>
          <w:i/>
          <w:sz w:val="24"/>
        </w:rPr>
        <w:t xml:space="preserve"> </w:t>
      </w:r>
      <w:r>
        <w:rPr>
          <w:i/>
          <w:sz w:val="24"/>
        </w:rPr>
        <w:t xml:space="preserve">Novissima</w:t>
      </w:r>
      <w:r>
        <w:rPr>
          <w:i/>
          <w:sz w:val="24"/>
        </w:rPr>
        <w:t xml:space="preserve"> </w:t>
      </w:r>
      <w:r>
        <w:rPr>
          <w:sz w:val="24"/>
        </w:rPr>
        <w:t xml:space="preserve">– se présente comme un portail autour du patrimoine écrit du Moyen Age et de la Renaissance, dont l’objectif est d’accompagner les chercheurs et les étudiants dans leurs études sur la transmission et la circulation des textes anciens. </w:t>
      </w:r>
      <w:r>
        <w:rPr>
          <w:sz w:val="24"/>
        </w:rPr>
        <w:t xml:space="preserve">Le projet se divise en deux parties. D’un côté se trouve l’observatoire </w:t>
      </w:r>
      <w:r>
        <w:rPr>
          <w:i/>
          <w:sz w:val="24"/>
        </w:rPr>
        <w:t xml:space="preserve">Biblissima</w:t>
      </w:r>
      <w:r>
        <w:rPr>
          <w:sz w:val="24"/>
        </w:rPr>
        <w:t xml:space="preserve">, qui se compose de plusieurs outils : un entrepôt d’images numériques issues de plusieurs bibliothèques, un cluster de bases de données relatives à l’histoire du livre et à sa transmission, et une boîte à outils du nom de </w:t>
      </w:r>
      <w:r>
        <w:rPr>
          <w:i/>
          <w:sz w:val="24"/>
        </w:rPr>
        <w:t xml:space="preserve">Baobab</w:t>
      </w:r>
      <w:r>
        <w:rPr>
          <w:sz w:val="24"/>
        </w:rPr>
        <w:t xml:space="preserve"> qui offre une aide à la recherche et à la compréhension des données.</w:t>
      </w:r>
      <w:r>
        <w:rPr>
          <w:sz w:val="24"/>
        </w:rPr>
      </w:r>
    </w:p>
    <w:p w14:paraId="0BBDBB77" w14:textId="6D02FF93">
      <w:pPr>
        <w:pBdr/>
        <w:spacing/>
        <w:ind/>
        <w:jc w:val="both"/>
        <w:rPr>
          <w:sz w:val="24"/>
        </w:rPr>
      </w:pPr>
      <w:r>
        <w:rPr>
          <w:sz w:val="24"/>
        </w:rPr>
        <w:t xml:space="preserve">De l’autre côté se trouve le corpus de données qui réunit des manu</w:t>
      </w:r>
      <w:r>
        <w:rPr>
          <w:sz w:val="24"/>
        </w:rPr>
        <w:t xml:space="preserve">scrits, des imprimés anciens, des catalogues numériques, des inventaires et des corpus spécialisés, issus des partenaires du projet. Ce corpus comporte également des éditions électroniques en XML-TEI, ainsi que des ressources issues des projets portés par </w:t>
      </w:r>
      <w:r>
        <w:rPr>
          <w:i/>
          <w:sz w:val="24"/>
        </w:rPr>
        <w:t xml:space="preserve">Biblissima</w:t>
      </w:r>
      <w:r>
        <w:rPr>
          <w:i/>
          <w:sz w:val="24"/>
        </w:rPr>
        <w:t xml:space="preserve">.</w:t>
      </w:r>
      <w:r>
        <w:rPr>
          <w:sz w:val="24"/>
        </w:rPr>
      </w:r>
    </w:p>
    <w:p w14:paraId="2713A057" w14:textId="1ABC9B0F">
      <w:pPr>
        <w:pBdr/>
        <w:spacing/>
        <w:ind/>
        <w:jc w:val="both"/>
        <w:rPr>
          <w:sz w:val="24"/>
        </w:rPr>
      </w:pPr>
      <w:r>
        <w:rPr>
          <w:sz w:val="24"/>
        </w:rPr>
      </w:r>
      <w:r>
        <w:rPr>
          <w:sz w:val="24"/>
        </w:rPr>
      </w:r>
    </w:p>
    <w:p w14:paraId="50955209" w14:textId="720F12FB">
      <w:pPr>
        <w:pBdr/>
        <w:spacing/>
        <w:ind/>
        <w:jc w:val="both"/>
        <w:rPr>
          <w:sz w:val="24"/>
        </w:rPr>
      </w:pPr>
      <w:r>
        <w:rPr>
          <w:sz w:val="24"/>
        </w:rPr>
        <w:t xml:space="preserve">p.51 : L’acquisition et la gestion des données : différentes méthodes d’agrégation pour différents types de projet</w:t>
      </w:r>
      <w:r>
        <w:rPr>
          <w:sz w:val="24"/>
        </w:rPr>
      </w:r>
    </w:p>
    <w:p w14:paraId="47581507" w14:textId="11D5E696">
      <w:pPr>
        <w:pBdr/>
        <w:spacing/>
        <w:ind/>
        <w:jc w:val="both"/>
        <w:rPr>
          <w:sz w:val="24"/>
        </w:rPr>
      </w:pPr>
      <w:r>
        <w:rPr>
          <w:sz w:val="24"/>
        </w:rPr>
        <w:t xml:space="preserve">Pour constituer des collections, les bibliothèques numériques ont deux possibilités, qui ne sont pas exclusives : </w:t>
      </w:r>
      <w:r>
        <w:rPr>
          <w:sz w:val="24"/>
        </w:rPr>
      </w:r>
    </w:p>
    <w:p w14:paraId="6156DFC3" w14:textId="257F7CFA">
      <w:pPr>
        <w:pStyle w:val="683"/>
        <w:numPr>
          <w:ilvl w:val="0"/>
          <w:numId w:val="3"/>
        </w:numPr>
        <w:pBdr/>
        <w:spacing/>
        <w:ind/>
        <w:rPr>
          <w:sz w:val="24"/>
        </w:rPr>
      </w:pPr>
      <w:r>
        <w:rPr>
          <w:sz w:val="24"/>
        </w:rPr>
        <w:t xml:space="preserve">La numérisation, une opération technique qui demande de lourds investissements temporels et financiers, ainsi que des collections suffisantes pour pouvoir y consacrer une bibliothèque numérique ;</w:t>
      </w:r>
      <w:r>
        <w:rPr>
          <w:sz w:val="24"/>
        </w:rPr>
      </w:r>
    </w:p>
    <w:p w14:paraId="26EA3D0B" w14:textId="5772C387">
      <w:pPr>
        <w:pStyle w:val="683"/>
        <w:numPr>
          <w:ilvl w:val="0"/>
          <w:numId w:val="3"/>
        </w:numPr>
        <w:pBdr/>
        <w:spacing/>
        <w:ind/>
        <w:rPr>
          <w:sz w:val="24"/>
        </w:rPr>
      </w:pPr>
      <w:r>
        <w:rPr>
          <w:sz w:val="24"/>
        </w:rPr>
        <w:t xml:space="preserve">Le moissonnage et le partage de données entre des institutions partenaires, qui choisissent de se regrouper soit par choix pour mettre en commun leur expertise dans </w:t>
      </w:r>
      <w:r>
        <w:rPr>
          <w:sz w:val="24"/>
        </w:rPr>
        <w:t xml:space="preserve">un domaine, soit par nécessité lorsque leurs collections ne sont pas assez riches pour constituer une bibliothèque numérique à part entière ;</w:t>
      </w:r>
      <w:r>
        <w:rPr>
          <w:sz w:val="24"/>
        </w:rPr>
      </w:r>
    </w:p>
    <w:p w14:paraId="68C404E8" w14:textId="5468622D">
      <w:pPr>
        <w:pBdr/>
        <w:spacing/>
        <w:ind/>
        <w:jc w:val="both"/>
        <w:rPr>
          <w:sz w:val="24"/>
        </w:rPr>
      </w:pPr>
      <w:r>
        <w:rPr>
          <w:sz w:val="24"/>
        </w:rPr>
        <w:t xml:space="preserve">p.52 : la numérisation </w:t>
      </w:r>
      <w:r>
        <w:rPr>
          <w:sz w:val="24"/>
        </w:rPr>
      </w:r>
    </w:p>
    <w:p w14:paraId="438B3A6E" w14:textId="035F7D09">
      <w:pPr>
        <w:pBdr/>
        <w:spacing/>
        <w:ind/>
        <w:jc w:val="both"/>
        <w:rPr>
          <w:sz w:val="24"/>
        </w:rPr>
      </w:pPr>
      <w:r>
        <w:rPr>
          <w:sz w:val="24"/>
        </w:rPr>
        <w:t xml:space="preserve">La numérisation peut être définie comme un moyen de représenter « un objet réel ou analogique (un livre) en une suite de codes interprétables par les outils informatiques </w:t>
      </w:r>
      <w:r>
        <w:rPr>
          <w:sz w:val="24"/>
        </w:rPr>
        <w:t xml:space="preserve">(des fichiers numériques) ». Elle est avant tout motivée par des enjeux culturels, scientifiques et économiques, l’objectif étant de diffuser des œuvres d’art au plus grand nombre et d’encourager la recherche et l’émergence de nouvelles idées.</w:t>
      </w:r>
      <w:r>
        <w:rPr>
          <w:sz w:val="24"/>
        </w:rPr>
      </w:r>
    </w:p>
    <w:p w14:paraId="014C6F61" w14:textId="565C6D3E">
      <w:pPr>
        <w:pBdr/>
        <w:spacing/>
        <w:ind/>
        <w:jc w:val="both"/>
        <w:rPr>
          <w:sz w:val="24"/>
        </w:rPr>
      </w:pPr>
      <w:r>
        <w:rPr>
          <w:sz w:val="24"/>
        </w:rPr>
        <w:t xml:space="preserve">Numérisation : pr</w:t>
      </w:r>
      <w:r>
        <w:rPr>
          <w:sz w:val="24"/>
        </w:rPr>
        <w:t xml:space="preserve">ocessus complexe, qui ne peut se réduire à la simple opération de transformation d’un document physique vers une forme numérique, dans la mesure où il inclut également l’analyse et l’indexation des ressources. On parle alors de « chaîne de numérisation ». </w:t>
      </w:r>
      <w:r>
        <w:rPr>
          <w:sz w:val="24"/>
        </w:rPr>
      </w:r>
    </w:p>
    <w:p w14:paraId="32D7CE5F" w14:textId="3C92AACB">
      <w:pPr>
        <w:pBdr/>
        <w:spacing/>
        <w:ind/>
        <w:jc w:val="both"/>
        <w:rPr>
          <w:sz w:val="24"/>
        </w:rPr>
      </w:pPr>
      <w:r>
        <w:rPr>
          <w:sz w:val="24"/>
        </w:rPr>
        <w:t xml:space="preserve">La première étape est le recensement des collections, qui permet de repérer des exemplaires intéressants pour le projet, la priorité étant donnée aux </w:t>
      </w:r>
      <w:r>
        <w:rPr>
          <w:sz w:val="24"/>
        </w:rPr>
        <w:t xml:space="preserve">unica</w:t>
      </w:r>
      <w:r>
        <w:rPr>
          <w:sz w:val="24"/>
        </w:rPr>
        <w:t xml:space="preserve"> et aux livres régionaux. Les ouvrages sont ensuite collationnés et décrits en détail (reliure, provenance…). Cette étape permet de sélectionner les ouvrages seront diffusés sur le site des BVH, après avoir été numérisés et indexés. </w:t>
      </w:r>
      <w:r>
        <w:rPr>
          <w:sz w:val="24"/>
        </w:rPr>
      </w:r>
    </w:p>
    <w:p w14:paraId="61AEF30E" w14:textId="3D56E8B4">
      <w:pPr>
        <w:pBdr/>
        <w:spacing/>
        <w:ind/>
        <w:jc w:val="both"/>
        <w:rPr>
          <w:sz w:val="24"/>
        </w:rPr>
      </w:pPr>
      <w:r>
        <w:rPr>
          <w:sz w:val="24"/>
        </w:rPr>
        <w:t xml:space="preserve">Elle revêt un caractère essentiel dans les politiques de conservation des institutions culturelles depuis de nombreuses années, si bien que la numérisation précède souvent l’idée même de constituer une bibliothèque numérique.</w:t>
      </w:r>
      <w:r>
        <w:rPr>
          <w:sz w:val="24"/>
        </w:rPr>
      </w:r>
    </w:p>
    <w:p w14:paraId="4A2A1755" w14:textId="132B2ABF">
      <w:pPr>
        <w:pBdr/>
        <w:spacing/>
        <w:ind/>
        <w:jc w:val="both"/>
        <w:rPr>
          <w:sz w:val="24"/>
        </w:rPr>
      </w:pPr>
      <w:r>
        <w:rPr>
          <w:sz w:val="24"/>
        </w:rPr>
        <w:t xml:space="preserve">Ce décalage entre les premières numérisations et la mise en ligne montre dans un premier temps la numérisation avai</w:t>
      </w:r>
      <w:r>
        <w:rPr>
          <w:sz w:val="24"/>
        </w:rPr>
        <w:t xml:space="preserve">t principalement un objectif de préservation des documents, et non de valorisation des collections.  A partir des années 2000, cette tendance s’est toutefois inversée, la valorisation et la communication ayant tendance à prendre le pas sur la préservation.</w:t>
      </w:r>
      <w:r>
        <w:rPr>
          <w:sz w:val="24"/>
        </w:rPr>
      </w:r>
    </w:p>
    <w:p w14:paraId="7A139F80" w14:textId="73C341D2">
      <w:pPr>
        <w:pBdr/>
        <w:spacing/>
        <w:ind/>
        <w:jc w:val="both"/>
        <w:rPr>
          <w:sz w:val="24"/>
        </w:rPr>
      </w:pPr>
      <w:r>
        <w:rPr>
          <w:sz w:val="24"/>
        </w:rPr>
        <w:t xml:space="preserve">La première contrainte est avant tout matérielle. Les appareils de numérisation sont onéreux et requièrent un personnel qualifié. Pour pallier ces obstacles </w:t>
      </w:r>
      <w:r>
        <w:rPr>
          <w:sz w:val="24"/>
        </w:rPr>
        <w:t xml:space="preserve">à la numérisation </w:t>
      </w:r>
      <w:r>
        <w:rPr>
          <w:i/>
          <w:sz w:val="24"/>
        </w:rPr>
        <w:t xml:space="preserve">in situ</w:t>
      </w:r>
      <w:r>
        <w:rPr>
          <w:sz w:val="24"/>
        </w:rPr>
        <w:t xml:space="preserve">, certaines institutions ont alors recours à un prestataire extérieur. L’état m</w:t>
      </w:r>
      <w:r>
        <w:rPr>
          <w:sz w:val="24"/>
        </w:rPr>
        <w:t xml:space="preserve">atériel de certains ouvrages peut également être perçu comme un frein à la numérisation, dans la mesure où ils peuvent requérir des traitements techniques particuliers, par exemple si la reliure est fragile et qu’il est difficile d’ouvrir l’ouvrage à plat.</w:t>
      </w:r>
      <w:r>
        <w:rPr>
          <w:sz w:val="24"/>
        </w:rPr>
      </w:r>
    </w:p>
    <w:p w14:paraId="24C10D67" w14:textId="263DF555">
      <w:pPr>
        <w:pBdr/>
        <w:spacing/>
        <w:ind/>
        <w:jc w:val="both"/>
        <w:rPr>
          <w:sz w:val="24"/>
        </w:rPr>
      </w:pPr>
      <w:r>
        <w:rPr>
          <w:sz w:val="24"/>
        </w:rPr>
        <w:t xml:space="preserve">p.53 : </w:t>
      </w:r>
      <w:r>
        <w:rPr>
          <w:sz w:val="24"/>
        </w:rPr>
      </w:r>
    </w:p>
    <w:p w14:paraId="31F9734E" w14:textId="1C8160BA">
      <w:pPr>
        <w:pBdr/>
        <w:spacing/>
        <w:ind/>
        <w:jc w:val="both"/>
        <w:rPr>
          <w:sz w:val="24"/>
        </w:rPr>
      </w:pPr>
      <w:r>
        <w:rPr>
          <w:sz w:val="24"/>
        </w:rPr>
        <w:t xml:space="preserve">Contraintes lié à la gestion et à la conservation des documents numérisés comme le rappelle Emmanuelle </w:t>
      </w:r>
      <w:r>
        <w:rPr>
          <w:sz w:val="24"/>
        </w:rPr>
        <w:t xml:space="preserve">Bermès</w:t>
      </w:r>
      <w:r>
        <w:rPr>
          <w:sz w:val="24"/>
        </w:rPr>
        <w:t xml:space="preserve">.</w:t>
      </w:r>
      <w:r>
        <w:rPr>
          <w:sz w:val="24"/>
        </w:rPr>
      </w:r>
    </w:p>
    <w:p w14:paraId="1A13E165" w14:textId="6F876789">
      <w:pPr>
        <w:pBdr/>
        <w:spacing/>
        <w:ind/>
        <w:jc w:val="both"/>
        <w:rPr>
          <w:sz w:val="24"/>
        </w:rPr>
      </w:pPr>
      <w:r>
        <w:rPr>
          <w:sz w:val="24"/>
        </w:rPr>
        <w:t xml:space="preserve">« Le document numérique devient donc pour les bibliothèques, les archives et les musées un docume</w:t>
      </w:r>
      <w:r>
        <w:rPr>
          <w:sz w:val="24"/>
        </w:rPr>
        <w:t xml:space="preserve">nt au même titre que les autres. La numérisation crée ainsi un nouveau patrimoine, qui doit être l’objet des règles de conservations habituelles. Les techniques spécifiques de gestion documentaire doivent donc être adaptées aux spécificités du numérique ».</w:t>
      </w:r>
      <w:r>
        <w:rPr>
          <w:sz w:val="24"/>
        </w:rPr>
      </w:r>
    </w:p>
    <w:p w14:paraId="389BD4A0" w14:textId="61D29053">
      <w:pPr>
        <w:pBdr/>
        <w:spacing/>
        <w:ind/>
        <w:jc w:val="both"/>
        <w:rPr>
          <w:sz w:val="24"/>
        </w:rPr>
      </w:pPr>
      <w:r>
        <w:rPr>
          <w:sz w:val="24"/>
        </w:rPr>
        <w:t xml:space="preserve">Le document numérique fait face à une certaine instabilité. Il est, en effet, confronté à une obsolescence rapide des formats qui contraint les conservateurs à « questionner [leurs] savoir-faire » (</w:t>
      </w:r>
      <w:r>
        <w:rPr>
          <w:sz w:val="24"/>
        </w:rPr>
        <w:t xml:space="preserve">Bermès</w:t>
      </w:r>
      <w:r>
        <w:rPr>
          <w:sz w:val="24"/>
        </w:rPr>
        <w:t xml:space="preserve"> 2011.301). </w:t>
      </w:r>
      <w:r>
        <w:rPr>
          <w:sz w:val="24"/>
        </w:rPr>
      </w:r>
    </w:p>
    <w:p w14:paraId="65F7B8A3" w14:textId="69BA4E3D">
      <w:pPr>
        <w:pBdr/>
        <w:spacing/>
        <w:ind/>
        <w:jc w:val="both"/>
        <w:rPr>
          <w:sz w:val="24"/>
        </w:rPr>
      </w:pPr>
      <w:r>
        <w:rPr>
          <w:sz w:val="24"/>
        </w:rPr>
        <w:t xml:space="preserve">L’enjeu de la conservation des documents numériques rés</w:t>
      </w:r>
      <w:r>
        <w:rPr>
          <w:sz w:val="24"/>
        </w:rPr>
        <w:t xml:space="preserve">ide alors dans la gestion des métadonnées. Ce sont les métadonnées, descriptives et techniques, qui permettent aux ressources numérisées d’être manipulables et exploitables par les machines, mais qui garantissent aussi leur accessibilité sur le long terme.</w:t>
      </w:r>
      <w:r>
        <w:rPr>
          <w:sz w:val="24"/>
        </w:rPr>
      </w:r>
    </w:p>
    <w:p w14:paraId="2B587C76" w14:textId="0BEA1590">
      <w:pPr>
        <w:pBdr/>
        <w:spacing/>
        <w:ind/>
        <w:jc w:val="both"/>
        <w:rPr>
          <w:sz w:val="24"/>
        </w:rPr>
      </w:pPr>
      <w:r>
        <w:rPr>
          <w:sz w:val="24"/>
        </w:rPr>
        <w:t xml:space="preserve">p.54 : le partage des données</w:t>
      </w:r>
      <w:r>
        <w:rPr>
          <w:sz w:val="24"/>
        </w:rPr>
      </w:r>
    </w:p>
    <w:p w14:paraId="2E49F3E1" w14:textId="7D334EB2">
      <w:pPr>
        <w:pBdr/>
        <w:spacing/>
        <w:ind/>
        <w:jc w:val="both"/>
        <w:rPr>
          <w:sz w:val="24"/>
        </w:rPr>
      </w:pPr>
      <w:r>
        <w:rPr>
          <w:sz w:val="24"/>
        </w:rPr>
        <w:t xml:space="preserve">La</w:t>
      </w:r>
      <w:r>
        <w:rPr>
          <w:sz w:val="24"/>
        </w:rPr>
        <w:t xml:space="preserve"> méthode la plus connue pour partager des données est le moissonnage, qui repose sur le principe de l’ouverture des données. Il existe un protocole spécifique du nom d’OAI-PMH pour </w:t>
      </w:r>
      <w:r>
        <w:rPr>
          <w:i/>
          <w:sz w:val="24"/>
        </w:rPr>
        <w:t xml:space="preserve">Open Archive Initiative – Protocol for </w:t>
      </w:r>
      <w:r>
        <w:rPr>
          <w:i/>
          <w:sz w:val="24"/>
        </w:rPr>
        <w:t xml:space="preserve">Metadata</w:t>
      </w:r>
      <w:r>
        <w:rPr>
          <w:i/>
          <w:sz w:val="24"/>
        </w:rPr>
        <w:t xml:space="preserve"> </w:t>
      </w:r>
      <w:r>
        <w:rPr>
          <w:i/>
          <w:sz w:val="24"/>
        </w:rPr>
        <w:t xml:space="preserve">Harvesting</w:t>
      </w:r>
      <w:r>
        <w:rPr>
          <w:sz w:val="24"/>
        </w:rPr>
        <w:t xml:space="preserve">. Il a été </w:t>
      </w:r>
      <w:r>
        <w:rPr>
          <w:sz w:val="24"/>
        </w:rPr>
        <w:t xml:space="preserve">« </w:t>
      </w:r>
      <w:r>
        <w:rPr>
          <w:sz w:val="24"/>
        </w:rPr>
        <w:t xml:space="preserve">conçu </w:t>
      </w:r>
      <w:r>
        <w:rPr>
          <w:sz w:val="24"/>
        </w:rPr>
        <w:t xml:space="preserve">spécifiquement pour la mise en place de portails et méta-moteurs fournissant un accès unique à des bases de données et ressources de natures et formats divers ».</w:t>
      </w:r>
      <w:r>
        <w:rPr>
          <w:sz w:val="24"/>
        </w:rPr>
      </w:r>
    </w:p>
    <w:p w14:paraId="259685D9" w14:textId="478072A0">
      <w:pPr>
        <w:pBdr/>
        <w:spacing/>
        <w:ind/>
        <w:jc w:val="both"/>
        <w:rPr>
          <w:sz w:val="24"/>
        </w:rPr>
      </w:pPr>
      <w:r>
        <w:rPr>
          <w:sz w:val="24"/>
        </w:rPr>
        <w:t xml:space="preserve">Il permet d’échanger et de faire communiquer des données entre elles, par la construction d’entrepôts que des organismes moissonneurs récupèrent et indexent dans d’autres programmes.</w:t>
      </w:r>
      <w:r>
        <w:rPr>
          <w:sz w:val="24"/>
        </w:rPr>
      </w:r>
    </w:p>
    <w:p w14:paraId="25BA4B27" w14:textId="75930CF2">
      <w:pPr>
        <w:pBdr/>
        <w:spacing/>
        <w:ind/>
        <w:jc w:val="both"/>
        <w:rPr>
          <w:sz w:val="24"/>
        </w:rPr>
      </w:pPr>
      <w:r>
        <w:rPr>
          <w:sz w:val="24"/>
        </w:rPr>
        <w:t xml:space="preserve">Il joue sur l’interopérabilité des données grâce au format </w:t>
      </w:r>
      <w:r>
        <w:rPr>
          <w:i/>
          <w:sz w:val="24"/>
        </w:rPr>
        <w:t xml:space="preserve">Dublin Core</w:t>
      </w:r>
      <w:r>
        <w:rPr>
          <w:sz w:val="24"/>
        </w:rPr>
        <w:t xml:space="preserve">. Sa souplesse et sa simplicité en font le protocole le plus populaire parmi les bibliothèques numériques, si bien que certaines reposent uniquement sur lui pour constituer leurs collections, à l’exemple d’</w:t>
      </w:r>
      <w:r>
        <w:rPr>
          <w:sz w:val="24"/>
        </w:rPr>
        <w:t xml:space="preserve">Europeana</w:t>
      </w:r>
      <w:r>
        <w:rPr>
          <w:sz w:val="24"/>
        </w:rPr>
        <w:t xml:space="preserve">. </w:t>
      </w:r>
      <w:r>
        <w:rPr>
          <w:sz w:val="24"/>
        </w:rPr>
      </w:r>
    </w:p>
    <w:p w14:paraId="25648C56" w14:textId="298E6F4A">
      <w:pPr>
        <w:pBdr/>
        <w:spacing/>
        <w:ind/>
        <w:jc w:val="both"/>
        <w:rPr>
          <w:sz w:val="24"/>
        </w:rPr>
      </w:pPr>
      <w:r>
        <w:rPr>
          <w:sz w:val="24"/>
        </w:rPr>
        <w:t xml:space="preserve">L’intérêt du moissonnage de données est qu’il permet de rendre visible les collections des bibliothèques de niche, tout en préservant l’existence et l’identité de ces dernières.</w:t>
      </w:r>
      <w:r>
        <w:rPr>
          <w:sz w:val="24"/>
        </w:rPr>
      </w:r>
    </w:p>
    <w:p w14:paraId="5EE6032E" w14:textId="0CA83CA3">
      <w:pPr>
        <w:pBdr/>
        <w:spacing/>
        <w:ind/>
        <w:jc w:val="both"/>
        <w:rPr>
          <w:sz w:val="24"/>
        </w:rPr>
      </w:pPr>
      <w:r>
        <w:rPr>
          <w:sz w:val="24"/>
        </w:rPr>
        <w:t xml:space="preserve">L’une des caractéristiques principales de ce protocole est de ne récupérer que les métadonnées des ressources, la consultation s’effectuant sur le site d’</w:t>
      </w:r>
      <w:r>
        <w:rPr>
          <w:sz w:val="24"/>
        </w:rPr>
        <w:t xml:space="preserve">origine. Mais cela peut poser des problèmes pour certains.</w:t>
      </w:r>
      <w:r>
        <w:rPr>
          <w:sz w:val="24"/>
        </w:rPr>
      </w:r>
    </w:p>
    <w:p w14:paraId="5D0318FC" w14:textId="20F4F629">
      <w:pPr>
        <w:pBdr/>
        <w:spacing/>
        <w:ind/>
        <w:jc w:val="both"/>
        <w:rPr>
          <w:sz w:val="24"/>
        </w:rPr>
      </w:pPr>
      <w:r>
        <w:rPr>
          <w:sz w:val="24"/>
        </w:rPr>
        <w:t xml:space="preserve">p.55 :</w:t>
      </w:r>
      <w:r>
        <w:rPr>
          <w:sz w:val="24"/>
        </w:rPr>
      </w:r>
    </w:p>
    <w:p w14:paraId="709439E4" w14:textId="2D30ACA2">
      <w:pPr>
        <w:pBdr/>
        <w:spacing/>
        <w:ind/>
        <w:jc w:val="both"/>
        <w:rPr>
          <w:sz w:val="24"/>
        </w:rPr>
      </w:pPr>
      <w:r>
        <w:rPr>
          <w:sz w:val="24"/>
        </w:rPr>
        <w:t xml:space="preserve">L’objectif de </w:t>
      </w:r>
      <w:r>
        <w:rPr>
          <w:sz w:val="24"/>
        </w:rPr>
        <w:t xml:space="preserve">biblissima</w:t>
      </w:r>
      <w:r>
        <w:rPr>
          <w:sz w:val="24"/>
        </w:rPr>
        <w:t xml:space="preserve"> est d’assurer que les ressources et leurs métadonnées soient indépendantes des outils et des lieux où elles sont stockées, permettant ainsi de les afficher même si elles sont conservées sur les serveurs d’une autre bibliothèque numérique. </w:t>
      </w:r>
      <w:r>
        <w:rPr>
          <w:sz w:val="24"/>
        </w:rPr>
      </w:r>
    </w:p>
    <w:p w14:paraId="3F5B9F17" w14:textId="593C654B">
      <w:pPr>
        <w:pBdr/>
        <w:spacing/>
        <w:ind/>
        <w:jc w:val="both"/>
        <w:rPr>
          <w:sz w:val="24"/>
        </w:rPr>
      </w:pPr>
      <w:r>
        <w:rPr>
          <w:sz w:val="24"/>
        </w:rPr>
        <w:t xml:space="preserve">Biblissima</w:t>
      </w:r>
      <w:r>
        <w:rPr>
          <w:sz w:val="24"/>
        </w:rPr>
        <w:t xml:space="preserve"> a choisi de s’appuyer sur le modèle </w:t>
      </w:r>
      <w:r>
        <w:rPr>
          <w:i/>
          <w:sz w:val="24"/>
        </w:rPr>
        <w:t xml:space="preserve">SharedCanvas</w:t>
      </w:r>
      <w:r>
        <w:rPr>
          <w:sz w:val="24"/>
        </w:rPr>
        <w:t xml:space="preserve">, associé au protocole </w:t>
      </w:r>
      <w:r>
        <w:rPr>
          <w:sz w:val="24"/>
        </w:rPr>
        <w:t xml:space="preserve">IIIF[</w:t>
      </w:r>
      <w:r>
        <w:rPr>
          <w:sz w:val="24"/>
        </w:rPr>
        <w:t xml:space="preserve">…] qui garantit que l’image affichée correspond à la bonne page du bon manuscrit. Ce référentiel prend la forme d’un canevas, c’est-à-dire d’une « unité abstraite se rapportant à l’unité de base de l’objet physique [page, feuillet] décrit ».</w:t>
      </w:r>
      <w:r>
        <w:rPr>
          <w:sz w:val="24"/>
        </w:rPr>
      </w:r>
    </w:p>
    <w:p w14:paraId="7D06DBCA" w14:textId="31B1A755">
      <w:pPr>
        <w:pBdr/>
        <w:spacing/>
        <w:ind/>
        <w:jc w:val="both"/>
        <w:rPr>
          <w:sz w:val="24"/>
        </w:rPr>
      </w:pPr>
      <w:r>
        <w:rPr>
          <w:sz w:val="24"/>
        </w:rPr>
        <w:t xml:space="preserve">Malgré cette harmonisation de la consultation, la méthode exige un long et lourd travail de normalisation des données </w:t>
      </w:r>
      <w:r>
        <w:rPr>
          <w:sz w:val="24"/>
        </w:rPr>
        <w:t xml:space="preserve">de la part des bibliothèques partenaires. Elle entraîne, qui plus est, des difficultés techniques dans la mesure où tous les outils de visualisation ne sont pas compatibles avec IIIF, mais aussi juridiques quant à la gestion de la propriété intellectuelle.</w:t>
      </w:r>
      <w:r>
        <w:rPr>
          <w:sz w:val="24"/>
        </w:rPr>
      </w:r>
    </w:p>
    <w:p w14:paraId="47D1B520" w14:textId="06678AB9">
      <w:pPr>
        <w:pBdr/>
        <w:spacing/>
        <w:ind/>
        <w:jc w:val="both"/>
        <w:rPr>
          <w:sz w:val="24"/>
        </w:rPr>
      </w:pPr>
      <w:r>
        <w:rPr>
          <w:sz w:val="24"/>
        </w:rPr>
        <w:t xml:space="preserve">p.56 : la visualisation des collections : entre consultation in situ et consultation externalisée</w:t>
      </w:r>
      <w:r>
        <w:rPr>
          <w:sz w:val="24"/>
        </w:rPr>
      </w:r>
    </w:p>
    <w:p w14:paraId="4D418F5B" w14:textId="1B54989A">
      <w:pPr>
        <w:pBdr/>
        <w:spacing/>
        <w:ind/>
        <w:jc w:val="both"/>
        <w:rPr>
          <w:sz w:val="24"/>
        </w:rPr>
      </w:pPr>
      <w:r>
        <w:rPr>
          <w:sz w:val="24"/>
        </w:rPr>
        <w:t xml:space="preserve">pour</w:t>
      </w:r>
      <w:r>
        <w:rPr>
          <w:sz w:val="24"/>
        </w:rPr>
        <w:t xml:space="preserve"> être ergonomique, une interface doit être homogène. Elle doit avoir une cohérence non seulement logique, mais aussi, c’est-à-dire que l’utilisateur doit être confronté à des procédures et des réactions du système similaire pour une même tâche.</w:t>
      </w:r>
      <w:r>
        <w:rPr>
          <w:sz w:val="24"/>
        </w:rPr>
      </w:r>
    </w:p>
    <w:p w14:paraId="176F1F6B" w14:textId="33564B48">
      <w:pPr>
        <w:pBdr/>
        <w:spacing/>
        <w:ind/>
        <w:jc w:val="both"/>
        <w:rPr>
          <w:sz w:val="24"/>
        </w:rPr>
      </w:pPr>
      <w:r>
        <w:rPr>
          <w:sz w:val="24"/>
        </w:rPr>
        <w:t xml:space="preserve">p.57 :</w:t>
      </w:r>
      <w:r>
        <w:rPr>
          <w:sz w:val="24"/>
        </w:rPr>
      </w:r>
    </w:p>
    <w:p w14:paraId="1092D2F7" w14:textId="46D74FB3">
      <w:pPr>
        <w:pBdr/>
        <w:spacing/>
        <w:ind/>
        <w:jc w:val="both"/>
        <w:rPr>
          <w:sz w:val="24"/>
        </w:rPr>
      </w:pPr>
      <w:r>
        <w:rPr>
          <w:sz w:val="24"/>
        </w:rPr>
        <w:t xml:space="preserve">en</w:t>
      </w:r>
      <w:r>
        <w:rPr>
          <w:sz w:val="24"/>
        </w:rPr>
        <w:t xml:space="preserve"> termes de présentation, le moissonnage de données se traduit par l’affichage des métadonnées d’une ressource comme dans n’importe quel catalogue de bibliothèque. </w:t>
      </w:r>
      <w:r>
        <w:rPr>
          <w:sz w:val="24"/>
        </w:rPr>
      </w:r>
    </w:p>
    <w:p w14:paraId="4D196A5B" w14:textId="0B2D1DEE">
      <w:pPr>
        <w:pBdr/>
        <w:spacing/>
        <w:ind/>
        <w:jc w:val="both"/>
        <w:rPr>
          <w:sz w:val="24"/>
        </w:rPr>
      </w:pPr>
      <w:r>
        <w:rPr>
          <w:sz w:val="24"/>
        </w:rPr>
        <w:t xml:space="preserve">p.59 :</w:t>
      </w:r>
      <w:r>
        <w:rPr>
          <w:sz w:val="24"/>
        </w:rPr>
      </w:r>
    </w:p>
    <w:p w14:paraId="5CE1EA9B" w14:textId="7B2438DB">
      <w:pPr>
        <w:pBdr/>
        <w:spacing/>
        <w:ind/>
        <w:jc w:val="both"/>
        <w:rPr>
          <w:sz w:val="24"/>
        </w:rPr>
      </w:pPr>
      <w:r>
        <w:rPr>
          <w:sz w:val="24"/>
        </w:rPr>
        <w:t xml:space="preserve">les</w:t>
      </w:r>
      <w:r>
        <w:rPr>
          <w:sz w:val="24"/>
        </w:rPr>
        <w:t xml:space="preserve"> portails apparaissent donc comme des intermédiaires entre les utilisateurs et les bibliothèques numériques spécialisées, comme des interfaces de référence qui, de </w:t>
      </w:r>
      <w:r>
        <w:rPr>
          <w:sz w:val="24"/>
        </w:rPr>
        <w:t xml:space="preserve">la même manière qu’elles agrègent les ressources, agrègent aussi les utilisateurs. Cela conduit à une rationalisation du paysage culturel numérique, en réunissant au sein d’une même interface des projets mus par des thématiques et des objectifs similaires.</w:t>
      </w:r>
      <w:r>
        <w:rPr>
          <w:sz w:val="24"/>
        </w:rPr>
      </w:r>
    </w:p>
    <w:p w14:paraId="37A61216" w14:textId="1E64BAB9">
      <w:pPr>
        <w:pBdr/>
        <w:spacing w:after="0" w:line="240" w:lineRule="auto"/>
        <w:ind/>
        <w:jc w:val="both"/>
        <w:rPr>
          <w:rFonts w:cstheme="minorHAnsi"/>
          <w:sz w:val="24"/>
          <w:szCs w:val="24"/>
        </w:rPr>
      </w:pPr>
      <w:r>
        <w:rPr>
          <w:rFonts w:cstheme="minorHAnsi"/>
          <w:sz w:val="24"/>
          <w:szCs w:val="24"/>
        </w:rPr>
        <w:t xml:space="preserve">Le partage de données n’est pas obligatoirement synonyme de consultation externalisée,</w:t>
      </w:r>
      <w:r>
        <w:rPr>
          <w:rFonts w:cstheme="minorHAnsi"/>
          <w:sz w:val="24"/>
          <w:szCs w:val="24"/>
        </w:rPr>
        <w:t xml:space="preserve"> </w:t>
      </w:r>
      <w:r>
        <w:rPr>
          <w:rFonts w:cstheme="minorHAnsi"/>
          <w:sz w:val="24"/>
          <w:szCs w:val="24"/>
        </w:rPr>
        <w:t xml:space="preserve">comme tend à le démontrer le projet </w:t>
      </w:r>
      <w:r>
        <w:rPr>
          <w:rFonts w:cstheme="minorHAnsi"/>
          <w:i/>
          <w:iCs/>
          <w:sz w:val="24"/>
          <w:szCs w:val="24"/>
        </w:rPr>
        <w:t xml:space="preserve">Biblissima</w:t>
      </w:r>
      <w:r>
        <w:rPr>
          <w:rFonts w:cstheme="minorHAnsi"/>
          <w:sz w:val="24"/>
          <w:szCs w:val="24"/>
        </w:rPr>
        <w:t xml:space="preserve">. En effet, le protocole IIIF permet aux images d’être</w:t>
      </w:r>
      <w:r>
        <w:rPr>
          <w:rFonts w:cstheme="minorHAnsi"/>
          <w:sz w:val="24"/>
          <w:szCs w:val="24"/>
        </w:rPr>
        <w:t xml:space="preserve"> </w:t>
      </w:r>
      <w:r>
        <w:rPr>
          <w:rFonts w:cstheme="minorHAnsi"/>
          <w:sz w:val="24"/>
          <w:szCs w:val="24"/>
        </w:rPr>
        <w:t xml:space="preserve">interopérables et donc d’être consultables depuis une autre interface que celle de l’institution culturelle</w:t>
      </w:r>
      <w:r>
        <w:rPr>
          <w:rFonts w:cstheme="minorHAnsi"/>
          <w:sz w:val="24"/>
          <w:szCs w:val="24"/>
        </w:rPr>
        <w:t xml:space="preserve"> </w:t>
      </w:r>
      <w:r>
        <w:rPr>
          <w:rFonts w:cstheme="minorHAnsi"/>
          <w:sz w:val="24"/>
          <w:szCs w:val="24"/>
        </w:rPr>
        <w:t xml:space="preserve">qui les héberge.</w:t>
      </w:r>
      <w:r>
        <w:rPr>
          <w:rFonts w:cstheme="minorHAnsi"/>
          <w:sz w:val="24"/>
          <w:szCs w:val="24"/>
        </w:rPr>
      </w:r>
    </w:p>
    <w:p w14:paraId="195C1790" w14:textId="7D00A64E">
      <w:pPr>
        <w:pBdr/>
        <w:spacing w:after="0" w:line="240" w:lineRule="auto"/>
        <w:ind/>
        <w:jc w:val="both"/>
        <w:rPr>
          <w:rFonts w:cstheme="minorHAnsi"/>
          <w:sz w:val="24"/>
          <w:szCs w:val="24"/>
        </w:rPr>
      </w:pPr>
      <w:r>
        <w:rPr>
          <w:rFonts w:cstheme="minorHAnsi"/>
          <w:sz w:val="24"/>
          <w:szCs w:val="24"/>
        </w:rPr>
      </w:r>
      <w:r>
        <w:rPr>
          <w:rFonts w:cstheme="minorHAnsi"/>
          <w:sz w:val="24"/>
          <w:szCs w:val="24"/>
        </w:rPr>
      </w:r>
    </w:p>
    <w:p w14:paraId="1CF90AFB" w14:textId="7146CEF7">
      <w:pPr>
        <w:pBdr/>
        <w:spacing w:after="0" w:line="240" w:lineRule="auto"/>
        <w:ind/>
        <w:jc w:val="both"/>
        <w:rPr>
          <w:rFonts w:cstheme="minorHAnsi"/>
          <w:sz w:val="24"/>
          <w:szCs w:val="24"/>
        </w:rPr>
      </w:pPr>
      <w:r>
        <w:rPr>
          <w:rFonts w:cstheme="minorHAnsi"/>
          <w:sz w:val="24"/>
          <w:szCs w:val="24"/>
        </w:rPr>
        <w:t xml:space="preserve">p.60 :</w:t>
      </w:r>
      <w:r>
        <w:rPr>
          <w:rFonts w:cstheme="minorHAnsi"/>
          <w:sz w:val="24"/>
          <w:szCs w:val="24"/>
        </w:rPr>
      </w:r>
    </w:p>
    <w:p w14:paraId="447ED955" w14:textId="5D769D9B">
      <w:pPr>
        <w:pBdr/>
        <w:spacing w:after="0" w:line="240" w:lineRule="auto"/>
        <w:ind/>
        <w:jc w:val="both"/>
        <w:rPr>
          <w:rFonts w:cstheme="minorHAnsi"/>
          <w:sz w:val="24"/>
          <w:szCs w:val="24"/>
        </w:rPr>
      </w:pPr>
      <w:r>
        <w:rPr>
          <w:rFonts w:cstheme="minorHAnsi"/>
          <w:sz w:val="24"/>
          <w:szCs w:val="24"/>
        </w:rPr>
        <w:t xml:space="preserve">Le choix d’un protocole de numérisation ou de partage de données contribue au processus</w:t>
      </w:r>
      <w:r>
        <w:rPr>
          <w:rFonts w:cstheme="minorHAnsi"/>
          <w:sz w:val="24"/>
          <w:szCs w:val="24"/>
        </w:rPr>
        <w:t xml:space="preserve"> </w:t>
      </w:r>
      <w:r>
        <w:rPr>
          <w:rFonts w:cstheme="minorHAnsi"/>
          <w:sz w:val="24"/>
          <w:szCs w:val="24"/>
        </w:rPr>
        <w:t xml:space="preserve">d’</w:t>
      </w:r>
      <w:r>
        <w:rPr>
          <w:rFonts w:cstheme="minorHAnsi"/>
          <w:sz w:val="24"/>
          <w:szCs w:val="24"/>
        </w:rPr>
        <w:t xml:space="preserve">éditorialisation</w:t>
      </w:r>
      <w:r>
        <w:rPr>
          <w:rFonts w:cstheme="minorHAnsi"/>
          <w:sz w:val="24"/>
          <w:szCs w:val="24"/>
        </w:rPr>
        <w:t xml:space="preserve"> des contenus et </w:t>
      </w:r>
      <w:r>
        <w:rPr>
          <w:rFonts w:cstheme="minorHAnsi"/>
          <w:sz w:val="24"/>
          <w:szCs w:val="24"/>
        </w:rPr>
        <w:t xml:space="preserve">des connaissances diffusés</w:t>
      </w:r>
      <w:r>
        <w:rPr>
          <w:rFonts w:cstheme="minorHAnsi"/>
          <w:sz w:val="24"/>
          <w:szCs w:val="24"/>
        </w:rPr>
        <w:t xml:space="preserve"> par une bibliothèque numérique. Telle</w:t>
      </w:r>
      <w:r>
        <w:rPr>
          <w:rFonts w:cstheme="minorHAnsi"/>
          <w:sz w:val="24"/>
          <w:szCs w:val="24"/>
        </w:rPr>
        <w:t xml:space="preserve"> </w:t>
      </w:r>
      <w:r>
        <w:rPr>
          <w:rFonts w:cstheme="minorHAnsi"/>
          <w:sz w:val="24"/>
          <w:szCs w:val="24"/>
        </w:rPr>
        <w:t xml:space="preserve">que définie par Marcello </w:t>
      </w:r>
      <w:r>
        <w:rPr>
          <w:rFonts w:cstheme="minorHAnsi"/>
          <w:sz w:val="24"/>
          <w:szCs w:val="24"/>
        </w:rPr>
        <w:t xml:space="preserve">Vitali-Rosati</w:t>
      </w:r>
      <w:r>
        <w:rPr>
          <w:rFonts w:cstheme="minorHAnsi"/>
          <w:sz w:val="24"/>
          <w:szCs w:val="24"/>
        </w:rPr>
        <w:t xml:space="preserve">, l’</w:t>
      </w:r>
      <w:r>
        <w:rPr>
          <w:rFonts w:cstheme="minorHAnsi"/>
          <w:sz w:val="24"/>
          <w:szCs w:val="24"/>
        </w:rPr>
        <w:t xml:space="preserve">éditorialisation</w:t>
      </w:r>
      <w:r>
        <w:rPr>
          <w:rFonts w:cstheme="minorHAnsi"/>
          <w:sz w:val="24"/>
          <w:szCs w:val="24"/>
        </w:rPr>
        <w:t xml:space="preserve"> désigne « l’ensemble des dynamiques qui</w:t>
      </w:r>
      <w:r>
        <w:rPr>
          <w:rFonts w:cstheme="minorHAnsi"/>
          <w:sz w:val="24"/>
          <w:szCs w:val="24"/>
        </w:rPr>
        <w:t xml:space="preserve"> </w:t>
      </w:r>
      <w:r>
        <w:rPr>
          <w:rFonts w:cstheme="minorHAnsi"/>
          <w:sz w:val="24"/>
          <w:szCs w:val="24"/>
        </w:rPr>
        <w:t xml:space="preserve">produisent et structurent l’espace numérique » (2016, 8). Ces dynamiques sont à la fois techniques,</w:t>
      </w:r>
      <w:r>
        <w:rPr>
          <w:rFonts w:cstheme="minorHAnsi"/>
          <w:sz w:val="24"/>
          <w:szCs w:val="24"/>
        </w:rPr>
        <w:t xml:space="preserve"> </w:t>
      </w:r>
      <w:r>
        <w:rPr>
          <w:rFonts w:cstheme="minorHAnsi"/>
          <w:sz w:val="24"/>
          <w:szCs w:val="24"/>
        </w:rPr>
        <w:t xml:space="preserve">culturelles et pratiques, et façonnent la manière dont un contenu est représenté dans un environnement</w:t>
      </w:r>
      <w:r>
        <w:rPr>
          <w:rFonts w:cstheme="minorHAnsi"/>
          <w:sz w:val="24"/>
          <w:szCs w:val="24"/>
        </w:rPr>
        <w:t xml:space="preserve"> </w:t>
      </w:r>
      <w:r>
        <w:rPr>
          <w:rFonts w:cstheme="minorHAnsi"/>
          <w:sz w:val="24"/>
          <w:szCs w:val="24"/>
        </w:rPr>
        <w:t xml:space="preserve">numérique. À travers l’</w:t>
      </w:r>
      <w:r>
        <w:rPr>
          <w:rFonts w:cstheme="minorHAnsi"/>
          <w:sz w:val="24"/>
          <w:szCs w:val="24"/>
        </w:rPr>
        <w:t xml:space="preserve">éditorialisation</w:t>
      </w:r>
      <w:r>
        <w:rPr>
          <w:rFonts w:cstheme="minorHAnsi"/>
          <w:sz w:val="24"/>
          <w:szCs w:val="24"/>
        </w:rPr>
        <w:t xml:space="preserve"> des contenus et des connaissances qu’ils véhiculent, c’est le</w:t>
      </w:r>
      <w:r>
        <w:rPr>
          <w:rFonts w:cstheme="minorHAnsi"/>
          <w:sz w:val="24"/>
          <w:szCs w:val="24"/>
        </w:rPr>
        <w:t xml:space="preserve"> </w:t>
      </w:r>
      <w:r>
        <w:rPr>
          <w:rFonts w:cstheme="minorHAnsi"/>
          <w:sz w:val="24"/>
          <w:szCs w:val="24"/>
        </w:rPr>
        <w:t xml:space="preserve">monde lui-même qui est façonné, ainsi que les espaces dans lesquels nous vivons (</w:t>
      </w:r>
      <w:r>
        <w:rPr>
          <w:rFonts w:cstheme="minorHAnsi"/>
          <w:sz w:val="24"/>
          <w:szCs w:val="24"/>
        </w:rPr>
        <w:t xml:space="preserve">Vitali-Rosati</w:t>
      </w:r>
      <w:r>
        <w:rPr>
          <w:rFonts w:cstheme="minorHAnsi"/>
          <w:sz w:val="24"/>
          <w:szCs w:val="24"/>
        </w:rPr>
        <w:t xml:space="preserve"> </w:t>
      </w:r>
      <w:r>
        <w:rPr>
          <w:rFonts w:cstheme="minorHAnsi"/>
          <w:sz w:val="24"/>
          <w:szCs w:val="24"/>
        </w:rPr>
        <w:t xml:space="preserve">2016). Dans cette perspective, les protocoles employés pour numériser et partager des contenus dans</w:t>
      </w:r>
      <w:r>
        <w:rPr>
          <w:rFonts w:cstheme="minorHAnsi"/>
          <w:sz w:val="24"/>
          <w:szCs w:val="24"/>
        </w:rPr>
        <w:t xml:space="preserve"> </w:t>
      </w:r>
      <w:r>
        <w:rPr>
          <w:rFonts w:cstheme="minorHAnsi"/>
          <w:sz w:val="24"/>
          <w:szCs w:val="24"/>
        </w:rPr>
        <w:t xml:space="preserve">environnement numérique contribuent à définir plusieurs manières de percevoir le patrimoine écrit</w:t>
      </w:r>
      <w:r>
        <w:rPr>
          <w:rFonts w:cstheme="minorHAnsi"/>
          <w:sz w:val="24"/>
          <w:szCs w:val="24"/>
        </w:rPr>
        <w:t xml:space="preserve"> </w:t>
      </w:r>
      <w:r>
        <w:rPr>
          <w:rFonts w:cstheme="minorHAnsi"/>
          <w:sz w:val="24"/>
          <w:szCs w:val="24"/>
        </w:rPr>
        <w:t xml:space="preserve">numérique.</w:t>
      </w:r>
      <w:r>
        <w:rPr>
          <w:rFonts w:cstheme="minorHAnsi"/>
          <w:sz w:val="24"/>
          <w:szCs w:val="24"/>
        </w:rPr>
      </w:r>
    </w:p>
    <w:p w14:paraId="2A893B0C" w14:textId="6DAAF8DF">
      <w:pPr>
        <w:pBdr/>
        <w:spacing w:after="0" w:line="240" w:lineRule="auto"/>
        <w:ind/>
        <w:jc w:val="both"/>
        <w:rPr>
          <w:rFonts w:cstheme="minorHAnsi"/>
          <w:sz w:val="24"/>
          <w:szCs w:val="24"/>
        </w:rPr>
      </w:pPr>
      <w:r>
        <w:rPr>
          <w:rFonts w:cstheme="minorHAnsi"/>
          <w:sz w:val="24"/>
          <w:szCs w:val="24"/>
        </w:rPr>
      </w:r>
      <w:r>
        <w:rPr>
          <w:rFonts w:cstheme="minorHAnsi"/>
          <w:sz w:val="24"/>
          <w:szCs w:val="24"/>
        </w:rPr>
      </w:r>
    </w:p>
    <w:p w14:paraId="531A8815" w14:textId="3207EB90">
      <w:pPr>
        <w:pBdr/>
        <w:spacing w:after="0" w:line="240" w:lineRule="auto"/>
        <w:ind/>
        <w:jc w:val="both"/>
        <w:rPr>
          <w:rFonts w:cstheme="minorHAnsi"/>
          <w:sz w:val="24"/>
          <w:szCs w:val="24"/>
        </w:rPr>
      </w:pPr>
      <w:r>
        <w:rPr>
          <w:rFonts w:cstheme="minorHAnsi"/>
          <w:sz w:val="24"/>
          <w:szCs w:val="24"/>
        </w:rPr>
        <w:t xml:space="preserve">p.61 : Les Bibliothèques numériques : un monde de services</w:t>
      </w:r>
      <w:r>
        <w:rPr>
          <w:rFonts w:cstheme="minorHAnsi"/>
          <w:sz w:val="24"/>
          <w:szCs w:val="24"/>
        </w:rPr>
      </w:r>
    </w:p>
    <w:p w14:paraId="74E4BF23" w14:textId="2A71AD47">
      <w:pPr>
        <w:pBdr/>
        <w:spacing w:after="0" w:line="240" w:lineRule="auto"/>
        <w:ind/>
        <w:jc w:val="both"/>
        <w:rPr>
          <w:rFonts w:cstheme="minorHAnsi"/>
          <w:sz w:val="24"/>
          <w:szCs w:val="24"/>
        </w:rPr>
      </w:pPr>
      <w:r>
        <w:rPr>
          <w:rFonts w:cstheme="minorHAnsi"/>
          <w:sz w:val="24"/>
          <w:szCs w:val="24"/>
        </w:rPr>
        <w:t xml:space="preserve">« Un service de bibliothèque est une prestation, une organisation fonctionnelle ou un outil conçus spécifiquement dans l’objectif final de satisfaire les besoins d’information d’un public préalablement défini, et utilisés directement par ce public (</w:t>
      </w:r>
      <w:r>
        <w:rPr>
          <w:rFonts w:cstheme="minorHAnsi"/>
          <w:sz w:val="24"/>
          <w:szCs w:val="24"/>
        </w:rPr>
        <w:t xml:space="preserve">Calenge</w:t>
      </w:r>
      <w:r>
        <w:rPr>
          <w:rFonts w:cstheme="minorHAnsi"/>
          <w:sz w:val="24"/>
          <w:szCs w:val="24"/>
        </w:rPr>
        <w:t xml:space="preserve"> 1999,338). »</w:t>
      </w:r>
      <w:r>
        <w:rPr>
          <w:rFonts w:cstheme="minorHAnsi"/>
          <w:sz w:val="24"/>
          <w:szCs w:val="24"/>
        </w:rPr>
      </w:r>
    </w:p>
    <w:p w14:paraId="5EFCFC8E" w14:textId="3B420738">
      <w:pPr>
        <w:pBdr/>
        <w:spacing w:after="0" w:line="240" w:lineRule="auto"/>
        <w:ind/>
        <w:jc w:val="both"/>
        <w:rPr>
          <w:rFonts w:cstheme="minorHAnsi"/>
          <w:sz w:val="24"/>
          <w:szCs w:val="24"/>
        </w:rPr>
      </w:pPr>
      <w:r>
        <w:rPr>
          <w:rFonts w:cstheme="minorHAnsi"/>
          <w:sz w:val="24"/>
          <w:szCs w:val="24"/>
        </w:rPr>
      </w:r>
      <w:r>
        <w:rPr>
          <w:rFonts w:cstheme="minorHAnsi"/>
          <w:sz w:val="24"/>
          <w:szCs w:val="24"/>
        </w:rPr>
      </w:r>
    </w:p>
    <w:p w14:paraId="6F1BD060" w14:textId="3F24D514">
      <w:pPr>
        <w:pBdr/>
        <w:spacing w:after="0" w:line="240" w:lineRule="auto"/>
        <w:ind/>
        <w:jc w:val="both"/>
        <w:rPr>
          <w:rFonts w:cstheme="minorHAnsi"/>
          <w:sz w:val="24"/>
          <w:szCs w:val="24"/>
        </w:rPr>
      </w:pPr>
      <w:r>
        <w:rPr>
          <w:rFonts w:cstheme="minorHAnsi"/>
          <w:sz w:val="24"/>
          <w:szCs w:val="24"/>
        </w:rPr>
        <w:t xml:space="preserve">Au cours de la dernière décennie, les bibliothèques ont commenc</w:t>
      </w:r>
      <w:r>
        <w:rPr>
          <w:rFonts w:cstheme="minorHAnsi"/>
          <w:sz w:val="24"/>
          <w:szCs w:val="24"/>
        </w:rPr>
        <w:t xml:space="preserve">é à prendre en compte l’utilisateur comme un contributeur actif de l’institution, et non plus seulement comme un usager passif. Cette prise de conscience les a conduites à se centrer sur la notion de service et à s’inscrire dans une logique de servuction. </w:t>
      </w:r>
      <w:r>
        <w:rPr>
          <w:rFonts w:cstheme="minorHAnsi"/>
          <w:sz w:val="24"/>
          <w:szCs w:val="24"/>
        </w:rPr>
      </w:r>
    </w:p>
    <w:p w14:paraId="030F48B8" w14:textId="7C657642">
      <w:pPr>
        <w:pBdr/>
        <w:spacing w:after="0" w:line="240" w:lineRule="auto"/>
        <w:ind/>
        <w:jc w:val="both"/>
        <w:rPr>
          <w:rFonts w:cstheme="minorHAnsi"/>
          <w:sz w:val="24"/>
          <w:szCs w:val="24"/>
        </w:rPr>
      </w:pPr>
      <w:r>
        <w:rPr>
          <w:rFonts w:cstheme="minorHAnsi"/>
          <w:sz w:val="24"/>
          <w:szCs w:val="24"/>
        </w:rPr>
      </w:r>
      <w:r>
        <w:rPr>
          <w:rFonts w:cstheme="minorHAnsi"/>
          <w:sz w:val="24"/>
          <w:szCs w:val="24"/>
        </w:rPr>
      </w:r>
    </w:p>
    <w:p w14:paraId="5B76C3C1" w14:textId="401C5AE0">
      <w:pPr>
        <w:pBdr/>
        <w:spacing w:after="0" w:line="240" w:lineRule="auto"/>
        <w:ind/>
        <w:jc w:val="both"/>
        <w:rPr>
          <w:rFonts w:cstheme="minorHAnsi"/>
          <w:sz w:val="24"/>
          <w:szCs w:val="24"/>
        </w:rPr>
      </w:pPr>
      <w:r>
        <w:rPr>
          <w:rFonts w:cstheme="minorHAnsi"/>
          <w:sz w:val="24"/>
          <w:szCs w:val="24"/>
        </w:rPr>
        <w:t xml:space="preserve">p.62 :</w:t>
      </w:r>
      <w:r>
        <w:rPr>
          <w:rFonts w:cstheme="minorHAnsi"/>
          <w:sz w:val="24"/>
          <w:szCs w:val="24"/>
        </w:rPr>
      </w:r>
    </w:p>
    <w:p w14:paraId="1AD71F3D" w14:textId="5E4F0EB6">
      <w:pPr>
        <w:pBdr/>
        <w:spacing w:after="0" w:line="240" w:lineRule="auto"/>
        <w:ind/>
        <w:jc w:val="both"/>
        <w:rPr>
          <w:rFonts w:cstheme="minorHAnsi"/>
          <w:sz w:val="24"/>
          <w:szCs w:val="24"/>
        </w:rPr>
      </w:pPr>
      <w:r>
        <w:rPr>
          <w:rFonts w:cstheme="minorHAnsi"/>
          <w:sz w:val="24"/>
          <w:szCs w:val="24"/>
        </w:rPr>
        <w:t xml:space="preserve">l’introduction</w:t>
      </w:r>
      <w:r>
        <w:rPr>
          <w:rFonts w:cstheme="minorHAnsi"/>
          <w:sz w:val="24"/>
          <w:szCs w:val="24"/>
        </w:rPr>
        <w:t xml:space="preserve"> des notions de service et de servuction dans l’organisation des bibliothèques conduit à un changement de paradigme profond (Gilbert 2010.21), que constatait déjà Bertrand </w:t>
      </w:r>
      <w:r>
        <w:rPr>
          <w:rFonts w:cstheme="minorHAnsi"/>
          <w:sz w:val="24"/>
          <w:szCs w:val="24"/>
        </w:rPr>
        <w:t xml:space="preserve">Calenge</w:t>
      </w:r>
      <w:r>
        <w:rPr>
          <w:rFonts w:cstheme="minorHAnsi"/>
          <w:sz w:val="24"/>
          <w:szCs w:val="24"/>
        </w:rPr>
        <w:t xml:space="preserve"> à la fin des années 1990 : « Dans cette logique, la collection de la bibliothèque change de sens, tout en demeurant l’outil essentiel de la bibliothèque. Il s’agit </w:t>
      </w:r>
      <w:r>
        <w:rPr>
          <w:rFonts w:cstheme="minorHAnsi"/>
          <w:sz w:val="24"/>
          <w:szCs w:val="24"/>
        </w:rPr>
        <w:t xml:space="preserve">dé</w:t>
      </w:r>
      <w:r>
        <w:rPr>
          <w:rFonts w:cstheme="minorHAnsi"/>
          <w:sz w:val="24"/>
          <w:szCs w:val="24"/>
        </w:rPr>
        <w:t xml:space="preserve">sormais de la considérer non plus comme un fonds stocké à l’usage des amateurs, mais comme un fonds rendu vivant par l’usage. Ce n’est pas en accumulant du savoir que la bibliothèque gagne sa légitimité sociale, mais en aidant la communauté à s’approprier </w:t>
      </w:r>
      <w:r>
        <w:rPr>
          <w:rFonts w:cstheme="minorHAnsi"/>
          <w:sz w:val="24"/>
          <w:szCs w:val="24"/>
        </w:rPr>
        <w:t xml:space="preserve">ce</w:t>
      </w:r>
      <w:r>
        <w:rPr>
          <w:rFonts w:cstheme="minorHAnsi"/>
          <w:sz w:val="24"/>
          <w:szCs w:val="24"/>
        </w:rPr>
        <w:t xml:space="preserve"> savoir. Si la collection reste centrale, c’est par l’usage qui en est fait, non par les documents ou accès documentaires qui la comp</w:t>
      </w:r>
      <w:r>
        <w:rPr>
          <w:rFonts w:cstheme="minorHAnsi"/>
          <w:sz w:val="24"/>
          <w:szCs w:val="24"/>
        </w:rPr>
        <w:t xml:space="preserve">osent, et l’objet de la bibliothèque est non de développer cette bibliothèque comme fonds, mais de satisfaire les besoins d’information de publics à l’aide de ce fonds vivifié. L’utilisateur s’introduit dans la bibliothèque pour l’animer et la légitimer ».</w:t>
      </w:r>
      <w:r>
        <w:rPr>
          <w:rFonts w:cstheme="minorHAnsi"/>
          <w:sz w:val="24"/>
          <w:szCs w:val="24"/>
        </w:rPr>
      </w:r>
    </w:p>
    <w:p w14:paraId="19F432A9" w14:textId="48484F5E">
      <w:pPr>
        <w:pBdr/>
        <w:spacing w:after="0" w:line="240" w:lineRule="auto"/>
        <w:ind/>
        <w:jc w:val="both"/>
        <w:rPr>
          <w:rFonts w:cstheme="minorHAnsi"/>
          <w:sz w:val="24"/>
          <w:szCs w:val="24"/>
        </w:rPr>
      </w:pPr>
      <w:r>
        <w:rPr>
          <w:rFonts w:cstheme="minorHAnsi"/>
          <w:sz w:val="24"/>
          <w:szCs w:val="24"/>
        </w:rPr>
      </w:r>
      <w:r>
        <w:rPr>
          <w:rFonts w:cstheme="minorHAnsi"/>
          <w:sz w:val="24"/>
          <w:szCs w:val="24"/>
        </w:rPr>
      </w:r>
    </w:p>
    <w:p w14:paraId="1919980D" w14:textId="7AED3E4A">
      <w:pPr>
        <w:pBdr/>
        <w:spacing w:after="0" w:line="240" w:lineRule="auto"/>
        <w:ind/>
        <w:jc w:val="both"/>
        <w:rPr>
          <w:rFonts w:cstheme="minorHAnsi"/>
          <w:sz w:val="24"/>
          <w:szCs w:val="24"/>
        </w:rPr>
      </w:pPr>
      <w:r>
        <w:rPr>
          <w:rFonts w:cstheme="minorHAnsi"/>
          <w:sz w:val="24"/>
          <w:szCs w:val="24"/>
        </w:rPr>
        <w:t xml:space="preserve">L’usager est devenu un rouage indispensable au bon fonctionnement des bibliothèques, qui ne sont plus uniquement des temples du savoir, mais de véritables lieux d’échange et d’interaction.</w:t>
      </w:r>
      <w:r>
        <w:rPr>
          <w:rFonts w:cstheme="minorHAnsi"/>
          <w:sz w:val="24"/>
          <w:szCs w:val="24"/>
        </w:rPr>
      </w:r>
    </w:p>
    <w:p w14:paraId="789D2C19" w14:textId="01AF53DF">
      <w:pPr>
        <w:pBdr/>
        <w:spacing w:after="0" w:line="240" w:lineRule="auto"/>
        <w:ind/>
        <w:jc w:val="both"/>
        <w:rPr>
          <w:rFonts w:cstheme="minorHAnsi"/>
          <w:sz w:val="24"/>
          <w:szCs w:val="24"/>
        </w:rPr>
      </w:pPr>
      <w:r>
        <w:rPr>
          <w:rFonts w:cstheme="minorHAnsi"/>
          <w:sz w:val="24"/>
          <w:szCs w:val="24"/>
        </w:rPr>
      </w:r>
      <w:r>
        <w:rPr>
          <w:rFonts w:cstheme="minorHAnsi"/>
          <w:sz w:val="24"/>
          <w:szCs w:val="24"/>
        </w:rPr>
      </w:r>
    </w:p>
    <w:p w14:paraId="3E313946" w14:textId="2DD43CD0">
      <w:pPr>
        <w:pBdr/>
        <w:spacing w:after="0" w:line="240" w:lineRule="auto"/>
        <w:ind/>
        <w:jc w:val="both"/>
        <w:rPr>
          <w:rFonts w:cstheme="minorHAnsi"/>
          <w:sz w:val="24"/>
          <w:szCs w:val="24"/>
        </w:rPr>
      </w:pPr>
      <w:r>
        <w:rPr>
          <w:rFonts w:cstheme="minorHAnsi"/>
          <w:sz w:val="24"/>
          <w:szCs w:val="24"/>
        </w:rPr>
        <w:t xml:space="preserve">p.63 :</w:t>
      </w:r>
      <w:r>
        <w:rPr>
          <w:rFonts w:cstheme="minorHAnsi"/>
          <w:sz w:val="24"/>
          <w:szCs w:val="24"/>
        </w:rPr>
      </w:r>
    </w:p>
    <w:p w14:paraId="422DBC59" w14:textId="4CF3B071">
      <w:pPr>
        <w:pBdr/>
        <w:spacing w:after="0" w:line="240" w:lineRule="auto"/>
        <w:ind/>
        <w:jc w:val="both"/>
        <w:rPr>
          <w:rFonts w:cstheme="minorHAnsi"/>
          <w:sz w:val="24"/>
          <w:szCs w:val="24"/>
        </w:rPr>
      </w:pPr>
      <w:r>
        <w:rPr>
          <w:rFonts w:cstheme="minorHAnsi"/>
          <w:sz w:val="24"/>
          <w:szCs w:val="24"/>
        </w:rPr>
        <w:t xml:space="preserve">Logique</w:t>
      </w:r>
      <w:r>
        <w:rPr>
          <w:rFonts w:cstheme="minorHAnsi"/>
          <w:sz w:val="24"/>
          <w:szCs w:val="24"/>
        </w:rPr>
        <w:t xml:space="preserve"> de servuction appliquée aux bibliothèques numériques =&gt; quatre principales entités : le service, l’utilisateur, la ressource numérique et la bibliothèque numérique.</w:t>
      </w:r>
      <w:r>
        <w:rPr>
          <w:rFonts w:cstheme="minorHAnsi"/>
          <w:sz w:val="24"/>
          <w:szCs w:val="24"/>
        </w:rPr>
      </w:r>
    </w:p>
    <w:p w14:paraId="010F1FA9" w14:textId="1A337810">
      <w:pPr>
        <w:pBdr/>
        <w:spacing w:after="0" w:line="240" w:lineRule="auto"/>
        <w:ind/>
        <w:jc w:val="both"/>
        <w:rPr>
          <w:rFonts w:cstheme="minorHAnsi"/>
          <w:sz w:val="24"/>
          <w:szCs w:val="24"/>
        </w:rPr>
      </w:pPr>
      <w:r>
        <w:rPr>
          <w:rFonts w:cstheme="minorHAnsi"/>
          <w:sz w:val="24"/>
          <w:szCs w:val="24"/>
        </w:rPr>
        <w:t xml:space="preserve">L’utilisateur accède à une bibliothèque numérique qui contient un ensemble de contenus numérisés et propose des services pour y accéder. </w:t>
      </w:r>
      <w:r>
        <w:rPr>
          <w:rFonts w:cstheme="minorHAnsi"/>
          <w:sz w:val="24"/>
          <w:szCs w:val="24"/>
        </w:rPr>
      </w:r>
    </w:p>
    <w:p w14:paraId="4391B0C4" w14:textId="7C51CA6C">
      <w:pPr>
        <w:pBdr/>
        <w:spacing w:after="0" w:line="240" w:lineRule="auto"/>
        <w:ind/>
        <w:jc w:val="both"/>
        <w:rPr>
          <w:rFonts w:cstheme="minorHAnsi"/>
          <w:sz w:val="24"/>
          <w:szCs w:val="24"/>
        </w:rPr>
      </w:pPr>
      <w:r>
        <w:rPr>
          <w:rFonts w:cstheme="minorHAnsi"/>
          <w:sz w:val="24"/>
          <w:szCs w:val="24"/>
        </w:rPr>
        <w:t xml:space="preserve">Un service est la manifestation d’une mission bibliothécaire </w:t>
      </w:r>
      <w:r>
        <w:rPr>
          <w:rFonts w:cstheme="minorHAnsi"/>
          <w:sz w:val="24"/>
          <w:szCs w:val="24"/>
        </w:rPr>
        <w:t xml:space="preserve">et se traduit au sein </w:t>
      </w:r>
      <w:r>
        <w:rPr>
          <w:rFonts w:cstheme="minorHAnsi"/>
          <w:sz w:val="24"/>
          <w:szCs w:val="24"/>
        </w:rPr>
        <w:t xml:space="preserve">d’une bibliothèque numérique à travers un ensemble de fonctionnalités, qui elles-mêmes s’expriment à travers divers outils. </w:t>
      </w:r>
      <w:r>
        <w:rPr>
          <w:rFonts w:cstheme="minorHAnsi"/>
          <w:sz w:val="24"/>
          <w:szCs w:val="24"/>
        </w:rPr>
      </w:r>
    </w:p>
    <w:p w14:paraId="68CF987A" w14:textId="2687BA13">
      <w:pPr>
        <w:pBdr/>
        <w:spacing w:after="0" w:line="240" w:lineRule="auto"/>
        <w:ind/>
        <w:jc w:val="both"/>
        <w:rPr>
          <w:rFonts w:cstheme="minorHAnsi"/>
          <w:sz w:val="24"/>
          <w:szCs w:val="24"/>
        </w:rPr>
      </w:pPr>
      <w:r>
        <w:rPr>
          <w:rFonts w:cstheme="minorHAnsi"/>
          <w:sz w:val="24"/>
          <w:szCs w:val="24"/>
        </w:rPr>
      </w:r>
      <w:r>
        <w:rPr>
          <w:rFonts w:cstheme="minorHAnsi"/>
          <w:sz w:val="24"/>
          <w:szCs w:val="24"/>
        </w:rPr>
      </w:r>
    </w:p>
    <w:p w14:paraId="3FFA2A97" w14:textId="25E34328">
      <w:pPr>
        <w:pBdr/>
        <w:spacing w:after="0" w:line="240" w:lineRule="auto"/>
        <w:ind/>
        <w:jc w:val="both"/>
        <w:rPr>
          <w:rFonts w:cstheme="minorHAnsi"/>
          <w:sz w:val="24"/>
          <w:szCs w:val="24"/>
        </w:rPr>
      </w:pPr>
      <w:r>
        <w:rPr>
          <w:rFonts w:cstheme="minorHAnsi"/>
          <w:sz w:val="24"/>
          <w:szCs w:val="24"/>
        </w:rPr>
        <w:t xml:space="preserve">Les services participent également à l’</w:t>
      </w:r>
      <w:r>
        <w:rPr>
          <w:rFonts w:cstheme="minorHAnsi"/>
          <w:sz w:val="24"/>
          <w:szCs w:val="24"/>
        </w:rPr>
        <w:t xml:space="preserve">éditorialisation</w:t>
      </w:r>
      <w:r>
        <w:rPr>
          <w:rFonts w:cstheme="minorHAnsi"/>
          <w:sz w:val="24"/>
          <w:szCs w:val="24"/>
        </w:rPr>
        <w:t xml:space="preserve"> des contenus, en créant des contextes scientifiques, qui façonnent et orientent la manière dont un utilisateur comprend et évalue ces contenus et par extension le domaine de connaissances auquel il se rapporte.</w:t>
      </w:r>
      <w:r>
        <w:rPr>
          <w:rFonts w:cstheme="minorHAnsi"/>
          <w:sz w:val="24"/>
          <w:szCs w:val="24"/>
        </w:rPr>
      </w:r>
    </w:p>
    <w:p w14:paraId="1A9410CD" w14:textId="3D5555F3">
      <w:pPr>
        <w:pBdr/>
        <w:spacing w:after="0" w:line="240" w:lineRule="auto"/>
        <w:ind/>
        <w:jc w:val="both"/>
        <w:rPr>
          <w:rFonts w:cstheme="minorHAnsi"/>
          <w:sz w:val="24"/>
          <w:szCs w:val="24"/>
        </w:rPr>
      </w:pPr>
      <w:r>
        <w:rPr>
          <w:rFonts w:cstheme="minorHAnsi"/>
          <w:sz w:val="24"/>
          <w:szCs w:val="24"/>
        </w:rPr>
      </w:r>
      <w:r>
        <w:rPr>
          <w:rFonts w:cstheme="minorHAnsi"/>
          <w:sz w:val="24"/>
          <w:szCs w:val="24"/>
        </w:rPr>
      </w:r>
    </w:p>
    <w:p w14:paraId="0DCF1E14" w14:textId="7BE27EE4">
      <w:pPr>
        <w:pBdr/>
        <w:spacing w:after="0" w:line="240" w:lineRule="auto"/>
        <w:ind/>
        <w:jc w:val="both"/>
        <w:rPr>
          <w:rFonts w:cstheme="minorHAnsi"/>
          <w:sz w:val="24"/>
          <w:szCs w:val="24"/>
        </w:rPr>
      </w:pPr>
      <w:r>
        <w:rPr>
          <w:rFonts w:cstheme="minorHAnsi"/>
          <w:sz w:val="24"/>
          <w:szCs w:val="24"/>
        </w:rPr>
        <w:t xml:space="preserve">Ils ne p</w:t>
      </w:r>
      <w:r>
        <w:rPr>
          <w:rFonts w:cstheme="minorHAnsi"/>
          <w:sz w:val="24"/>
          <w:szCs w:val="24"/>
        </w:rPr>
        <w:t xml:space="preserve">roposent par une interprétation unique, mais multiple et renouvelée sous l’action particulières des utilisateurs qui peuvent se réapproprier les contenus, en les téléchargeant, en les commentant ou encore en les partageant, ce qui contribue au processus d’</w:t>
      </w:r>
      <w:r>
        <w:rPr>
          <w:rFonts w:cstheme="minorHAnsi"/>
          <w:sz w:val="24"/>
          <w:szCs w:val="24"/>
        </w:rPr>
        <w:t xml:space="preserve">éditorialisation</w:t>
      </w:r>
      <w:r>
        <w:rPr>
          <w:rFonts w:cstheme="minorHAnsi"/>
          <w:sz w:val="24"/>
          <w:szCs w:val="24"/>
        </w:rPr>
        <w:t xml:space="preserve"> et conduit ainsi à créer de nouveaux savoirs, pouvant à leur tour être diffusés et partagés.</w:t>
      </w:r>
      <w:r>
        <w:rPr>
          <w:rFonts w:cstheme="minorHAnsi"/>
          <w:sz w:val="24"/>
          <w:szCs w:val="24"/>
        </w:rPr>
      </w:r>
    </w:p>
    <w:p w14:paraId="3B2AF321" w14:textId="4C783641">
      <w:pPr>
        <w:pBdr/>
        <w:spacing w:after="0" w:line="240" w:lineRule="auto"/>
        <w:ind/>
        <w:jc w:val="both"/>
        <w:rPr>
          <w:rFonts w:cstheme="minorHAnsi"/>
          <w:sz w:val="24"/>
          <w:szCs w:val="24"/>
        </w:rPr>
      </w:pPr>
      <w:r>
        <w:rPr>
          <w:rFonts w:cstheme="minorHAnsi"/>
          <w:sz w:val="24"/>
          <w:szCs w:val="24"/>
        </w:rPr>
      </w:r>
      <w:r>
        <w:rPr>
          <w:rFonts w:cstheme="minorHAnsi"/>
          <w:sz w:val="24"/>
          <w:szCs w:val="24"/>
        </w:rPr>
      </w:r>
    </w:p>
    <w:p w14:paraId="3AC63215" w14:textId="77372F73">
      <w:pPr>
        <w:pBdr/>
        <w:spacing w:after="0" w:line="240" w:lineRule="auto"/>
        <w:ind/>
        <w:jc w:val="both"/>
        <w:rPr>
          <w:rFonts w:cstheme="minorHAnsi"/>
          <w:sz w:val="24"/>
          <w:szCs w:val="24"/>
        </w:rPr>
      </w:pPr>
      <w:r>
        <w:rPr>
          <w:rFonts w:cstheme="minorHAnsi"/>
          <w:sz w:val="24"/>
          <w:szCs w:val="24"/>
        </w:rPr>
        <w:t xml:space="preserve">La forme d’un service (c’est-à-dire ses fonctionnalités) dépend la natu</w:t>
      </w:r>
      <w:r>
        <w:rPr>
          <w:rFonts w:cstheme="minorHAnsi"/>
          <w:sz w:val="24"/>
          <w:szCs w:val="24"/>
        </w:rPr>
        <w:t xml:space="preserve">re des contenus numériques et de l’utilisateur. A l’inverse, l’apparence d’un contenu peut être modifiée par un service de consultation de la bibliothèque, qui est supporté par un outil de visualisation simple ou une visualisation avec des outils avancés. </w:t>
      </w:r>
      <w:r>
        <w:rPr>
          <w:rFonts w:cstheme="minorHAnsi"/>
          <w:sz w:val="24"/>
          <w:szCs w:val="24"/>
        </w:rPr>
      </w:r>
    </w:p>
    <w:p w14:paraId="579774CA" w14:textId="77777777">
      <w:pPr>
        <w:pBdr/>
        <w:spacing w:after="0" w:line="240" w:lineRule="auto"/>
        <w:ind/>
        <w:jc w:val="both"/>
        <w:rPr>
          <w:rFonts w:cstheme="minorHAnsi"/>
          <w:sz w:val="24"/>
        </w:rPr>
      </w:pPr>
      <w:r>
        <w:rPr>
          <w:rFonts w:cstheme="minorHAnsi"/>
          <w:sz w:val="24"/>
        </w:rPr>
      </w:r>
      <w:r>
        <w:rPr>
          <w:rFonts w:cstheme="minorHAnsi"/>
          <w:sz w:val="24"/>
        </w:rPr>
      </w:r>
    </w:p>
    <w:p w14:paraId="68427211" w14:textId="6CF7B534">
      <w:pPr>
        <w:pStyle w:val="678"/>
        <w:pBdr/>
        <w:spacing/>
        <w:ind/>
        <w:jc w:val="both"/>
        <w:rPr>
          <w:rFonts w:asciiTheme="minorHAnsi" w:hAnsiTheme="minorHAnsi" w:cstheme="minorHAnsi"/>
          <w:b/>
          <w:i/>
          <w:iCs/>
          <w:color w:val="auto"/>
          <w:sz w:val="28"/>
        </w:rPr>
      </w:pPr>
      <w:r>
        <w:rPr>
          <w:rFonts w:asciiTheme="minorHAnsi" w:hAnsiTheme="minorHAnsi" w:cstheme="minorHAnsi"/>
          <w:b/>
          <w:color w:val="auto"/>
          <w:sz w:val="28"/>
        </w:rPr>
        <w:t xml:space="preserve">C</w:t>
      </w:r>
      <w:r>
        <w:rPr>
          <w:rFonts w:asciiTheme="minorHAnsi" w:hAnsiTheme="minorHAnsi" w:cstheme="minorHAnsi"/>
          <w:b/>
          <w:color w:val="auto"/>
          <w:sz w:val="28"/>
        </w:rPr>
        <w:t xml:space="preserve">hapitre 3 : Une approche centre</w:t>
      </w:r>
      <w:r>
        <w:rPr>
          <w:rFonts w:asciiTheme="minorHAnsi" w:hAnsiTheme="minorHAnsi" w:cstheme="minorHAnsi"/>
          <w:b/>
          <w:color w:val="auto"/>
          <w:sz w:val="28"/>
        </w:rPr>
        <w:t xml:space="preserve"> utilisateur pour la modélisation et la conceptualisation des services de </w:t>
      </w:r>
      <w:r>
        <w:rPr>
          <w:rFonts w:asciiTheme="minorHAnsi" w:hAnsiTheme="minorHAnsi" w:cstheme="minorHAnsi"/>
          <w:b/>
          <w:i/>
          <w:iCs/>
          <w:color w:val="auto"/>
          <w:sz w:val="28"/>
        </w:rPr>
        <w:t xml:space="preserve">Fonte Gaia</w:t>
      </w:r>
      <w:r>
        <w:rPr>
          <w:rFonts w:asciiTheme="minorHAnsi" w:hAnsiTheme="minorHAnsi" w:cstheme="minorHAnsi"/>
          <w:b/>
          <w:i/>
          <w:iCs/>
          <w:color w:val="auto"/>
          <w:sz w:val="28"/>
        </w:rPr>
      </w:r>
    </w:p>
    <w:p w14:paraId="620E4D03" w14:textId="70DB550B">
      <w:pPr>
        <w:pBdr/>
        <w:spacing/>
        <w:ind/>
        <w:rPr>
          <w:sz w:val="24"/>
        </w:rPr>
      </w:pPr>
      <w:r>
        <w:rPr>
          <w:sz w:val="24"/>
        </w:rPr>
        <w:t xml:space="preserve">p.84 à 102.</w:t>
      </w:r>
      <w:r>
        <w:rPr>
          <w:sz w:val="24"/>
        </w:rPr>
      </w:r>
    </w:p>
    <w:p w14:paraId="295A6CFA" w14:textId="7BD5532E">
      <w:pPr>
        <w:pBdr/>
        <w:spacing/>
        <w:ind/>
        <w:jc w:val="both"/>
        <w:rPr>
          <w:sz w:val="24"/>
        </w:rPr>
      </w:pPr>
      <w:r>
        <w:rPr>
          <w:sz w:val="24"/>
        </w:rPr>
        <w:t xml:space="preserve">p.84 :</w:t>
      </w:r>
      <w:r>
        <w:rPr>
          <w:sz w:val="24"/>
        </w:rPr>
      </w:r>
    </w:p>
    <w:p w14:paraId="2B1690E1" w14:textId="3CEF3C0A">
      <w:pPr>
        <w:pBdr/>
        <w:spacing/>
        <w:ind/>
        <w:jc w:val="both"/>
        <w:rPr>
          <w:sz w:val="24"/>
        </w:rPr>
      </w:pPr>
      <w:r>
        <w:rPr>
          <w:sz w:val="24"/>
        </w:rPr>
        <w:t xml:space="preserve">Présentation de la méthode centrée utilisateur adoptée pour élaborer la bibliothèque numérique </w:t>
      </w:r>
      <w:r>
        <w:rPr>
          <w:i/>
          <w:sz w:val="24"/>
        </w:rPr>
        <w:t xml:space="preserve">Fonte Gaia </w:t>
      </w:r>
      <w:r>
        <w:rPr>
          <w:sz w:val="24"/>
        </w:rPr>
        <w:t xml:space="preserve">et ses services.</w:t>
      </w:r>
      <w:r>
        <w:rPr>
          <w:sz w:val="24"/>
        </w:rPr>
      </w:r>
    </w:p>
    <w:p w14:paraId="40DF1596" w14:textId="25F27AFF">
      <w:pPr>
        <w:pBdr/>
        <w:spacing/>
        <w:ind/>
        <w:jc w:val="both"/>
        <w:rPr>
          <w:sz w:val="24"/>
        </w:rPr>
      </w:pPr>
      <w:r>
        <w:rPr>
          <w:sz w:val="24"/>
        </w:rPr>
        <w:t xml:space="preserve">Objectif du projet : identifier les usages et les besoins numériques d’une communauté particulière, celle des </w:t>
      </w:r>
      <w:r>
        <w:rPr>
          <w:sz w:val="24"/>
        </w:rPr>
        <w:t xml:space="preserve">italianistes</w:t>
      </w:r>
      <w:r>
        <w:rPr>
          <w:sz w:val="24"/>
        </w:rPr>
        <w:t xml:space="preserve">, afin de leur proposer des services adéquats. </w:t>
      </w:r>
      <w:r>
        <w:rPr>
          <w:sz w:val="24"/>
        </w:rPr>
      </w:r>
    </w:p>
    <w:p w14:paraId="0019BAF4" w14:textId="47C40777">
      <w:pPr>
        <w:pBdr/>
        <w:spacing/>
        <w:ind/>
        <w:jc w:val="both"/>
        <w:rPr>
          <w:sz w:val="24"/>
        </w:rPr>
      </w:pPr>
      <w:r>
        <w:rPr>
          <w:sz w:val="24"/>
        </w:rPr>
        <w:t xml:space="preserve">Ce projet souhaite donner une orientation spécifique à ces services : une orientation participative en vue de constituer, via son interface, une communauté internationale. </w:t>
      </w:r>
      <w:r>
        <w:rPr>
          <w:sz w:val="24"/>
        </w:rPr>
      </w:r>
    </w:p>
    <w:p w14:paraId="465F4113" w14:textId="361594B7">
      <w:pPr>
        <w:pBdr/>
        <w:spacing/>
        <w:ind/>
        <w:jc w:val="both"/>
        <w:rPr>
          <w:sz w:val="24"/>
        </w:rPr>
      </w:pPr>
      <w:r>
        <w:rPr>
          <w:sz w:val="24"/>
        </w:rPr>
        <w:t xml:space="preserve">Meta-obj</w:t>
      </w:r>
      <w:r>
        <w:rPr>
          <w:sz w:val="24"/>
        </w:rPr>
        <w:t xml:space="preserve">ectifs : obtenir des données permettant de modéliser les services et les utilisateurs de ce type de bibliothèque numérique, et aussi de mieux comprendre le rôle et la place de tels services au sein d’une bibliothèque numérique patrimoniale et scientifique.</w:t>
      </w:r>
      <w:r>
        <w:rPr>
          <w:sz w:val="24"/>
        </w:rPr>
      </w:r>
    </w:p>
    <w:p w14:paraId="74F70419" w14:textId="6FCB1E44">
      <w:pPr>
        <w:pBdr/>
        <w:spacing/>
        <w:ind/>
        <w:jc w:val="both"/>
        <w:rPr>
          <w:sz w:val="24"/>
        </w:rPr>
      </w:pPr>
      <w:r>
        <w:rPr>
          <w:sz w:val="24"/>
        </w:rPr>
        <w:t xml:space="preserve">p.85</w:t>
      </w:r>
      <w:r>
        <w:rPr>
          <w:sz w:val="24"/>
        </w:rPr>
        <w:t xml:space="preserve"> :</w:t>
      </w:r>
      <w:r>
        <w:rPr>
          <w:sz w:val="24"/>
        </w:rPr>
      </w:r>
    </w:p>
    <w:p w14:paraId="079890CE" w14:textId="6EE851C1">
      <w:pPr>
        <w:pBdr/>
        <w:spacing/>
        <w:ind/>
        <w:jc w:val="both"/>
        <w:rPr>
          <w:sz w:val="24"/>
        </w:rPr>
      </w:pPr>
      <w:r>
        <w:rPr>
          <w:sz w:val="24"/>
        </w:rPr>
        <w:t xml:space="preserve">La conception centrée utilisateur : définition, enjeux, méthodes</w:t>
      </w:r>
      <w:r>
        <w:rPr>
          <w:sz w:val="24"/>
        </w:rPr>
      </w:r>
    </w:p>
    <w:p w14:paraId="297AAD5F" w14:textId="4DD67958">
      <w:pPr>
        <w:pBdr/>
        <w:spacing/>
        <w:ind/>
        <w:jc w:val="both"/>
        <w:rPr>
          <w:sz w:val="24"/>
        </w:rPr>
      </w:pPr>
      <w:r>
        <w:rPr>
          <w:sz w:val="24"/>
        </w:rPr>
        <w:t xml:space="preserve">Conception centrée utilisateur (en anglais </w:t>
      </w:r>
      <w:r>
        <w:rPr>
          <w:i/>
          <w:sz w:val="24"/>
        </w:rPr>
        <w:t xml:space="preserve">User-</w:t>
      </w:r>
      <w:r>
        <w:rPr>
          <w:i/>
          <w:sz w:val="24"/>
        </w:rPr>
        <w:t xml:space="preserve">Centred</w:t>
      </w:r>
      <w:r>
        <w:rPr>
          <w:i/>
          <w:sz w:val="24"/>
        </w:rPr>
        <w:t xml:space="preserve"> Design </w:t>
      </w:r>
      <w:r>
        <w:rPr>
          <w:sz w:val="24"/>
        </w:rPr>
        <w:t xml:space="preserve">ou UCD), également appelé CCU, désigne un processus de conception de produits ou de services à partir des besoins des utilisateurs.</w:t>
      </w:r>
      <w:r>
        <w:rPr>
          <w:sz w:val="24"/>
        </w:rPr>
      </w:r>
    </w:p>
    <w:p w14:paraId="6C30F02A" w14:textId="74AFF275">
      <w:pPr>
        <w:pBdr/>
        <w:spacing/>
        <w:ind/>
        <w:jc w:val="both"/>
        <w:rPr>
          <w:sz w:val="24"/>
        </w:rPr>
      </w:pPr>
      <w:r>
        <w:rPr>
          <w:sz w:val="24"/>
        </w:rPr>
        <w:t xml:space="preserve">Conception centrée sur le produit repose sur une approche descendante (top-down). Apparue dans le domaine du marketing et du management, cette approche correspond à une organisation par le haut.</w:t>
      </w:r>
      <w:r>
        <w:rPr>
          <w:sz w:val="24"/>
        </w:rPr>
      </w:r>
    </w:p>
    <w:p w14:paraId="1CF57A6D" w14:textId="15647CD9">
      <w:pPr>
        <w:pBdr/>
        <w:spacing/>
        <w:ind/>
        <w:jc w:val="both"/>
        <w:rPr>
          <w:sz w:val="24"/>
        </w:rPr>
      </w:pPr>
      <w:r>
        <w:rPr>
          <w:sz w:val="24"/>
        </w:rPr>
        <w:t xml:space="preserve">Traduction dans le domaine de la conception d’interface et de services = élaboration d’une ressource en fonction des expériences </w:t>
      </w:r>
      <w:r>
        <w:rPr>
          <w:sz w:val="24"/>
        </w:rPr>
        <w:t xml:space="preserve">et des réflexions des responsables de projet.</w:t>
      </w:r>
      <w:r>
        <w:rPr>
          <w:sz w:val="24"/>
        </w:rPr>
      </w:r>
    </w:p>
    <w:p w14:paraId="124E5736" w14:textId="5EF6B1D0">
      <w:pPr>
        <w:pBdr/>
        <w:spacing/>
        <w:ind/>
        <w:jc w:val="both"/>
        <w:rPr>
          <w:sz w:val="24"/>
        </w:rPr>
      </w:pPr>
      <w:r>
        <w:rPr>
          <w:sz w:val="24"/>
        </w:rPr>
        <w:t xml:space="preserve">CCU s’appuie sur l’expérience utilisateur pour concevoir un service, au point que les concepteurs lui préfèrent l’expression de conception d’expérience utilisateur. Approche ascendante (</w:t>
      </w:r>
      <w:r>
        <w:rPr>
          <w:sz w:val="24"/>
        </w:rPr>
        <w:t xml:space="preserve">bottom</w:t>
      </w:r>
      <w:r>
        <w:rPr>
          <w:sz w:val="24"/>
        </w:rPr>
        <w:t xml:space="preserve">-up). Apparue dans les années 1950 dans le marketing, cette démarche « con</w:t>
      </w:r>
      <w:r>
        <w:rPr>
          <w:sz w:val="24"/>
        </w:rPr>
        <w:t xml:space="preserve">siste à se centrer sur les échelons situés au plus bas de la hiérarchie de l’entité analysée ». Appliquée à la conception d’interfaces et de services, elle revient à s’appuyer sur les besoins et les pratiques des utilisateurs pour développer une ressource.</w:t>
      </w:r>
      <w:r>
        <w:rPr>
          <w:sz w:val="24"/>
        </w:rPr>
      </w:r>
    </w:p>
    <w:p w14:paraId="39105C98" w14:textId="111DFF1F">
      <w:pPr>
        <w:pBdr/>
        <w:spacing/>
        <w:ind/>
        <w:jc w:val="both"/>
        <w:rPr>
          <w:sz w:val="24"/>
        </w:rPr>
      </w:pPr>
      <w:r>
        <w:rPr>
          <w:sz w:val="24"/>
        </w:rPr>
        <w:t xml:space="preserve">Approche descendante : utilisateur s’adapte à la ressource.</w:t>
      </w:r>
      <w:r>
        <w:rPr>
          <w:sz w:val="24"/>
        </w:rPr>
      </w:r>
    </w:p>
    <w:p w14:paraId="46D10ACC" w14:textId="3BF5119D">
      <w:pPr>
        <w:pBdr/>
        <w:spacing/>
        <w:ind/>
        <w:jc w:val="both"/>
        <w:rPr>
          <w:sz w:val="24"/>
        </w:rPr>
      </w:pPr>
      <w:r>
        <w:rPr>
          <w:sz w:val="24"/>
        </w:rPr>
        <w:t xml:space="preserve">Approche ascendante : interface s’adapte à l’utilisateur.</w:t>
      </w:r>
      <w:r>
        <w:rPr>
          <w:sz w:val="24"/>
        </w:rPr>
      </w:r>
    </w:p>
    <w:p w14:paraId="43B18F99" w14:textId="5AC1A0AB">
      <w:pPr>
        <w:pBdr/>
        <w:spacing/>
        <w:ind/>
        <w:jc w:val="both"/>
        <w:rPr>
          <w:sz w:val="24"/>
        </w:rPr>
      </w:pPr>
      <w:r>
        <w:rPr>
          <w:sz w:val="24"/>
        </w:rPr>
        <w:t xml:space="preserve">L’approche ascendante s’est largement diffusée avec l’apparition de la notion d’expérience utilisateur (UX), popularisée par Don Norman dans les années 1990, à la suite de la parution de son ouvrage </w:t>
      </w:r>
      <w:r>
        <w:rPr>
          <w:i/>
          <w:sz w:val="24"/>
        </w:rPr>
        <w:t xml:space="preserve">Design of </w:t>
      </w:r>
      <w:r>
        <w:rPr>
          <w:i/>
          <w:sz w:val="24"/>
        </w:rPr>
        <w:t xml:space="preserve">Everyday</w:t>
      </w:r>
      <w:r>
        <w:rPr>
          <w:i/>
          <w:sz w:val="24"/>
        </w:rPr>
        <w:t xml:space="preserve"> </w:t>
      </w:r>
      <w:r>
        <w:rPr>
          <w:i/>
          <w:sz w:val="24"/>
        </w:rPr>
        <w:t xml:space="preserve">Things</w:t>
      </w:r>
      <w:r>
        <w:rPr>
          <w:sz w:val="24"/>
        </w:rPr>
        <w:t xml:space="preserve">. Notion d’expérien</w:t>
      </w:r>
      <w:r>
        <w:rPr>
          <w:sz w:val="24"/>
        </w:rPr>
        <w:t xml:space="preserve">ce ne renvoie pas à un concept philosophique général, mais aux expériences qu’un utilisateur vit à un moment et dans un espace donné via une interaction avec une ressource. Intérêt pour les utilisateurs est lié à l’émergence de l’informatique personnelle. </w:t>
      </w:r>
      <w:r>
        <w:rPr>
          <w:sz w:val="24"/>
        </w:rPr>
      </w:r>
    </w:p>
    <w:p w14:paraId="513D9517" w14:textId="3771759D">
      <w:pPr>
        <w:pBdr/>
        <w:spacing/>
        <w:ind/>
        <w:jc w:val="both"/>
        <w:rPr>
          <w:sz w:val="24"/>
        </w:rPr>
      </w:pPr>
      <w:r>
        <w:rPr>
          <w:sz w:val="24"/>
        </w:rPr>
        <w:t xml:space="preserve">p.86</w:t>
      </w:r>
      <w:r>
        <w:rPr>
          <w:sz w:val="24"/>
        </w:rPr>
        <w:t xml:space="preserve"> : </w:t>
      </w:r>
      <w:r>
        <w:rPr>
          <w:sz w:val="24"/>
        </w:rPr>
      </w:r>
    </w:p>
    <w:p w14:paraId="7646607C" w14:textId="1B3D15DF">
      <w:pPr>
        <w:pBdr/>
        <w:spacing/>
        <w:ind/>
        <w:jc w:val="both"/>
        <w:rPr>
          <w:sz w:val="24"/>
        </w:rPr>
      </w:pPr>
      <w:r>
        <w:rPr>
          <w:sz w:val="24"/>
        </w:rPr>
        <w:t xml:space="preserve">Pour Jesse James Garrett, l’expérience utilisateur doit être l’élément central de la conception de tout site web, et plus largement de tout produit : </w:t>
      </w:r>
      <w:r>
        <w:rPr>
          <w:sz w:val="24"/>
        </w:rPr>
        <w:t xml:space="preserve">« définit l’UX comme l’expérience ressentie par les utilisateurs d’un site web. Cette expérience ressentie n’a pas tant à voir avec ce que fait un produit ou un site web, mais comment il le fait. Non pas comment fonctionne la méc</w:t>
      </w:r>
      <w:r>
        <w:rPr>
          <w:sz w:val="24"/>
        </w:rPr>
        <w:t xml:space="preserve">anique interne qui reste masquée, mais comment ce que voit l’utilisateur est organisé, comment les fonctionnalités sont présentées et comment le site, de par sa conception, propose spontanément des manières de l’utiliser (ce qu’on appelle des affordances).</w:t>
      </w:r>
      <w:r>
        <w:rPr>
          <w:sz w:val="24"/>
        </w:rPr>
      </w:r>
    </w:p>
    <w:p w14:paraId="117CCCD4" w14:textId="602BDB23">
      <w:pPr>
        <w:pBdr/>
        <w:spacing/>
        <w:ind/>
        <w:jc w:val="both"/>
        <w:rPr>
          <w:sz w:val="24"/>
        </w:rPr>
      </w:pPr>
      <w:r>
        <w:rPr>
          <w:sz w:val="24"/>
        </w:rPr>
        <w:t xml:space="preserve">Prendre uniquement en compte l’utilisateur dans la conception d’un produit reviendrait à tomber dans l’excès inverse de la conception centrée sur la tâche. Selon Peter </w:t>
      </w:r>
      <w:r>
        <w:rPr>
          <w:sz w:val="24"/>
        </w:rPr>
        <w:t xml:space="preserve">Morville</w:t>
      </w:r>
      <w:r>
        <w:rPr>
          <w:sz w:val="24"/>
        </w:rPr>
        <w:t xml:space="preserve"> pour bien concevoir une ressource, elle doit reposer sur un savant équilibre entre l’expérience utilisateur, le contenu proposé par la ressource et le contexte de cette ressource.</w:t>
      </w:r>
      <w:r>
        <w:rPr>
          <w:sz w:val="24"/>
        </w:rPr>
      </w:r>
    </w:p>
    <w:p w14:paraId="0D82A6F5" w14:textId="79D70E59">
      <w:pPr>
        <w:pBdr/>
        <w:spacing/>
        <w:ind/>
        <w:jc w:val="both"/>
        <w:rPr>
          <w:sz w:val="24"/>
        </w:rPr>
      </w:pPr>
      <w:r>
        <w:rPr>
          <w:sz w:val="24"/>
        </w:rPr>
        <w:t xml:space="preserve">p.87</w:t>
      </w:r>
      <w:r>
        <w:rPr>
          <w:sz w:val="24"/>
        </w:rPr>
        <w:t xml:space="preserve"> : Processus et méthodes de la conception centrée utilisateur</w:t>
      </w:r>
      <w:r>
        <w:rPr>
          <w:sz w:val="24"/>
        </w:rPr>
      </w:r>
    </w:p>
    <w:p w14:paraId="17D94937" w14:textId="37AC0902">
      <w:pPr>
        <w:pBdr/>
        <w:spacing/>
        <w:ind/>
        <w:jc w:val="both"/>
        <w:rPr>
          <w:sz w:val="24"/>
        </w:rPr>
      </w:pPr>
      <w:r>
        <w:rPr>
          <w:sz w:val="24"/>
        </w:rPr>
        <w:t xml:space="preserve">CCU : démarche itérative, qui fait intervenir l’utilisateur à chaque étape du développement d’une ressource. Elle n’impose pas de règles, mais propose des recommandations, chaque projet les adaptant ensuite à son contexte d’élaboration.</w:t>
      </w:r>
      <w:r>
        <w:rPr>
          <w:sz w:val="24"/>
        </w:rPr>
      </w:r>
    </w:p>
    <w:p w14:paraId="5DE26246" w14:textId="1ED6CC56">
      <w:pPr>
        <w:pBdr/>
        <w:spacing/>
        <w:ind/>
        <w:jc w:val="both"/>
        <w:rPr>
          <w:sz w:val="24"/>
        </w:rPr>
      </w:pPr>
      <w:r>
        <w:rPr>
          <w:sz w:val="24"/>
        </w:rPr>
        <w:t xml:space="preserve">Identification de cinq grandes étapes : identification des besoins et du contexte d’utilisation ; l’analyse et la modélisation des données ; la conception de l’interface, l’implémentation et l’évaluation.</w:t>
      </w:r>
      <w:r>
        <w:rPr>
          <w:sz w:val="24"/>
        </w:rPr>
      </w:r>
    </w:p>
    <w:p w14:paraId="3169BA36" w14:textId="1137AD56">
      <w:pPr>
        <w:pBdr/>
        <w:spacing/>
        <w:ind/>
        <w:jc w:val="both"/>
        <w:rPr>
          <w:sz w:val="24"/>
        </w:rPr>
      </w:pPr>
      <w:r>
        <w:rPr>
          <w:sz w:val="24"/>
        </w:rPr>
        <w:t xml:space="preserve">1</w:t>
      </w:r>
      <w:r>
        <w:rPr>
          <w:sz w:val="24"/>
          <w:vertAlign w:val="superscript"/>
        </w:rPr>
        <w:t xml:space="preserve">re</w:t>
      </w:r>
      <w:r>
        <w:rPr>
          <w:sz w:val="24"/>
        </w:rPr>
        <w:t xml:space="preserve"> </w:t>
      </w:r>
      <w:r>
        <w:rPr>
          <w:sz w:val="24"/>
        </w:rPr>
        <w:t xml:space="preserve">étape : analyse du public potentiel d’une res</w:t>
      </w:r>
      <w:r>
        <w:rPr>
          <w:sz w:val="24"/>
        </w:rPr>
        <w:t xml:space="preserve">source. Définir le contexte d’utilisation et les besoins, aussi bien techniques qu’intellectuels, des utilisateurs finaux. Objectif : développer de l’empathie pour l’utilisateur, c’est-à-dire de se mettre à sa place, pour mieux le comprendre et identifier </w:t>
      </w:r>
      <w:r>
        <w:rPr>
          <w:sz w:val="24"/>
        </w:rPr>
        <w:t xml:space="preserve">ses besoins et les problèmes qu’il pourrait rencontrer lors de l’utilisation du produit en phase de conception. Possible de faire l’identification du public entre deux temps.</w:t>
      </w:r>
      <w:r>
        <w:rPr>
          <w:sz w:val="24"/>
        </w:rPr>
      </w:r>
    </w:p>
    <w:p w14:paraId="20017950" w14:textId="01C39F9D">
      <w:pPr>
        <w:pBdr/>
        <w:spacing/>
        <w:ind/>
        <w:jc w:val="both"/>
        <w:rPr>
          <w:sz w:val="24"/>
        </w:rPr>
      </w:pPr>
      <w:r>
        <w:rPr>
          <w:sz w:val="24"/>
        </w:rPr>
        <w:t xml:space="preserve">p.88</w:t>
      </w:r>
      <w:r>
        <w:rPr>
          <w:sz w:val="24"/>
        </w:rPr>
        <w:t xml:space="preserve"> :</w:t>
      </w:r>
      <w:r>
        <w:rPr>
          <w:sz w:val="24"/>
        </w:rPr>
      </w:r>
    </w:p>
    <w:p w14:paraId="2914AF5B" w14:textId="48D4FA7A">
      <w:pPr>
        <w:pBdr/>
        <w:spacing/>
        <w:ind/>
        <w:jc w:val="both"/>
        <w:rPr>
          <w:sz w:val="24"/>
        </w:rPr>
      </w:pPr>
      <w:r>
        <w:rPr>
          <w:sz w:val="24"/>
        </w:rPr>
        <w:t xml:space="preserve">Méthodes quantitatives (par ex : questionnaire), permettent « de repérer des tendances, des évolutions, d’identifier des groupes </w:t>
      </w:r>
      <w:r>
        <w:rPr>
          <w:sz w:val="24"/>
        </w:rPr>
        <w:t xml:space="preserve">de personnes qui ont des opinions ou des pratiques homogènes et d’estimer leurs poids respectifs ». </w:t>
      </w:r>
      <w:r>
        <w:rPr>
          <w:sz w:val="24"/>
        </w:rPr>
      </w:r>
    </w:p>
    <w:p w14:paraId="2D99EDA4" w14:textId="58EDE177">
      <w:pPr>
        <w:pBdr/>
        <w:spacing/>
        <w:ind/>
        <w:jc w:val="both"/>
        <w:rPr>
          <w:sz w:val="24"/>
        </w:rPr>
      </w:pPr>
      <w:r>
        <w:rPr>
          <w:sz w:val="24"/>
        </w:rPr>
        <w:t xml:space="preserve">Méthodes qualitatives (par ex : entretiens, obs</w:t>
      </w:r>
      <w:r>
        <w:rPr>
          <w:sz w:val="24"/>
        </w:rPr>
        <w:t xml:space="preserve">ervations sur le terrain, etc.) : degré de raffinement supérieur aux méthodes quantitatives. Elles cherchent davantage à expliquer et à approfondir les comportements et les motivations des utilisateurs, en s’appuyant sur des cas concrets, qu’à les mesurer.</w:t>
      </w:r>
      <w:r>
        <w:rPr>
          <w:sz w:val="24"/>
        </w:rPr>
      </w:r>
    </w:p>
    <w:p w14:paraId="38EF669A" w14:textId="24B4C2CF">
      <w:pPr>
        <w:pBdr/>
        <w:spacing/>
        <w:ind/>
        <w:jc w:val="both"/>
        <w:rPr>
          <w:sz w:val="24"/>
        </w:rPr>
      </w:pPr>
      <w:r>
        <w:rPr>
          <w:sz w:val="24"/>
        </w:rPr>
        <w:t xml:space="preserve">Distinction entre quantitatif et qualitatif est purement théorique.</w:t>
      </w:r>
      <w:r>
        <w:rPr>
          <w:sz w:val="24"/>
        </w:rPr>
      </w:r>
    </w:p>
    <w:p w14:paraId="45A232C0" w14:textId="578E117F">
      <w:pPr>
        <w:pBdr/>
        <w:spacing/>
        <w:ind/>
        <w:jc w:val="both"/>
        <w:rPr>
          <w:sz w:val="24"/>
        </w:rPr>
      </w:pPr>
      <w:r>
        <w:rPr>
          <w:sz w:val="24"/>
        </w:rPr>
        <w:t xml:space="preserve">Dans les faits, les </w:t>
      </w:r>
      <w:r>
        <w:rPr>
          <w:sz w:val="24"/>
        </w:rPr>
        <w:t xml:space="preserve">méthodes</w:t>
      </w:r>
      <w:r>
        <w:rPr>
          <w:sz w:val="24"/>
        </w:rPr>
        <w:t xml:space="preserve"> sont associées, l’une venant pallier les défauts ou les manques de l’autre. Méthodes complémentaires, dont l’ensemble des données permet de dresser un panorama des utilisateurs et des usages possibles d’une interface.</w:t>
      </w:r>
      <w:r>
        <w:rPr>
          <w:sz w:val="24"/>
        </w:rPr>
      </w:r>
    </w:p>
    <w:p w14:paraId="3DF5B465" w14:textId="5EFC64A0">
      <w:pPr>
        <w:pBdr/>
        <w:spacing/>
        <w:ind/>
        <w:jc w:val="both"/>
        <w:rPr>
          <w:sz w:val="24"/>
        </w:rPr>
      </w:pPr>
      <w:r>
        <w:rPr>
          <w:sz w:val="24"/>
        </w:rPr>
        <w:t xml:space="preserve">Données obtenues : objet d’une analyse, ce qui correspond à la 2</w:t>
      </w:r>
      <w:r>
        <w:rPr>
          <w:sz w:val="24"/>
          <w:vertAlign w:val="superscript"/>
        </w:rPr>
        <w:t xml:space="preserve">e</w:t>
      </w:r>
      <w:r>
        <w:rPr>
          <w:sz w:val="24"/>
        </w:rPr>
        <w:t xml:space="preserve"> étape du processus de design d’expérience utilisateur. Simplification des résultats, en regroupant des profils et des pratiques similaires entre les utilisateurs. Cette simplification prend généralement la forme de </w:t>
      </w:r>
      <w:r>
        <w:rPr>
          <w:i/>
          <w:sz w:val="24"/>
        </w:rPr>
        <w:t xml:space="preserve">personae</w:t>
      </w:r>
      <w:r>
        <w:rPr>
          <w:sz w:val="24"/>
        </w:rPr>
        <w:t xml:space="preserve">, c’est-à-dire d’utilisateurs fictifs qui représentent un groupe d’utilisateurs identifié au cours de l’enquête. </w:t>
      </w:r>
      <w:r>
        <w:rPr>
          <w:sz w:val="24"/>
        </w:rPr>
      </w:r>
    </w:p>
    <w:p w14:paraId="02637A76" w14:textId="31C9A0C7">
      <w:pPr>
        <w:pBdr/>
        <w:spacing/>
        <w:ind/>
        <w:jc w:val="both"/>
        <w:rPr>
          <w:sz w:val="24"/>
        </w:rPr>
      </w:pPr>
      <w:r>
        <w:rPr>
          <w:i/>
          <w:sz w:val="24"/>
        </w:rPr>
        <w:t xml:space="preserve">Personae </w:t>
      </w:r>
      <w:r>
        <w:rPr>
          <w:sz w:val="24"/>
        </w:rPr>
        <w:t xml:space="preserve">: archétype d’une catégorie d’utilisateurs, et l’ensemble des </w:t>
      </w:r>
      <w:r>
        <w:rPr>
          <w:i/>
          <w:sz w:val="24"/>
        </w:rPr>
        <w:t xml:space="preserve">personae</w:t>
      </w:r>
      <w:r>
        <w:rPr>
          <w:sz w:val="24"/>
        </w:rPr>
        <w:t xml:space="preserve">, le spectre des différents publics d’une ressource. Possible de leur associer des scénarios d’utilisation. </w:t>
      </w:r>
      <w:r>
        <w:rPr>
          <w:sz w:val="24"/>
        </w:rPr>
        <w:t xml:space="preserve">Ces derniers prennent la forme d’histoire, qui mettent en scène un utilisateur réalisant une tâche possible sur l’interface. Il s’agit de décrire le plus précisément les différentes actions réalisées par une </w:t>
      </w:r>
      <w:r>
        <w:rPr>
          <w:i/>
          <w:sz w:val="24"/>
        </w:rPr>
        <w:t xml:space="preserve">persona</w:t>
      </w:r>
      <w:r>
        <w:rPr>
          <w:sz w:val="24"/>
        </w:rPr>
        <w:t xml:space="preserve">, afin d’identifier des besoins particuliers, des obstacles ou des incohérences </w:t>
      </w:r>
      <w:r>
        <w:rPr>
          <w:sz w:val="24"/>
        </w:rPr>
        <w:t xml:space="preserve">avant même de commencer la conception de l’interface à proprement parler et de le tester avec des utilisateurs réels. </w:t>
      </w:r>
      <w:r>
        <w:rPr>
          <w:sz w:val="24"/>
        </w:rPr>
      </w:r>
    </w:p>
    <w:p w14:paraId="1F29C132" w14:textId="2E3A4C37">
      <w:pPr>
        <w:pBdr/>
        <w:spacing/>
        <w:ind/>
        <w:jc w:val="both"/>
        <w:rPr>
          <w:sz w:val="24"/>
        </w:rPr>
      </w:pPr>
      <w:r>
        <w:rPr>
          <w:i/>
          <w:sz w:val="24"/>
        </w:rPr>
        <w:t xml:space="preserve">Personae </w:t>
      </w:r>
      <w:r>
        <w:rPr>
          <w:sz w:val="24"/>
        </w:rPr>
        <w:t xml:space="preserve">et scénarios = point de vue utilisateur concernant l’interface en conception.</w:t>
      </w:r>
      <w:r>
        <w:rPr>
          <w:sz w:val="24"/>
        </w:rPr>
      </w:r>
    </w:p>
    <w:p w14:paraId="0D8AA7FC" w14:textId="7E64E45D">
      <w:pPr>
        <w:pBdr/>
        <w:spacing/>
        <w:ind/>
        <w:jc w:val="both"/>
        <w:rPr>
          <w:sz w:val="24"/>
        </w:rPr>
      </w:pPr>
      <w:r>
        <w:rPr>
          <w:sz w:val="24"/>
        </w:rPr>
        <w:t xml:space="preserve">p.89 : </w:t>
      </w:r>
      <w:r>
        <w:rPr>
          <w:sz w:val="24"/>
        </w:rPr>
      </w:r>
    </w:p>
    <w:p w14:paraId="7F99C2C9" w14:textId="36A2DC34">
      <w:pPr>
        <w:pBdr/>
        <w:spacing/>
        <w:ind/>
        <w:jc w:val="both"/>
        <w:rPr>
          <w:sz w:val="24"/>
        </w:rPr>
      </w:pPr>
      <w:r>
        <w:rPr>
          <w:sz w:val="24"/>
        </w:rPr>
        <w:t xml:space="preserve">le</w:t>
      </w:r>
      <w:r>
        <w:rPr>
          <w:sz w:val="24"/>
        </w:rPr>
        <w:t xml:space="preserve"> développement repose sur un ensemble d’étapes successives, qui permettent progressivement de la faire passer du stade d’idée abstraite à celui d’application concrète, c’est-à-dire de celui de maquette à celui de prototype fonctionnel.</w:t>
      </w:r>
      <w:r>
        <w:rPr>
          <w:sz w:val="24"/>
        </w:rPr>
      </w:r>
    </w:p>
    <w:p w14:paraId="20E69993" w14:textId="62772EB4">
      <w:pPr>
        <w:pBdr/>
        <w:spacing/>
        <w:ind/>
        <w:jc w:val="both"/>
        <w:rPr>
          <w:sz w:val="24"/>
        </w:rPr>
      </w:pPr>
      <w:r>
        <w:rPr>
          <w:sz w:val="24"/>
        </w:rPr>
        <w:t xml:space="preserve">Les maquettes sont une représentation graphique de l’interface, dont l’objectif est de réfléchir à son organisation et à ses fonctionnalités. </w:t>
      </w:r>
      <w:r>
        <w:rPr>
          <w:sz w:val="24"/>
        </w:rPr>
        <w:t xml:space="preserve">1ers supports de tests permettant d’explorer les différentes solutions possibles afin d’en choisir une seule, qui sera mise en scène dans le prototype fonctionnel, lequel reproduit la forme finale de l’interface avant sa mise en ligne. </w:t>
      </w:r>
      <w:r>
        <w:rPr>
          <w:sz w:val="24"/>
        </w:rPr>
      </w:r>
    </w:p>
    <w:p w14:paraId="3349D1E5" w14:textId="77777777">
      <w:pPr>
        <w:pBdr/>
        <w:spacing/>
        <w:ind/>
        <w:jc w:val="both"/>
        <w:rPr>
          <w:sz w:val="24"/>
        </w:rPr>
      </w:pPr>
      <w:r>
        <w:rPr>
          <w:sz w:val="24"/>
        </w:rPr>
        <w:t xml:space="preserve">Les utilisateurs peuvent intervenir dans la conception des maquettes, en évaluant les contenus et leur pertinence. Evaluation </w:t>
      </w:r>
      <w:r>
        <w:rPr>
          <w:i/>
          <w:sz w:val="24"/>
        </w:rPr>
        <w:t xml:space="preserve">a priori</w:t>
      </w:r>
      <w:r>
        <w:rPr>
          <w:sz w:val="24"/>
        </w:rPr>
        <w:t xml:space="preserve"> de l’interface et des services avant l’évaluation </w:t>
      </w:r>
      <w:r>
        <w:rPr>
          <w:i/>
          <w:sz w:val="24"/>
        </w:rPr>
        <w:t xml:space="preserve">a posteriori</w:t>
      </w:r>
      <w:r>
        <w:rPr>
          <w:sz w:val="24"/>
        </w:rPr>
        <w:t xml:space="preserve">, qui correspond à la quatrième étape de notre processus.</w:t>
      </w:r>
      <w:r>
        <w:rPr>
          <w:sz w:val="24"/>
        </w:rPr>
      </w:r>
    </w:p>
    <w:p w14:paraId="3C68AA6D" w14:textId="77777777">
      <w:pPr>
        <w:pBdr/>
        <w:spacing/>
        <w:ind/>
        <w:jc w:val="both"/>
        <w:rPr>
          <w:sz w:val="24"/>
        </w:rPr>
      </w:pPr>
      <w:r>
        <w:rPr>
          <w:sz w:val="24"/>
        </w:rPr>
        <w:t xml:space="preserve">2 types d’évaluation lors de la conception d’expérience utilisateur : l’évaluation formative qui intervient avant le lancement</w:t>
      </w:r>
      <w:r>
        <w:rPr>
          <w:sz w:val="24"/>
        </w:rPr>
        <w:t xml:space="preserve"> de la ressource finale, et l’évaluation sommative, qui a lieu quelques temps après le lancement et qui est schématisée sur notre figure par la flèche en pointillées. Objectif de la première est de vérifier la cohérence et l’utilisabilité de l’interface. 2</w:t>
      </w:r>
      <w:r>
        <w:rPr>
          <w:sz w:val="24"/>
          <w:vertAlign w:val="superscript"/>
        </w:rPr>
        <w:t xml:space="preserve">nde</w:t>
      </w:r>
      <w:r>
        <w:rPr>
          <w:sz w:val="24"/>
        </w:rPr>
        <w:t xml:space="preserve"> permet de vérifier que l’interface correspond toujours aux attentes des utilisateurs, dans la mesure où ces attentes peuve</w:t>
      </w:r>
      <w:r>
        <w:rPr>
          <w:sz w:val="24"/>
        </w:rPr>
        <w:t xml:space="preserve">nt évoluer avec le temps.</w:t>
      </w:r>
      <w:r>
        <w:rPr>
          <w:sz w:val="24"/>
        </w:rPr>
      </w:r>
    </w:p>
    <w:p w14:paraId="06137BF7" w14:textId="77777777">
      <w:pPr>
        <w:pBdr/>
        <w:spacing/>
        <w:ind/>
        <w:jc w:val="both"/>
        <w:rPr>
          <w:sz w:val="24"/>
        </w:rPr>
      </w:pPr>
      <w:r>
        <w:rPr>
          <w:sz w:val="24"/>
        </w:rPr>
        <w:t xml:space="preserve">Dans le domaine du patrimoine et de la recherche en humanités, le processus de conception d’expérience utilisateur est relati</w:t>
      </w:r>
      <w:r>
        <w:rPr>
          <w:sz w:val="24"/>
        </w:rPr>
        <w:t xml:space="preserve">f au budget, au temps et aux personnes qui lui sont consacrés. Son adoption est également liée aux perceptions qu’ont les disciplines de leur projet et de leurs publics, perceptions qui peuvent parfois conduire à une remise en question du recours à la CCU.</w:t>
      </w:r>
      <w:r>
        <w:rPr>
          <w:sz w:val="24"/>
        </w:rPr>
      </w:r>
    </w:p>
    <w:p w14:paraId="4BD924E7" w14:textId="77777777">
      <w:pPr>
        <w:pBdr/>
        <w:spacing/>
        <w:ind/>
        <w:jc w:val="both"/>
        <w:rPr>
          <w:sz w:val="24"/>
        </w:rPr>
      </w:pPr>
      <w:r>
        <w:rPr>
          <w:sz w:val="24"/>
        </w:rPr>
        <w:t xml:space="preserve">p.90 : Humanités numériques, bibliothèques numériques patrimoniales et conception d’expérience utilisateur</w:t>
      </w:r>
      <w:r>
        <w:rPr>
          <w:sz w:val="24"/>
        </w:rPr>
      </w:r>
    </w:p>
    <w:p w14:paraId="08B08DE5" w14:textId="53345EAC">
      <w:pPr>
        <w:pBdr/>
        <w:spacing/>
        <w:ind/>
        <w:jc w:val="both"/>
        <w:rPr>
          <w:sz w:val="24"/>
        </w:rPr>
      </w:pPr>
      <w:r>
        <w:rPr>
          <w:sz w:val="24"/>
        </w:rPr>
        <w:t xml:space="preserve">Une pratique encore peu répandue en humanités numériques et dans le domaine des bibliothèques numériques patrimoniales.</w:t>
      </w:r>
      <w:r>
        <w:rPr>
          <w:sz w:val="24"/>
        </w:rPr>
      </w:r>
    </w:p>
    <w:p w14:paraId="1147A242" w14:textId="0A70BE9B">
      <w:pPr>
        <w:pBdr/>
        <w:spacing/>
        <w:ind/>
        <w:jc w:val="both"/>
        <w:rPr>
          <w:sz w:val="24"/>
        </w:rPr>
      </w:pPr>
      <w:r>
        <w:rPr>
          <w:sz w:val="24"/>
        </w:rPr>
        <w:t xml:space="preserve"> </w:t>
      </w:r>
      <w:r>
        <w:rPr>
          <w:sz w:val="24"/>
        </w:rPr>
        <w:t xml:space="preserve">Elaboration de ressources numériques patrimoniales et scientifiques repose le plus souvent sur le modèle de la conception centrée sur le produit, ou dans notre cas, sur le modèle de la conception centrée sur les données et sur les chercheurs.</w:t>
      </w:r>
      <w:r>
        <w:rPr>
          <w:sz w:val="24"/>
        </w:rPr>
      </w:r>
    </w:p>
    <w:p w14:paraId="7E608402" w14:textId="6870F935">
      <w:pPr>
        <w:pBdr/>
        <w:spacing/>
        <w:ind/>
        <w:jc w:val="both"/>
        <w:rPr>
          <w:sz w:val="24"/>
        </w:rPr>
      </w:pPr>
      <w:r>
        <w:rPr>
          <w:sz w:val="24"/>
        </w:rPr>
        <w:t xml:space="preserve">Ce modèle soulève d’importants enjeux non seulement théoriques </w:t>
      </w:r>
      <w:r>
        <w:rPr>
          <w:sz w:val="24"/>
        </w:rPr>
        <w:t xml:space="preserve">et éthiques, mais également pratiques, comme l’ont souligné Claire Warwick en 2012, puis Aman</w:t>
      </w:r>
      <w:r>
        <w:rPr>
          <w:sz w:val="24"/>
        </w:rPr>
        <w:t xml:space="preserve">da Visconti en 2015. Si on adopte ce modèle, le danger est de faire de son principal public soi-même, c’est-à-dire de transposer sur ses utilisateurs potentiels ses propres exigences et besoins, qui ne seront probablement pas ceux des utilisateurs finaux. </w:t>
      </w:r>
      <w:r>
        <w:rPr>
          <w:sz w:val="24"/>
        </w:rPr>
      </w:r>
    </w:p>
    <w:p w14:paraId="51154CE8" w14:textId="5C58FDD4">
      <w:pPr>
        <w:pBdr/>
        <w:spacing/>
        <w:ind/>
        <w:jc w:val="both"/>
        <w:rPr>
          <w:sz w:val="24"/>
        </w:rPr>
      </w:pPr>
      <w:r>
        <w:rPr>
          <w:sz w:val="24"/>
        </w:rPr>
        <w:t xml:space="preserve">Existent de nombreuses fausses croyances pour ne pas recourir aux études utilisateurs.</w:t>
      </w:r>
      <w:r>
        <w:rPr>
          <w:sz w:val="24"/>
        </w:rPr>
      </w:r>
    </w:p>
    <w:p w14:paraId="5D0E9770" w14:textId="41EF0E39">
      <w:pPr>
        <w:pBdr/>
        <w:spacing/>
        <w:ind/>
        <w:jc w:val="both"/>
        <w:rPr>
          <w:sz w:val="24"/>
        </w:rPr>
      </w:pPr>
      <w:r>
        <w:rPr>
          <w:sz w:val="24"/>
        </w:rPr>
        <w:t xml:space="preserve">p.91 : une des principales fausses croyances résid</w:t>
      </w:r>
      <w:r>
        <w:rPr>
          <w:sz w:val="24"/>
        </w:rPr>
        <w:t xml:space="preserve">e dans une représentation tronquée des utilisateurs finaux. Les projets en humanités numériques s’adressent en priorité aux chercheurs en SHS. Imaginaire collectif : ce sont des technophobes donc ce n’est pas la peine de leur demander ce qu’ils souhaitent.</w:t>
      </w:r>
      <w:r>
        <w:rPr>
          <w:sz w:val="24"/>
        </w:rPr>
      </w:r>
    </w:p>
    <w:p w14:paraId="0B017FCB" w14:textId="53951EB9">
      <w:pPr>
        <w:pBdr/>
        <w:spacing/>
        <w:ind/>
        <w:jc w:val="both"/>
        <w:rPr>
          <w:sz w:val="24"/>
        </w:rPr>
      </w:pPr>
      <w:r>
        <w:rPr>
          <w:sz w:val="24"/>
        </w:rPr>
        <w:t xml:space="preserve">Cette fausse croyance est en partie due au fait que les humanistes ont mis plus de temps à adopter les technologies numériques que les scientifiques et les chercheurs en sciences sociales. </w:t>
      </w:r>
      <w:r>
        <w:rPr>
          <w:sz w:val="24"/>
        </w:rPr>
      </w:r>
    </w:p>
    <w:p w14:paraId="1AC88C9B" w14:textId="570A3279">
      <w:pPr>
        <w:pBdr/>
        <w:spacing/>
        <w:ind/>
        <w:jc w:val="both"/>
        <w:rPr>
          <w:sz w:val="24"/>
        </w:rPr>
      </w:pPr>
      <w:r>
        <w:rPr>
          <w:sz w:val="24"/>
        </w:rPr>
        <w:t xml:space="preserve">En ce qui concerne les utilisateurs non académiques, la principale fausse croyance réside dans l’idée qu’avec la multiplication des dispositifs numériques, les utilisateurs seraient de plus en plus à l’aise avec le numérique. Toutefois comme le dit Jérôme </w:t>
      </w:r>
      <w:r>
        <w:rPr>
          <w:sz w:val="24"/>
        </w:rPr>
        <w:t xml:space="preserve">Dinet</w:t>
      </w:r>
      <w:r>
        <w:rPr>
          <w:sz w:val="24"/>
        </w:rPr>
        <w:t xml:space="preserve">, une différence doit être établie entre la manipulation d’un outil, il faut également qu’il sache traiter l’information </w:t>
      </w:r>
      <w:r>
        <w:rPr>
          <w:sz w:val="24"/>
        </w:rPr>
        <w:t xml:space="preserve">qui lui est offerte, ce qui nécessite pour cela de connaître son utilisateur pour lui proposer des services qui l’accompagnent dans le traitement des données.</w:t>
      </w:r>
      <w:r>
        <w:rPr>
          <w:sz w:val="24"/>
        </w:rPr>
      </w:r>
    </w:p>
    <w:p w14:paraId="3D3F21C0" w14:textId="51E8FFAE">
      <w:pPr>
        <w:pBdr/>
        <w:spacing/>
        <w:ind/>
        <w:jc w:val="both"/>
        <w:rPr>
          <w:sz w:val="24"/>
        </w:rPr>
      </w:pPr>
      <w:r>
        <w:rPr>
          <w:sz w:val="24"/>
        </w:rPr>
        <w:t xml:space="preserve">Du côté des bibliothèques numériques patrimoniales, les mêmes constats peuvent être dressés : les études utilisateurs sont peu répandues. </w:t>
      </w:r>
      <w:r>
        <w:rPr>
          <w:sz w:val="24"/>
        </w:rPr>
      </w:r>
    </w:p>
    <w:p w14:paraId="55F277C1" w14:textId="0F6D135E">
      <w:pPr>
        <w:pBdr/>
        <w:spacing/>
        <w:ind/>
        <w:jc w:val="both"/>
        <w:rPr>
          <w:sz w:val="24"/>
        </w:rPr>
      </w:pPr>
      <w:r>
        <w:rPr>
          <w:sz w:val="24"/>
        </w:rPr>
        <w:t xml:space="preserve">Principale raison à l’origine de cette affirmation vient du fait que dans de nombreux cas, les chercheurs et les développeurs </w:t>
      </w:r>
      <w:r>
        <w:rPr>
          <w:sz w:val="24"/>
        </w:rPr>
        <w:t xml:space="preserve">d’un projet numérique pensent connaître suffisamment leurs utilisateurs poten</w:t>
      </w:r>
      <w:r>
        <w:rPr>
          <w:sz w:val="24"/>
        </w:rPr>
        <w:t xml:space="preserve">tiels pour ne pas réaliser d’études approfondies, en estimant, notamment dans le cas d’une bibliothèque numérique, que les utilisateurs de cette ressource seront les mêmes que les usagers d’une bibliothèque analogique. Autre raison : primauté accordée à la</w:t>
      </w:r>
      <w:r>
        <w:rPr>
          <w:sz w:val="24"/>
        </w:rPr>
        <w:t xml:space="preserve"> technique au détriment de l’utilisabilité de l’interface. La tendance est de se concentrer sur le choix de standards et le développement d’outils innovants, sans réfléchir préalablement à la modélisation des données et aux usages qui pourront en résulter.</w:t>
      </w:r>
      <w:r>
        <w:rPr>
          <w:sz w:val="24"/>
        </w:rPr>
      </w:r>
    </w:p>
    <w:p w14:paraId="668CAC6D" w14:textId="0B293925">
      <w:pPr>
        <w:pBdr/>
        <w:spacing/>
        <w:ind/>
        <w:jc w:val="both"/>
        <w:rPr>
          <w:sz w:val="24"/>
        </w:rPr>
      </w:pPr>
      <w:r>
        <w:rPr>
          <w:sz w:val="24"/>
        </w:rPr>
        <w:t xml:space="preserve">p.92 : les bibliothèques numériques patrimoniales et scientifiques se trouvent à la croisée de la bibliothéconomie et des sciences de l’information. </w:t>
      </w:r>
      <w:r>
        <w:rPr>
          <w:sz w:val="24"/>
        </w:rPr>
      </w:r>
    </w:p>
    <w:p w14:paraId="478201EE" w14:textId="2DB6394B">
      <w:pPr>
        <w:pBdr/>
        <w:spacing/>
        <w:ind/>
        <w:jc w:val="both"/>
        <w:rPr>
          <w:sz w:val="24"/>
        </w:rPr>
      </w:pPr>
      <w:r>
        <w:rPr>
          <w:sz w:val="24"/>
        </w:rPr>
        <w:t xml:space="preserve">p.98 : l’apport des études sur les systèmes d’information culturels et scientifiques</w:t>
      </w:r>
      <w:r>
        <w:rPr>
          <w:sz w:val="24"/>
        </w:rPr>
      </w:r>
    </w:p>
    <w:p w14:paraId="42C0B887" w14:textId="06EC6203">
      <w:pPr>
        <w:pBdr/>
        <w:spacing/>
        <w:ind/>
        <w:jc w:val="both"/>
        <w:rPr>
          <w:sz w:val="24"/>
        </w:rPr>
      </w:pPr>
      <w:r>
        <w:rPr>
          <w:sz w:val="24"/>
        </w:rPr>
        <w:t xml:space="preserve">Bibliothèques numériques patrimoniales peuvent être considérées comme une sous-catégorie des systèmes d’information, au même titre que les plateformes de revues et de travaux scientifiques, de type </w:t>
      </w:r>
      <w:r>
        <w:rPr>
          <w:i/>
          <w:sz w:val="24"/>
        </w:rPr>
        <w:t xml:space="preserve">Persée ou Cairn</w:t>
      </w:r>
      <w:r>
        <w:rPr>
          <w:sz w:val="24"/>
        </w:rPr>
        <w:t xml:space="preserve">. </w:t>
      </w:r>
      <w:r>
        <w:rPr>
          <w:sz w:val="24"/>
        </w:rPr>
      </w:r>
    </w:p>
    <w:p w14:paraId="3578C955" w14:textId="19C01DB2">
      <w:pPr>
        <w:pBdr/>
        <w:spacing/>
        <w:ind/>
        <w:jc w:val="both"/>
        <w:rPr>
          <w:sz w:val="24"/>
        </w:rPr>
      </w:pPr>
      <w:r>
        <w:rPr>
          <w:sz w:val="24"/>
        </w:rPr>
        <w:t xml:space="preserve">p.99 : L’approche du projet Fonte Gaia : vers un design participatif à la frontière entre approche ascendante et descendante.</w:t>
      </w:r>
      <w:r>
        <w:rPr>
          <w:sz w:val="24"/>
        </w:rPr>
      </w:r>
    </w:p>
    <w:p w14:paraId="48453BE3" w14:textId="22BDB001">
      <w:pPr>
        <w:pBdr/>
        <w:spacing/>
        <w:ind/>
        <w:jc w:val="both"/>
        <w:rPr>
          <w:sz w:val="24"/>
        </w:rPr>
      </w:pPr>
      <w:r>
        <w:rPr>
          <w:sz w:val="24"/>
        </w:rPr>
        <w:t xml:space="preserve">Plan suivi par l’auteur lors de la conception de la bibliothèque numérique </w:t>
      </w:r>
      <w:r>
        <w:rPr>
          <w:i/>
          <w:sz w:val="24"/>
        </w:rPr>
        <w:t xml:space="preserve">Fonte Gaia</w:t>
      </w:r>
      <w:r>
        <w:rPr>
          <w:sz w:val="24"/>
        </w:rPr>
        <w:t xml:space="preserve"> : </w:t>
      </w:r>
      <w:r>
        <w:rPr>
          <w:sz w:val="24"/>
        </w:rPr>
        <w:t xml:space="preserve">repose sur un processus itératif, participatif et hybride, en trois phases : l’identification, l’idéation/modélisation et la conception. </w:t>
      </w:r>
      <w:r>
        <w:rPr>
          <w:sz w:val="24"/>
        </w:rPr>
      </w:r>
    </w:p>
    <w:p w14:paraId="6215E20A" w14:textId="72010D69">
      <w:pPr>
        <w:pBdr/>
        <w:spacing/>
        <w:ind/>
        <w:jc w:val="both"/>
        <w:rPr>
          <w:sz w:val="24"/>
        </w:rPr>
      </w:pPr>
      <w:r>
        <w:rPr>
          <w:sz w:val="24"/>
        </w:rPr>
        <w:t xml:space="preserve">p.100 :</w:t>
      </w:r>
      <w:r>
        <w:rPr>
          <w:sz w:val="24"/>
        </w:rPr>
      </w:r>
    </w:p>
    <w:p w14:paraId="2D6C6816" w14:textId="4CBCEC4B">
      <w:pPr>
        <w:pBdr/>
        <w:spacing/>
        <w:ind/>
        <w:jc w:val="both"/>
        <w:rPr>
          <w:sz w:val="24"/>
          <w:u w:val="single"/>
        </w:rPr>
      </w:pPr>
      <w:r>
        <w:rPr>
          <w:sz w:val="24"/>
        </w:rPr>
        <w:t xml:space="preserve">Phase</w:t>
      </w:r>
      <w:r>
        <w:rPr>
          <w:sz w:val="24"/>
        </w:rPr>
        <w:t xml:space="preserve"> d’identification : double approche que nous qualifions d’hybride : une approche </w:t>
      </w:r>
      <w:r>
        <w:rPr>
          <w:i/>
          <w:sz w:val="24"/>
        </w:rPr>
        <w:t xml:space="preserve">top-down</w:t>
      </w:r>
      <w:r>
        <w:rPr>
          <w:sz w:val="24"/>
        </w:rPr>
        <w:t xml:space="preserve"> et une approche </w:t>
      </w:r>
      <w:r>
        <w:rPr>
          <w:i/>
          <w:sz w:val="24"/>
        </w:rPr>
        <w:t xml:space="preserve">bottom</w:t>
      </w:r>
      <w:r>
        <w:rPr>
          <w:i/>
          <w:sz w:val="24"/>
        </w:rPr>
        <w:t xml:space="preserve">-up. </w:t>
      </w:r>
      <w:r>
        <w:rPr>
          <w:sz w:val="24"/>
          <w:u w:val="single"/>
        </w:rPr>
      </w:r>
    </w:p>
    <w:p w14:paraId="2A504E43" w14:textId="00618A86">
      <w:pPr>
        <w:pBdr/>
        <w:spacing/>
        <w:ind/>
        <w:jc w:val="both"/>
        <w:rPr>
          <w:sz w:val="24"/>
        </w:rPr>
      </w:pPr>
      <w:r>
        <w:rPr>
          <w:sz w:val="24"/>
        </w:rPr>
        <w:t xml:space="preserve">1</w:t>
      </w:r>
      <w:r>
        <w:rPr>
          <w:sz w:val="24"/>
          <w:vertAlign w:val="superscript"/>
        </w:rPr>
        <w:t xml:space="preserve">re</w:t>
      </w:r>
      <w:r>
        <w:rPr>
          <w:sz w:val="24"/>
        </w:rPr>
        <w:t xml:space="preserve"> consiste en un état de l’art des services existant dans les bibliothèques numériques, en vue de dresser un panorama des fonctionnalités offertes par les bibliothèques et d’en proposer une catégorisation.</w:t>
      </w:r>
      <w:r>
        <w:rPr>
          <w:sz w:val="24"/>
        </w:rPr>
      </w:r>
    </w:p>
    <w:p w14:paraId="390BDB9F" w14:textId="27EFB38F">
      <w:pPr>
        <w:pBdr/>
        <w:spacing/>
        <w:ind/>
        <w:jc w:val="both"/>
        <w:rPr>
          <w:sz w:val="24"/>
        </w:rPr>
      </w:pPr>
      <w:r>
        <w:rPr>
          <w:sz w:val="24"/>
        </w:rPr>
        <w:t xml:space="preserve">Etude utilisate</w:t>
      </w:r>
      <w:r>
        <w:rPr>
          <w:sz w:val="24"/>
        </w:rPr>
        <w:t xml:space="preserve">urs en deux étapes : une étude quantitative des usages et des besoins des utilisateurs de bibliothèques numériques (questionnaire) ; une étude qualitative des perceptions des utilisateurs sur leurs usages (entretiens individuels). Le choix de ces méthodes </w:t>
      </w:r>
      <w:r>
        <w:rPr>
          <w:sz w:val="24"/>
        </w:rPr>
        <w:t xml:space="preserve">d’enquête dépend de la forme même de notre étude.</w:t>
      </w:r>
      <w:r>
        <w:rPr>
          <w:sz w:val="24"/>
        </w:rPr>
      </w:r>
    </w:p>
    <w:p w14:paraId="31C849B2" w14:textId="77777777">
      <w:pPr>
        <w:pBdr/>
        <w:spacing/>
        <w:ind/>
        <w:jc w:val="both"/>
        <w:rPr>
          <w:sz w:val="24"/>
        </w:rPr>
      </w:pPr>
      <w:r>
        <w:rPr>
          <w:sz w:val="24"/>
        </w:rPr>
      </w:r>
      <w:r>
        <w:rPr>
          <w:sz w:val="24"/>
        </w:rPr>
      </w:r>
    </w:p>
    <w:p w14:paraId="581ED8C8" w14:textId="335D556C">
      <w:pPr>
        <w:pStyle w:val="678"/>
        <w:pBdr/>
        <w:spacing/>
        <w:ind/>
        <w:jc w:val="both"/>
        <w:rPr>
          <w:rFonts w:asciiTheme="minorHAnsi" w:hAnsiTheme="minorHAnsi" w:cstheme="minorHAnsi"/>
          <w:b/>
          <w:color w:val="auto"/>
          <w:sz w:val="28"/>
        </w:rPr>
      </w:pPr>
      <w:r>
        <w:rPr>
          <w:rFonts w:asciiTheme="minorHAnsi" w:hAnsiTheme="minorHAnsi" w:cstheme="minorHAnsi"/>
          <w:b/>
          <w:color w:val="auto"/>
          <w:sz w:val="28"/>
        </w:rPr>
        <w:t xml:space="preserve">Chapitre 4 : Approche descendante : services et engagement du public</w:t>
      </w:r>
      <w:r>
        <w:rPr>
          <w:rFonts w:asciiTheme="minorHAnsi" w:hAnsiTheme="minorHAnsi" w:cstheme="minorHAnsi"/>
          <w:b/>
          <w:color w:val="auto"/>
          <w:sz w:val="28"/>
        </w:rPr>
      </w:r>
    </w:p>
    <w:p w14:paraId="1EA2E8F4" w14:textId="44D27999">
      <w:pPr>
        <w:pBdr/>
        <w:spacing/>
        <w:ind/>
        <w:rPr>
          <w:sz w:val="24"/>
        </w:rPr>
      </w:pPr>
      <w:r>
        <w:rPr>
          <w:sz w:val="24"/>
        </w:rPr>
        <w:t xml:space="preserve">p.107 à 1</w:t>
      </w:r>
      <w:r>
        <w:rPr>
          <w:sz w:val="24"/>
        </w:rPr>
        <w:t xml:space="preserve">53</w:t>
      </w:r>
      <w:r>
        <w:rPr>
          <w:sz w:val="24"/>
        </w:rPr>
        <w:t xml:space="preserve"> :</w:t>
      </w:r>
      <w:r>
        <w:rPr>
          <w:sz w:val="24"/>
        </w:rPr>
      </w:r>
    </w:p>
    <w:p w14:paraId="7CC26BFC" w14:textId="0B1916CD">
      <w:pPr>
        <w:pBdr/>
        <w:spacing/>
        <w:ind/>
        <w:jc w:val="both"/>
        <w:rPr>
          <w:sz w:val="24"/>
        </w:rPr>
      </w:pPr>
      <w:r>
        <w:rPr>
          <w:sz w:val="24"/>
        </w:rPr>
        <w:t xml:space="preserve">p.107 :</w:t>
      </w:r>
      <w:r>
        <w:rPr>
          <w:sz w:val="24"/>
        </w:rPr>
      </w:r>
    </w:p>
    <w:p w14:paraId="5C8C7017" w14:textId="6421BE52">
      <w:pPr>
        <w:pBdr/>
        <w:spacing/>
        <w:ind/>
        <w:jc w:val="both"/>
        <w:rPr>
          <w:sz w:val="24"/>
        </w:rPr>
      </w:pPr>
      <w:r>
        <w:rPr>
          <w:sz w:val="24"/>
        </w:rPr>
        <w:t xml:space="preserve">Au cours de l’approche descendante de notre phase d’identification du besoin et des publics = réalisation d’un état de l’art des services actuellement proposés par les bibliothèques numériques.</w:t>
      </w:r>
      <w:r>
        <w:rPr>
          <w:sz w:val="24"/>
        </w:rPr>
      </w:r>
    </w:p>
    <w:p w14:paraId="42C10798" w14:textId="7F4E80F9">
      <w:pPr>
        <w:pBdr/>
        <w:spacing/>
        <w:ind/>
        <w:jc w:val="both"/>
        <w:rPr>
          <w:sz w:val="24"/>
        </w:rPr>
      </w:pPr>
      <w:r>
        <w:rPr>
          <w:sz w:val="24"/>
        </w:rPr>
        <w:t xml:space="preserve">Objectif : réaliser un état des lieux des différen</w:t>
      </w:r>
      <w:r>
        <w:rPr>
          <w:sz w:val="24"/>
        </w:rPr>
        <w:t xml:space="preserve">ts types de services proposés, proposer une catégorisation des services et des missions en ligne des bibliothèques numériques sous l’angle de l’engagement de l’utilisateur et des relations que ces services établissement entre ce dernier et la bibliothèque.</w:t>
      </w:r>
      <w:r>
        <w:rPr>
          <w:sz w:val="24"/>
        </w:rPr>
      </w:r>
    </w:p>
    <w:p w14:paraId="01B6CB92" w14:textId="5BF6A3DF">
      <w:pPr>
        <w:pBdr/>
        <w:spacing/>
        <w:ind/>
        <w:jc w:val="both"/>
        <w:rPr>
          <w:sz w:val="24"/>
        </w:rPr>
      </w:pPr>
      <w:r>
        <w:rPr>
          <w:sz w:val="24"/>
        </w:rPr>
        <w:t xml:space="preserve">Sélection d’un ensemble de bibliothèques numériques selon les critères suivants : des bibliothèques partageant des points communs avec </w:t>
      </w:r>
      <w:r>
        <w:rPr>
          <w:i/>
          <w:sz w:val="24"/>
        </w:rPr>
        <w:t xml:space="preserve">Fonte Gaia, </w:t>
      </w:r>
      <w:r>
        <w:rPr>
          <w:sz w:val="24"/>
        </w:rPr>
        <w:t xml:space="preserve">c’est-à-dire des portails généraux et thématiques ; des bibliothèques numériques représentatives des bibliothèques numériques patrimoniales, en raison du nombre d</w:t>
      </w:r>
      <w:r>
        <w:rPr>
          <w:sz w:val="24"/>
        </w:rPr>
        <w:t xml:space="preserve">e leurs collections et de leur variété, de leur notoriété et de celle de l’institution qui les porte, des technologies employées, de la diversité des services proposés ; des bibliothèques numériques ou projets apparentés proposant des service spécifiques. </w:t>
      </w:r>
      <w:r>
        <w:rPr>
          <w:sz w:val="24"/>
        </w:rPr>
      </w:r>
    </w:p>
    <w:p w14:paraId="1FF982BF" w14:textId="6431810C">
      <w:pPr>
        <w:pBdr/>
        <w:spacing/>
        <w:ind/>
        <w:jc w:val="both"/>
        <w:rPr>
          <w:sz w:val="24"/>
        </w:rPr>
      </w:pPr>
      <w:r>
        <w:rPr>
          <w:sz w:val="24"/>
        </w:rPr>
        <w:t xml:space="preserve">p.108 : </w:t>
      </w:r>
      <w:r>
        <w:rPr>
          <w:sz w:val="24"/>
        </w:rPr>
      </w:r>
    </w:p>
    <w:p w14:paraId="5A308632" w14:textId="49798DB8">
      <w:pPr>
        <w:pBdr/>
        <w:spacing/>
        <w:ind/>
        <w:jc w:val="both"/>
        <w:rPr>
          <w:sz w:val="24"/>
        </w:rPr>
      </w:pPr>
      <w:r>
        <w:rPr>
          <w:sz w:val="24"/>
        </w:rPr>
        <w:t xml:space="preserve">Etudes portant sur les services des bibliothèques analogiques proposent de distinguer des services d’accès aux ressources, des services d’aide documentaire et de formation, des services de diffusion et de partage de l’information. </w:t>
      </w:r>
      <w:r>
        <w:rPr>
          <w:sz w:val="24"/>
        </w:rPr>
      </w:r>
    </w:p>
    <w:p w14:paraId="573E9A71" w14:textId="111D97C3">
      <w:pPr>
        <w:pBdr/>
        <w:spacing/>
        <w:ind/>
        <w:jc w:val="both"/>
        <w:rPr>
          <w:sz w:val="24"/>
        </w:rPr>
      </w:pPr>
      <w:r>
        <w:rPr>
          <w:sz w:val="24"/>
        </w:rPr>
        <w:t xml:space="preserve">Utilisateur est nécessaire pour qu’il y ait service, son rôle et sa place sont déterminants pour définir chaque service.</w:t>
      </w:r>
      <w:r>
        <w:rPr>
          <w:sz w:val="24"/>
        </w:rPr>
      </w:r>
    </w:p>
    <w:p w14:paraId="6CBB07E1" w14:textId="3A161B82">
      <w:pPr>
        <w:pBdr/>
        <w:spacing/>
        <w:ind/>
        <w:jc w:val="both"/>
        <w:rPr>
          <w:sz w:val="24"/>
        </w:rPr>
      </w:pPr>
      <w:r>
        <w:rPr>
          <w:sz w:val="24"/>
        </w:rPr>
        <w:t xml:space="preserve">Identification de trois niveaux :</w:t>
      </w:r>
      <w:r>
        <w:rPr>
          <w:sz w:val="24"/>
        </w:rPr>
      </w:r>
    </w:p>
    <w:p w14:paraId="5F04D3F6" w14:textId="5C72129B">
      <w:pPr>
        <w:pStyle w:val="683"/>
        <w:numPr>
          <w:ilvl w:val="0"/>
          <w:numId w:val="3"/>
        </w:numPr>
        <w:pBdr/>
        <w:spacing w:line="276" w:lineRule="auto"/>
        <w:ind/>
        <w:rPr>
          <w:sz w:val="24"/>
        </w:rPr>
      </w:pPr>
      <w:r>
        <w:rPr>
          <w:sz w:val="24"/>
        </w:rPr>
        <w:t xml:space="preserve">Degré zéro : renvoie à des services qui requièrent uniquement « une simple présence » de l’utilisateur. </w:t>
      </w:r>
      <w:r>
        <w:rPr>
          <w:sz w:val="24"/>
        </w:rPr>
      </w:r>
    </w:p>
    <w:p w14:paraId="1F40BAEC" w14:textId="6420B648">
      <w:pPr>
        <w:pStyle w:val="683"/>
        <w:numPr>
          <w:ilvl w:val="0"/>
          <w:numId w:val="3"/>
        </w:numPr>
        <w:pBdr/>
        <w:spacing w:line="276" w:lineRule="auto"/>
        <w:ind/>
        <w:rPr>
          <w:sz w:val="24"/>
        </w:rPr>
      </w:pPr>
      <w:r>
        <w:rPr>
          <w:sz w:val="24"/>
        </w:rPr>
        <w:t xml:space="preserve">« Participation limitée » : l’utilisateur suit des règles prédéfinies </w:t>
      </w:r>
      <w:r>
        <w:rPr>
          <w:sz w:val="24"/>
        </w:rPr>
      </w:r>
    </w:p>
    <w:p w14:paraId="5596C7A5" w14:textId="24DC96AA">
      <w:pPr>
        <w:pStyle w:val="683"/>
        <w:numPr>
          <w:ilvl w:val="0"/>
          <w:numId w:val="3"/>
        </w:numPr>
        <w:pBdr/>
        <w:spacing w:line="276" w:lineRule="auto"/>
        <w:ind/>
        <w:rPr>
          <w:sz w:val="24"/>
        </w:rPr>
      </w:pPr>
      <w:r>
        <w:rPr>
          <w:sz w:val="24"/>
        </w:rPr>
        <w:t xml:space="preserve">« Participation dynamique » : </w:t>
      </w:r>
      <w:r>
        <w:rPr>
          <w:sz w:val="24"/>
        </w:rPr>
        <w:t xml:space="preserve">L’utilisateur contribue à la construction du service.</w:t>
      </w:r>
      <w:r>
        <w:rPr>
          <w:sz w:val="24"/>
        </w:rPr>
      </w:r>
    </w:p>
    <w:p w14:paraId="37F051BA" w14:textId="5FC28D41">
      <w:pPr>
        <w:pBdr/>
        <w:spacing w:line="360" w:lineRule="auto"/>
        <w:ind/>
        <w:jc w:val="both"/>
        <w:rPr>
          <w:sz w:val="24"/>
        </w:rPr>
      </w:pPr>
      <w:r>
        <w:rPr>
          <w:sz w:val="24"/>
        </w:rPr>
        <w:t xml:space="preserve">Ces trois niveaux ont é</w:t>
      </w:r>
      <w:r>
        <w:rPr>
          <w:sz w:val="24"/>
        </w:rPr>
        <w:t xml:space="preserve">té définit par Raphaële Gilbert constituant le premier critère.</w:t>
      </w:r>
      <w:r>
        <w:rPr>
          <w:sz w:val="24"/>
        </w:rPr>
      </w:r>
    </w:p>
    <w:p w14:paraId="45B1E236" w14:textId="2F2C8072">
      <w:pPr>
        <w:pBdr/>
        <w:spacing w:line="360" w:lineRule="auto"/>
        <w:ind/>
        <w:jc w:val="both"/>
        <w:rPr>
          <w:sz w:val="24"/>
        </w:rPr>
      </w:pPr>
      <w:r>
        <w:rPr>
          <w:sz w:val="24"/>
        </w:rPr>
        <w:t xml:space="preserve">2</w:t>
      </w:r>
      <w:r>
        <w:rPr>
          <w:sz w:val="24"/>
          <w:vertAlign w:val="superscript"/>
        </w:rPr>
        <w:t xml:space="preserve">nd</w:t>
      </w:r>
      <w:r>
        <w:rPr>
          <w:sz w:val="24"/>
        </w:rPr>
        <w:t xml:space="preserve"> critère : degré de personnalisation du service, dont la nature peut changer s’il s’adresse à</w:t>
      </w:r>
      <w:r>
        <w:rPr>
          <w:sz w:val="24"/>
        </w:rPr>
        <w:t xml:space="preserve"> une communauté, un groupe ou un individu. L’autrice distingue ainsi les « services génériques », qui s’adressent indifféremment à tous les utilisateurs, les « services spécialisés », destinés à des groupes d’utilisateurs, aux caractéristiques et aux besoi</w:t>
      </w:r>
      <w:r>
        <w:rPr>
          <w:sz w:val="24"/>
        </w:rPr>
        <w:t xml:space="preserve">ns communs, les « services personnalisés » proposant des fonctionnalités identiques pour tous, mais personnalisables en fonction des besoins de chacun, et les « services individualisés », plus rares, qui répondent aux besoins d’un individu en particulier. </w:t>
      </w:r>
      <w:r>
        <w:rPr>
          <w:sz w:val="24"/>
        </w:rPr>
      </w:r>
    </w:p>
    <w:p w14:paraId="012633B7" w14:textId="5903469D">
      <w:pPr>
        <w:pBdr/>
        <w:spacing w:line="360" w:lineRule="auto"/>
        <w:ind/>
        <w:jc w:val="both"/>
        <w:rPr>
          <w:sz w:val="24"/>
        </w:rPr>
      </w:pPr>
      <w:r>
        <w:rPr>
          <w:sz w:val="24"/>
        </w:rPr>
        <w:t xml:space="preserve">Ils permettent de rendre compte de la complexité de la notion de service et d’en couvrir toutes les facettes. S’ils ont été définis par et pour des bibliothécaires afin de caractériser les services proposés </w:t>
      </w:r>
      <w:r>
        <w:rPr>
          <w:sz w:val="24"/>
        </w:rPr>
        <w:t xml:space="preserve">par des bibliothèques physiques, ils sont également applicables aux services offerts par des bibliothèques numériques.</w:t>
      </w:r>
      <w:r>
        <w:rPr>
          <w:sz w:val="24"/>
        </w:rPr>
      </w:r>
    </w:p>
    <w:p w14:paraId="6DB8DC6F" w14:textId="0FF9B281">
      <w:pPr>
        <w:pBdr/>
        <w:spacing w:line="360" w:lineRule="auto"/>
        <w:ind/>
        <w:jc w:val="both"/>
        <w:rPr>
          <w:sz w:val="24"/>
        </w:rPr>
      </w:pPr>
      <w:r>
        <w:rPr>
          <w:sz w:val="24"/>
        </w:rPr>
        <w:t xml:space="preserve">Identification des familles de services à partir des études réalisées pour les bib</w:t>
      </w:r>
      <w:r>
        <w:rPr>
          <w:sz w:val="24"/>
        </w:rPr>
        <w:t xml:space="preserve">liothèques physiques adaptées aux bibliothèques numériques. Groupes : services de consultation, des services de recherche, des services d’accompagnement de la recherche documentaire et scientifique, des services de diffusion et des services participatifs. </w:t>
      </w:r>
      <w:r>
        <w:rPr>
          <w:sz w:val="24"/>
        </w:rPr>
      </w:r>
    </w:p>
    <w:p w14:paraId="7941C884" w14:textId="3984EE70">
      <w:pPr>
        <w:pBdr/>
        <w:spacing w:line="360" w:lineRule="auto"/>
        <w:ind/>
        <w:jc w:val="both"/>
        <w:rPr>
          <w:sz w:val="24"/>
        </w:rPr>
      </w:pPr>
      <w:r>
        <w:rPr>
          <w:sz w:val="24"/>
        </w:rPr>
        <w:t xml:space="preserve">p.109 : les services de consultation des ressources numériques</w:t>
      </w:r>
      <w:r>
        <w:rPr>
          <w:sz w:val="24"/>
        </w:rPr>
      </w:r>
    </w:p>
    <w:p w14:paraId="61998D5C" w14:textId="5AF47455">
      <w:pPr>
        <w:pBdr/>
        <w:spacing w:line="360" w:lineRule="auto"/>
        <w:ind/>
        <w:jc w:val="both"/>
        <w:rPr>
          <w:sz w:val="24"/>
        </w:rPr>
      </w:pPr>
      <w:r>
        <w:rPr>
          <w:sz w:val="24"/>
        </w:rPr>
        <w:t xml:space="preserve">Services de consultations</w:t>
      </w:r>
      <w:r>
        <w:rPr>
          <w:sz w:val="24"/>
        </w:rPr>
        <w:t xml:space="preserve"> = services anciens, communs à la plupart des bibliothèques numériques. Etre considérés comme centraux, dans la mesure où l’une des fonctions premières des bibliothèques, qu’elles soient physiques ou numériques, est de proposer des contenus en libre accès.</w:t>
      </w:r>
      <w:r>
        <w:rPr>
          <w:sz w:val="24"/>
        </w:rPr>
      </w:r>
    </w:p>
    <w:p w14:paraId="3BBC0E43" w14:textId="1E3CBF4C">
      <w:pPr>
        <w:pBdr/>
        <w:spacing w:line="360" w:lineRule="auto"/>
        <w:ind/>
        <w:jc w:val="both"/>
        <w:rPr>
          <w:sz w:val="24"/>
        </w:rPr>
      </w:pPr>
      <w:r>
        <w:rPr>
          <w:sz w:val="24"/>
        </w:rPr>
        <w:t xml:space="preserve">Bib</w:t>
      </w:r>
      <w:r>
        <w:rPr>
          <w:sz w:val="24"/>
        </w:rPr>
        <w:t xml:space="preserve">liothèques numériques tendent alors à concentrer leurs efforts sur eux, puisqu’ils constituent non seulement l’écrin dans lequel les contenus seront mis en valeur, mais également l’un des principaux points d’accès des utilisateurs à la ressource numérique.</w:t>
      </w:r>
      <w:r>
        <w:rPr>
          <w:sz w:val="24"/>
        </w:rPr>
      </w:r>
    </w:p>
    <w:p w14:paraId="270EB1F9" w14:textId="77777777">
      <w:pPr>
        <w:pBdr/>
        <w:spacing w:line="360" w:lineRule="auto"/>
        <w:ind/>
        <w:jc w:val="both"/>
        <w:rPr>
          <w:sz w:val="24"/>
        </w:rPr>
      </w:pPr>
      <w:r>
        <w:rPr>
          <w:sz w:val="24"/>
        </w:rPr>
        <w:t xml:space="preserve">Les bibliothèques physiques laissent l’utilisateur seul face à l’ouvrage tandis que les bibliothèques numériques l’accompagnent, en lui proposant des services innovants, qui lui permettent d’enrichir sa lecture. </w:t>
      </w:r>
      <w:r>
        <w:rPr>
          <w:sz w:val="24"/>
        </w:rPr>
      </w:r>
    </w:p>
    <w:p w14:paraId="1B837D4F" w14:textId="2FCE7225">
      <w:pPr>
        <w:pBdr/>
        <w:spacing w:line="360" w:lineRule="auto"/>
        <w:ind/>
        <w:jc w:val="both"/>
        <w:rPr>
          <w:sz w:val="24"/>
        </w:rPr>
      </w:pPr>
      <w:r>
        <w:rPr>
          <w:sz w:val="24"/>
        </w:rPr>
        <w:t xml:space="preserve">Cet enrichissement repose sur deux éléments : </w:t>
      </w:r>
      <w:r>
        <w:rPr>
          <w:sz w:val="24"/>
        </w:rPr>
        <w:t xml:space="preserve">sur des outils de visualisation, qui offrent « un accès et une consultation plus agréable et ergonomique au public, ainsi qu’une utilisation </w:t>
      </w:r>
      <w:r>
        <w:rPr>
          <w:sz w:val="24"/>
        </w:rPr>
        <w:t xml:space="preserve">simplifiée, permettant la mise en valeur des collections », et sur un ensemble de fonctionnalités variées, rattachées à cet outil de visualisation et proposant différents modes d’accès aux ressources, différentes manières de les appréhender.</w:t>
      </w:r>
      <w:r>
        <w:rPr>
          <w:sz w:val="24"/>
        </w:rPr>
      </w:r>
    </w:p>
    <w:p w14:paraId="1DFDBBCD" w14:textId="5C4EB685">
      <w:pPr>
        <w:pBdr/>
        <w:spacing w:line="360" w:lineRule="auto"/>
        <w:ind/>
        <w:jc w:val="both"/>
        <w:rPr>
          <w:sz w:val="24"/>
        </w:rPr>
      </w:pPr>
      <w:r>
        <w:rPr>
          <w:sz w:val="24"/>
        </w:rPr>
        <w:t xml:space="preserve">Il est ainsi possible de crois</w:t>
      </w:r>
      <w:r>
        <w:rPr>
          <w:sz w:val="24"/>
        </w:rPr>
        <w:t xml:space="preserve">er les fonctionnalités d’édition, d’impression, d’annotation (surlignage, marquage de pages, notes), d’échange et de partage, etc. La différence entre les bibliothèques numériques se joue sur le degré d’interaction et de personnalisation offert au lecteur.</w:t>
      </w:r>
      <w:r>
        <w:rPr>
          <w:sz w:val="24"/>
        </w:rPr>
      </w:r>
    </w:p>
    <w:p w14:paraId="52BCFCDC" w14:textId="7EE0534E">
      <w:pPr>
        <w:pBdr/>
        <w:spacing w:line="360" w:lineRule="auto"/>
        <w:ind/>
        <w:jc w:val="both"/>
        <w:rPr>
          <w:sz w:val="24"/>
        </w:rPr>
      </w:pPr>
      <w:r>
        <w:rPr>
          <w:sz w:val="24"/>
        </w:rPr>
        <w:t xml:space="preserve">Concernant les outils de visualisation, l’autrice a distingué cinq formes de consultation différentes : la consultation simple, la consultation avancée ou enrichie, la consultation-</w:t>
      </w:r>
      <w:r>
        <w:rPr>
          <w:sz w:val="24"/>
        </w:rPr>
        <w:t xml:space="preserve">browsing</w:t>
      </w:r>
      <w:r>
        <w:rPr>
          <w:sz w:val="24"/>
        </w:rPr>
        <w:t xml:space="preserve">, la consultation encadrée et la consultation « différée ».</w:t>
      </w:r>
      <w:r>
        <w:rPr>
          <w:sz w:val="24"/>
        </w:rPr>
      </w:r>
    </w:p>
    <w:p w14:paraId="7EE8D8F5" w14:textId="51A9CD47">
      <w:pPr>
        <w:pBdr/>
        <w:spacing w:line="360" w:lineRule="auto"/>
        <w:ind/>
        <w:jc w:val="both"/>
        <w:rPr>
          <w:sz w:val="24"/>
        </w:rPr>
      </w:pPr>
      <w:r>
        <w:rPr>
          <w:sz w:val="24"/>
        </w:rPr>
        <w:t xml:space="preserve">Mise en évidence des différents niveaux de granularité en termes d’interaction et de personnalisation offerts avec ce service de consultation.</w:t>
      </w:r>
      <w:r>
        <w:rPr>
          <w:sz w:val="24"/>
        </w:rPr>
      </w:r>
    </w:p>
    <w:p w14:paraId="4C02A402" w14:textId="27FE10F2">
      <w:pPr>
        <w:pBdr/>
        <w:spacing w:line="360" w:lineRule="auto"/>
        <w:ind/>
        <w:jc w:val="both"/>
        <w:rPr>
          <w:sz w:val="24"/>
        </w:rPr>
      </w:pPr>
      <w:r>
        <w:rPr>
          <w:sz w:val="24"/>
        </w:rPr>
        <w:t xml:space="preserve">p.110 : la consultation simple</w:t>
      </w:r>
      <w:r>
        <w:rPr>
          <w:sz w:val="24"/>
        </w:rPr>
      </w:r>
    </w:p>
    <w:p w14:paraId="58DCECDA" w14:textId="577C6D6A">
      <w:pPr>
        <w:pBdr/>
        <w:spacing w:line="360" w:lineRule="auto"/>
        <w:ind/>
        <w:jc w:val="both"/>
        <w:rPr>
          <w:sz w:val="24"/>
        </w:rPr>
      </w:pPr>
      <w:r>
        <w:rPr>
          <w:sz w:val="24"/>
        </w:rPr>
        <w:t xml:space="preserve">La</w:t>
      </w:r>
      <w:r>
        <w:rPr>
          <w:sz w:val="24"/>
        </w:rPr>
        <w:t xml:space="preserve"> plus</w:t>
      </w:r>
      <w:r>
        <w:rPr>
          <w:sz w:val="24"/>
        </w:rPr>
        <w:t xml:space="preserve"> répandue parmi les bibliothèques numériques. Elle se caractérise par un nombre limité de fonctionnalités, qui se réduisent généralement à tourner des pages et à faire des zooms. Etre considérée comme le degré zéro de la visualisation. Ex : visionneuse de </w:t>
      </w:r>
      <w:r>
        <w:rPr>
          <w:sz w:val="24"/>
        </w:rPr>
        <w:t xml:space="preserve">Gallica</w:t>
      </w:r>
      <w:r>
        <w:rPr>
          <w:sz w:val="24"/>
        </w:rPr>
        <w:t xml:space="preserve">. </w:t>
      </w:r>
      <w:r>
        <w:rPr>
          <w:sz w:val="24"/>
        </w:rPr>
      </w:r>
    </w:p>
    <w:p w14:paraId="5F5C4E3D" w14:textId="5B32F9EF">
      <w:pPr>
        <w:pBdr/>
        <w:spacing w:line="360" w:lineRule="auto"/>
        <w:ind/>
        <w:jc w:val="both"/>
        <w:rPr>
          <w:sz w:val="24"/>
        </w:rPr>
      </w:pPr>
      <w:r>
        <w:rPr>
          <w:sz w:val="24"/>
        </w:rPr>
        <w:t xml:space="preserve">Fonctionnalités de la visionneuse de </w:t>
      </w:r>
      <w:r>
        <w:rPr>
          <w:sz w:val="24"/>
        </w:rPr>
        <w:t xml:space="preserve">Gallica</w:t>
      </w:r>
      <w:r>
        <w:rPr>
          <w:sz w:val="24"/>
        </w:rPr>
        <w:t xml:space="preserve"> réduites au minimum, qui n’encourage pas un fort engagement des</w:t>
      </w:r>
      <w:r>
        <w:rPr>
          <w:sz w:val="24"/>
        </w:rPr>
        <w:t xml:space="preserve"> utilisateurs avec les ressources (zoom, rotation, ajout de marques-pages). Observation de l’autrice : la ressource occupe tout l’espace de la page : c’est elle qui se trouve au cœur du service, et non l’utilisateur. Comment expliquer une telle situation ?</w:t>
      </w:r>
      <w:r>
        <w:rPr>
          <w:sz w:val="24"/>
        </w:rPr>
      </w:r>
    </w:p>
    <w:p w14:paraId="4DAB33D2" w14:textId="376B15D4">
      <w:pPr>
        <w:pBdr/>
        <w:spacing w:line="360" w:lineRule="auto"/>
        <w:ind/>
        <w:jc w:val="both"/>
        <w:rPr>
          <w:sz w:val="24"/>
        </w:rPr>
      </w:pPr>
      <w:r>
        <w:rPr>
          <w:sz w:val="24"/>
        </w:rPr>
        <w:t xml:space="preserve">L’une des premières hypothèses : considérer </w:t>
      </w:r>
      <w:r>
        <w:rPr>
          <w:sz w:val="24"/>
        </w:rPr>
        <w:t xml:space="preserve">Gallica</w:t>
      </w:r>
      <w:r>
        <w:rPr>
          <w:sz w:val="24"/>
        </w:rPr>
        <w:t xml:space="preserve"> comme une bibliothèque s’inscrivant dans une logique de « consultation-distribution ». </w:t>
      </w:r>
      <w:r>
        <w:rPr>
          <w:sz w:val="24"/>
        </w:rPr>
        <w:t xml:space="preserve">la</w:t>
      </w:r>
      <w:r>
        <w:rPr>
          <w:sz w:val="24"/>
        </w:rPr>
        <w:t xml:space="preserve"> priorité est donnée à la mise en avant des ressources, comme si ces dernières se suffisaient à elles-mêmes, leur force d’attraction étant telle que la bibliothèque numérique n’a pas besoin de développer de services autour.</w:t>
      </w:r>
      <w:r>
        <w:rPr>
          <w:sz w:val="24"/>
        </w:rPr>
      </w:r>
    </w:p>
    <w:p w14:paraId="223147A7" w14:textId="7AABE814">
      <w:pPr>
        <w:pBdr/>
        <w:spacing w:line="360" w:lineRule="auto"/>
        <w:ind/>
        <w:jc w:val="both"/>
        <w:rPr>
          <w:sz w:val="24"/>
        </w:rPr>
      </w:pPr>
      <w:r>
        <w:rPr>
          <w:sz w:val="24"/>
        </w:rPr>
        <w:t xml:space="preserve">Utilisateur : attitude passive = accède aux contenus d’une manière identique et entièrement prédéfinie par la bibliothèque. </w:t>
      </w:r>
      <w:r>
        <w:rPr>
          <w:sz w:val="24"/>
        </w:rPr>
        <w:t xml:space="preserve">Gallica</w:t>
      </w:r>
      <w:r>
        <w:rPr>
          <w:sz w:val="24"/>
        </w:rPr>
        <w:t xml:space="preserve"> s’inscrirait dans une conception très traditionnelle de la bibliothèque numérique, à savoir celle de conservatoire numérique d’une partie du patrimoine écrit et d’extension de la bibliothèque dont elle est issue.</w:t>
      </w:r>
      <w:r>
        <w:rPr>
          <w:sz w:val="24"/>
        </w:rPr>
      </w:r>
    </w:p>
    <w:p w14:paraId="2FF34D63" w14:textId="30DB7655">
      <w:pPr>
        <w:pBdr/>
        <w:spacing w:line="360" w:lineRule="auto"/>
        <w:ind/>
        <w:jc w:val="both"/>
        <w:rPr>
          <w:sz w:val="24"/>
        </w:rPr>
      </w:pPr>
      <w:r>
        <w:rPr>
          <w:sz w:val="24"/>
        </w:rPr>
        <w:t xml:space="preserve">p.111 : </w:t>
      </w:r>
      <w:r>
        <w:rPr>
          <w:sz w:val="24"/>
        </w:rPr>
      </w:r>
    </w:p>
    <w:p w14:paraId="6E577564" w14:textId="3A71E2D8">
      <w:pPr>
        <w:pBdr/>
        <w:spacing w:line="360" w:lineRule="auto"/>
        <w:ind/>
        <w:jc w:val="both"/>
        <w:rPr>
          <w:sz w:val="24"/>
        </w:rPr>
      </w:pPr>
      <w:r>
        <w:rPr>
          <w:sz w:val="24"/>
        </w:rPr>
        <w:t xml:space="preserve">Pour</w:t>
      </w:r>
      <w:r>
        <w:rPr>
          <w:sz w:val="24"/>
        </w:rPr>
        <w:t xml:space="preserve"> répondre à des exigences encyclopédistes, </w:t>
      </w:r>
      <w:r>
        <w:rPr>
          <w:sz w:val="24"/>
        </w:rPr>
        <w:t xml:space="preserve">Gallica</w:t>
      </w:r>
      <w:r>
        <w:rPr>
          <w:sz w:val="24"/>
        </w:rPr>
        <w:t xml:space="preserve"> réunit des ressources patrimoniales diverses qu</w:t>
      </w:r>
      <w:r>
        <w:rPr>
          <w:sz w:val="24"/>
        </w:rPr>
        <w:t xml:space="preserve">ant à leur forme (manuscrits, imprimés, représentations iconographiques, documents audiovisuels…) ou à leur période. Ce large éventail de ressources numériques implique alors un public potentiellement tout aussi varié. Le choix d’un outil de visualisation </w:t>
      </w:r>
      <w:r>
        <w:rPr>
          <w:sz w:val="24"/>
        </w:rPr>
        <w:t xml:space="preserve">simplifié et volontairement neutre se jus</w:t>
      </w:r>
      <w:r>
        <w:rPr>
          <w:sz w:val="24"/>
        </w:rPr>
        <w:t xml:space="preserve">tifie donc non seulement pour être adapté à la nature de l’ensemble des ressources proposées et ainsi créer une identité visuelle commune à toute la bibliothèque numérique, mais également pour couvrir les besoins d’utilisateurs aux profils très différents.</w:t>
      </w:r>
      <w:r>
        <w:rPr>
          <w:sz w:val="24"/>
        </w:rPr>
      </w:r>
    </w:p>
    <w:p w14:paraId="54100A88" w14:textId="336B2C13">
      <w:pPr>
        <w:pBdr/>
        <w:spacing w:line="360" w:lineRule="auto"/>
        <w:ind/>
        <w:jc w:val="both"/>
        <w:rPr>
          <w:sz w:val="24"/>
        </w:rPr>
      </w:pPr>
      <w:r>
        <w:rPr>
          <w:sz w:val="24"/>
        </w:rPr>
        <w:t xml:space="preserve">La consultation avancée ou enrichie :</w:t>
      </w:r>
      <w:r>
        <w:rPr>
          <w:sz w:val="24"/>
        </w:rPr>
      </w:r>
    </w:p>
    <w:p w14:paraId="3186AF44" w14:textId="353D9F7A">
      <w:pPr>
        <w:pBdr/>
        <w:spacing w:line="360" w:lineRule="auto"/>
        <w:ind/>
        <w:jc w:val="both"/>
        <w:rPr>
          <w:sz w:val="24"/>
        </w:rPr>
      </w:pPr>
      <w:r>
        <w:rPr>
          <w:sz w:val="24"/>
        </w:rPr>
        <w:t xml:space="preserve">La consultation avancée renvoie à la mise à disposition des utilisateurs d’outils de visualisation enrichis de nombreuses fonctionnalités, qui permettent l’étude des ressources depuis l’interface de la bibliothèque numérique. Ces vi</w:t>
      </w:r>
      <w:r>
        <w:rPr>
          <w:sz w:val="24"/>
        </w:rPr>
        <w:t xml:space="preserve">sionneuses, qui s’apparent à des boîtes à outils, sont proposées par des bibliothèques numériques thématiques, dont l’ensemble des ressources partage des caractéristiques communes et s’adresse à un public précis, dont les usages et les besoins sont connus.</w:t>
      </w:r>
      <w:r>
        <w:rPr>
          <w:sz w:val="24"/>
        </w:rPr>
      </w:r>
    </w:p>
    <w:p w14:paraId="181BDAF9" w14:textId="1E867EB4">
      <w:pPr>
        <w:pBdr/>
        <w:spacing w:line="360" w:lineRule="auto"/>
        <w:ind/>
        <w:jc w:val="both"/>
        <w:rPr>
          <w:sz w:val="24"/>
        </w:rPr>
      </w:pPr>
      <w:r>
        <w:rPr>
          <w:sz w:val="24"/>
        </w:rPr>
        <w:t xml:space="preserve">Exemple </w:t>
      </w:r>
      <w:r>
        <w:rPr>
          <w:sz w:val="24"/>
        </w:rPr>
        <w:t xml:space="preserve">Biblissima</w:t>
      </w:r>
      <w:r>
        <w:rPr>
          <w:sz w:val="24"/>
        </w:rPr>
        <w:t xml:space="preserve"> : en temps qu’observatoire du patrimoine écrit et de sa circulation à l’époque méd</w:t>
      </w:r>
      <w:r>
        <w:rPr>
          <w:sz w:val="24"/>
        </w:rPr>
        <w:t xml:space="preserve">iévale et moderne, cette bibliothèque numérique a orienté une partie de son interface autour de la comparaison de manuscrits et d’imprimés anciens, pratique qui se trouve au cœur des usages des chercheurs, et notamment des chercheurs en histoire du livre. </w:t>
      </w:r>
      <w:r>
        <w:rPr>
          <w:sz w:val="24"/>
        </w:rPr>
        <w:t xml:space="preserve">La visionneuse Mirador permet aux utilisateurs de réaliser une étude comparative et détaillée des manuscrits, à l’aide de fonctionnalités de zoom et d’annotation. </w:t>
      </w:r>
      <w:r>
        <w:rPr>
          <w:sz w:val="24"/>
        </w:rPr>
      </w:r>
    </w:p>
    <w:p w14:paraId="28B770CF" w14:textId="7489B1BB">
      <w:pPr>
        <w:pBdr/>
        <w:spacing w:line="360" w:lineRule="auto"/>
        <w:ind/>
        <w:jc w:val="both"/>
        <w:rPr>
          <w:sz w:val="24"/>
        </w:rPr>
      </w:pPr>
      <w:r>
        <w:rPr>
          <w:sz w:val="24"/>
        </w:rPr>
        <w:t xml:space="preserve">Gallica</w:t>
      </w:r>
      <w:r>
        <w:rPr>
          <w:sz w:val="24"/>
        </w:rPr>
        <w:t xml:space="preserve"> : environnement de consultation est prédéfini par la bibliothèque, ici l’utilisateur construit et personnalise</w:t>
      </w:r>
      <w:r>
        <w:rPr>
          <w:sz w:val="24"/>
        </w:rPr>
        <w:t xml:space="preserve"> lui-même son espace de travail (choix des ressources, des fenêtres de comparaison…). La visionneuse ne répond plus uniquement aux exigences imposées par la ressource, mais également aux objectifs de l’utilisateur qui investit ainsi pleinement l’interface.</w:t>
      </w:r>
      <w:r>
        <w:rPr>
          <w:sz w:val="24"/>
        </w:rPr>
      </w:r>
    </w:p>
    <w:p w14:paraId="617444BF" w14:textId="4DEF2BD2">
      <w:pPr>
        <w:pBdr/>
        <w:spacing w:line="360" w:lineRule="auto"/>
        <w:ind/>
        <w:jc w:val="both"/>
        <w:rPr>
          <w:sz w:val="24"/>
        </w:rPr>
      </w:pPr>
      <w:r>
        <w:rPr>
          <w:sz w:val="24"/>
        </w:rPr>
        <w:t xml:space="preserve">p.112 :</w:t>
      </w:r>
      <w:r>
        <w:rPr>
          <w:sz w:val="24"/>
        </w:rPr>
      </w:r>
    </w:p>
    <w:p w14:paraId="6B710641" w14:textId="02846EB3">
      <w:pPr>
        <w:pBdr/>
        <w:spacing w:line="360" w:lineRule="auto"/>
        <w:ind/>
        <w:jc w:val="both"/>
        <w:rPr>
          <w:sz w:val="24"/>
        </w:rPr>
      </w:pPr>
      <w:r>
        <w:rPr>
          <w:sz w:val="24"/>
        </w:rPr>
        <w:t xml:space="preserve">A</w:t>
      </w:r>
      <w:r>
        <w:rPr>
          <w:sz w:val="24"/>
        </w:rPr>
        <w:t xml:space="preserve">pparition de visionneuse d’un nouveau genre comme des espaces de travail, qui </w:t>
      </w:r>
      <w:r>
        <w:rPr>
          <w:sz w:val="24"/>
        </w:rPr>
        <w:t xml:space="preserve">reproduisent</w:t>
      </w:r>
      <w:r>
        <w:rPr>
          <w:sz w:val="24"/>
        </w:rPr>
        <w:t xml:space="preserve"> les pratiques d’une disciplines précises. Ex : le projet </w:t>
      </w:r>
      <w:r>
        <w:rPr>
          <w:sz w:val="24"/>
        </w:rPr>
        <w:t xml:space="preserve">DigiPal</w:t>
      </w:r>
      <w:r>
        <w:rPr>
          <w:sz w:val="24"/>
        </w:rPr>
        <w:t xml:space="preserve"> propose une visionneuse avancée, la </w:t>
      </w:r>
      <w:r>
        <w:rPr>
          <w:i/>
          <w:sz w:val="24"/>
        </w:rPr>
        <w:t xml:space="preserve">lighbox</w:t>
      </w:r>
      <w:r>
        <w:rPr>
          <w:i/>
          <w:sz w:val="24"/>
        </w:rPr>
        <w:t xml:space="preserve">, </w:t>
      </w:r>
      <w:r>
        <w:rPr>
          <w:sz w:val="24"/>
        </w:rPr>
        <w:t xml:space="preserve">aux allures de « bureau de travail numérique » à destination des paléographes. Cette boîte à outils répond à des besoins très précis des paléographes, qui voient leurs méthodes de travail transfo</w:t>
      </w:r>
      <w:r>
        <w:rPr>
          <w:sz w:val="24"/>
        </w:rPr>
        <w:t xml:space="preserve">rmées par le numérique (lecture facilitée via des échelles de gris, détection des palimpsestes via l’inversion des couleurs). Elle apporte une véritable plus-value à leur travail et les accompagne dans leurs analyses, grâce à une interface personnalisable </w:t>
      </w:r>
      <w:r>
        <w:rPr>
          <w:sz w:val="24"/>
        </w:rPr>
        <w:t xml:space="preserve">et aisément manipulable, qui ne nécessite aucune formation numérique préalable.</w:t>
      </w:r>
      <w:r>
        <w:rPr>
          <w:sz w:val="24"/>
        </w:rPr>
      </w:r>
    </w:p>
    <w:p w14:paraId="414F57F8" w14:textId="727EB8E5">
      <w:pPr>
        <w:pBdr/>
        <w:spacing w:line="360" w:lineRule="auto"/>
        <w:ind/>
        <w:jc w:val="both"/>
        <w:rPr>
          <w:sz w:val="24"/>
        </w:rPr>
      </w:pPr>
      <w:r>
        <w:rPr>
          <w:sz w:val="24"/>
        </w:rPr>
        <w:t xml:space="preserve">La consultation-</w:t>
      </w:r>
      <w:r>
        <w:rPr>
          <w:sz w:val="24"/>
        </w:rPr>
        <w:t xml:space="preserve">browsing</w:t>
      </w:r>
      <w:r>
        <w:rPr>
          <w:sz w:val="24"/>
        </w:rPr>
        <w:t xml:space="preserve"> : </w:t>
      </w:r>
      <w:r>
        <w:rPr>
          <w:sz w:val="24"/>
        </w:rPr>
      </w:r>
    </w:p>
    <w:p w14:paraId="26C35299" w14:textId="4745E46B">
      <w:pPr>
        <w:pBdr/>
        <w:spacing w:line="360" w:lineRule="auto"/>
        <w:ind/>
        <w:jc w:val="both"/>
        <w:rPr>
          <w:sz w:val="24"/>
        </w:rPr>
      </w:pPr>
      <w:r>
        <w:rPr>
          <w:sz w:val="24"/>
        </w:rPr>
        <w:t xml:space="preserve">Le </w:t>
      </w:r>
      <w:r>
        <w:rPr>
          <w:i/>
          <w:sz w:val="24"/>
        </w:rPr>
        <w:t xml:space="preserve">browsing</w:t>
      </w:r>
      <w:r>
        <w:rPr>
          <w:sz w:val="24"/>
        </w:rPr>
        <w:t xml:space="preserve"> revient à parcourir les contenus d’une interface sans avoir fait de recherche a priori : l’utilisateur a directement accès à l’ensemble des contenus et navigue librement à travers eux de page en page. </w:t>
      </w:r>
      <w:r>
        <w:rPr>
          <w:sz w:val="24"/>
        </w:rPr>
        <w:t xml:space="preserve">Elle peut se définir comme un parcours à travers </w:t>
      </w:r>
      <w:r>
        <w:rPr>
          <w:sz w:val="24"/>
        </w:rPr>
        <w:t xml:space="preserve">les collections depuis la visionneuse elle-même. L’utilisateur passe de texte en texte, par la possibilité d’explorer l’ensemble des collections sans avoir constamment à basculer du catalogue des collections à la notice d’une ressource. Ex : projet Schola </w:t>
      </w:r>
      <w:r>
        <w:rPr>
          <w:sz w:val="24"/>
        </w:rPr>
        <w:t xml:space="preserve">Rhetorica</w:t>
      </w:r>
      <w:r>
        <w:rPr>
          <w:sz w:val="24"/>
        </w:rPr>
        <w:t xml:space="preserve">.</w:t>
      </w:r>
      <w:r>
        <w:rPr>
          <w:sz w:val="24"/>
        </w:rPr>
      </w:r>
    </w:p>
    <w:p w14:paraId="5F58AFD1" w14:textId="0AE272A0">
      <w:pPr>
        <w:pBdr/>
        <w:spacing w:line="360" w:lineRule="auto"/>
        <w:ind/>
        <w:jc w:val="both"/>
        <w:rPr>
          <w:sz w:val="24"/>
        </w:rPr>
      </w:pPr>
      <w:r>
        <w:rPr>
          <w:sz w:val="24"/>
        </w:rPr>
        <w:t xml:space="preserve">Ce projet d’édition numérique d’ouvrages de rhétorique française ne propose pas un catalogue numérique, tel qu’on pe</w:t>
      </w:r>
      <w:r>
        <w:rPr>
          <w:sz w:val="24"/>
        </w:rPr>
        <w:t xml:space="preserve">ut le rencontrer dans les autres projets, mais une interface de consultation à trois colonnes. Dans chaque colonne, l’utilisateur peut librement parcourir et afficher les collections, via des listes déroulantes et un important réseau de liens hypertextes. </w:t>
      </w:r>
      <w:r>
        <w:rPr>
          <w:sz w:val="24"/>
        </w:rPr>
      </w:r>
    </w:p>
    <w:p w14:paraId="2C540D43" w14:textId="191FF9C9">
      <w:pPr>
        <w:pBdr/>
        <w:spacing w:line="360" w:lineRule="auto"/>
        <w:ind/>
        <w:jc w:val="both"/>
        <w:rPr>
          <w:sz w:val="24"/>
        </w:rPr>
      </w:pPr>
      <w:r>
        <w:rPr>
          <w:sz w:val="24"/>
        </w:rPr>
        <w:t xml:space="preserve">Pdv</w:t>
      </w:r>
      <w:r>
        <w:rPr>
          <w:sz w:val="24"/>
        </w:rPr>
        <w:t xml:space="preserve"> expérience utilisateur, cet outil de visualisation favorise la création de parcours de lecture personnalisés, en s’adaptant aux objectifs et aux besoins de chacun. </w:t>
      </w:r>
      <w:r>
        <w:rPr>
          <w:sz w:val="24"/>
        </w:rPr>
        <w:t xml:space="preserve">Utilisateur devient ainsi co-créateur du service. Par ce biais, cette interface propose une découverte des ressources par l’expérience. L’utilisateur n’est ni guidé ni astreint par l’interface à une se</w:t>
      </w:r>
      <w:r>
        <w:rPr>
          <w:sz w:val="24"/>
        </w:rPr>
        <w:t xml:space="preserve">ule manière de consulter les collections. Cette liberté encourage ainsi la sérendipité, c’est-à-dire la possibilité pour l’utilisateur de faire des découvertes inattendues, qu’il aurait même pu imaginer exploration personnelle et aléatoire des collections.</w:t>
      </w:r>
      <w:r>
        <w:rPr>
          <w:sz w:val="24"/>
        </w:rPr>
      </w:r>
    </w:p>
    <w:p w14:paraId="7ABE4DA3" w14:textId="004A41F6">
      <w:pPr>
        <w:pBdr/>
        <w:spacing w:line="360" w:lineRule="auto"/>
        <w:ind/>
        <w:jc w:val="both"/>
        <w:rPr>
          <w:sz w:val="24"/>
        </w:rPr>
      </w:pPr>
      <w:r>
        <w:rPr>
          <w:sz w:val="24"/>
        </w:rPr>
        <w:t xml:space="preserve">Consultation-</w:t>
      </w:r>
      <w:r>
        <w:rPr>
          <w:sz w:val="24"/>
        </w:rPr>
        <w:t xml:space="preserve">browsing</w:t>
      </w:r>
      <w:r>
        <w:rPr>
          <w:sz w:val="24"/>
        </w:rPr>
        <w:t xml:space="preserve"> = aboutir à des interfaces renouvelées sans catalogue ni moteur de recherche et où toutes les collections seraient accessibles depuis un outil de consultation </w:t>
      </w:r>
      <w:r>
        <w:rPr>
          <w:sz w:val="24"/>
        </w:rPr>
        <w:t xml:space="preserve">unique. </w:t>
      </w:r>
      <w:r>
        <w:rPr>
          <w:sz w:val="24"/>
        </w:rPr>
        <w:t xml:space="preserve">Sous cette forme, la consultation serait résolument orientée vers l’utilisateur, qui se verrait offrir un contrôle total non seulement sur sa consultation, mais aussi sur l’interface de la bibliothèque numérique.</w:t>
      </w:r>
      <w:r>
        <w:rPr>
          <w:sz w:val="24"/>
        </w:rPr>
      </w:r>
    </w:p>
    <w:p w14:paraId="0E2159F5" w14:textId="4D701C7F">
      <w:pPr>
        <w:pBdr/>
        <w:spacing w:line="360" w:lineRule="auto"/>
        <w:ind/>
        <w:jc w:val="both"/>
        <w:rPr>
          <w:sz w:val="24"/>
        </w:rPr>
      </w:pPr>
      <w:r>
        <w:rPr>
          <w:sz w:val="24"/>
        </w:rPr>
        <w:t xml:space="preserve">La consultation encadrée : </w:t>
      </w:r>
      <w:r>
        <w:rPr>
          <w:sz w:val="24"/>
        </w:rPr>
      </w:r>
    </w:p>
    <w:p w14:paraId="6102044F" w14:textId="539F1A69">
      <w:pPr>
        <w:pBdr/>
        <w:spacing w:line="360" w:lineRule="auto"/>
        <w:ind/>
        <w:jc w:val="both"/>
        <w:rPr>
          <w:sz w:val="24"/>
        </w:rPr>
      </w:pPr>
      <w:r>
        <w:rPr>
          <w:sz w:val="24"/>
        </w:rPr>
        <w:t xml:space="preserve">Ensemble des fonctionnalités élaborées par la bibliothèque ou par un spécialiste, qui encadrent la consultation d’une œuvre et accompagnent l’utilisateur dans la compréhension d’un texte. </w:t>
      </w:r>
      <w:r>
        <w:rPr>
          <w:sz w:val="24"/>
        </w:rPr>
      </w:r>
    </w:p>
    <w:p w14:paraId="19C5140D" w14:textId="1A0E8E8C">
      <w:pPr>
        <w:pBdr/>
        <w:spacing w:line="360" w:lineRule="auto"/>
        <w:ind/>
        <w:jc w:val="both"/>
        <w:rPr>
          <w:sz w:val="24"/>
        </w:rPr>
      </w:pPr>
      <w:r>
        <w:rPr>
          <w:sz w:val="24"/>
        </w:rPr>
        <w:t xml:space="preserve">Ces fonctionnalités sont différentes de celles de la consultation avancée. </w:t>
      </w:r>
      <w:r>
        <w:rPr>
          <w:sz w:val="24"/>
        </w:rPr>
      </w:r>
    </w:p>
    <w:p w14:paraId="3B7F46CF" w14:textId="0218C690">
      <w:pPr>
        <w:pBdr/>
        <w:spacing w:line="360" w:lineRule="auto"/>
        <w:ind/>
        <w:jc w:val="both"/>
        <w:rPr>
          <w:sz w:val="24"/>
        </w:rPr>
      </w:pPr>
      <w:r>
        <w:rPr>
          <w:sz w:val="24"/>
        </w:rPr>
        <w:t xml:space="preserve">Dans le cas de la consultation encadrée, la bibliothèque propose des fonctionnalités qu’elle a elle-même élaborée et qui donnent un cadre, une orientation à la lecture d’une œuvre. </w:t>
      </w:r>
      <w:r>
        <w:rPr>
          <w:sz w:val="24"/>
        </w:rPr>
      </w:r>
    </w:p>
    <w:p w14:paraId="0B8631F8" w14:textId="517BD00A">
      <w:pPr>
        <w:pBdr/>
        <w:spacing w:line="360" w:lineRule="auto"/>
        <w:ind/>
        <w:jc w:val="both"/>
        <w:rPr>
          <w:sz w:val="24"/>
        </w:rPr>
      </w:pPr>
      <w:r>
        <w:rPr>
          <w:sz w:val="24"/>
        </w:rPr>
        <w:t xml:space="preserve">Expositions virtu</w:t>
      </w:r>
      <w:r>
        <w:rPr>
          <w:sz w:val="24"/>
        </w:rPr>
        <w:t xml:space="preserve">elles = proposent aux utilisateurs un parcours de lecture pour une ou plusieurs œuvres, ainsi que l’ensemble des fonctionnalités qui apportent un éclairage scientifique (introduction critique) ou linguistique (traduction, transcription, etc.) à un contenu.</w:t>
      </w:r>
      <w:r>
        <w:rPr>
          <w:sz w:val="24"/>
        </w:rPr>
      </w:r>
    </w:p>
    <w:p w14:paraId="15E90101" w14:textId="1E555E15">
      <w:pPr>
        <w:pBdr/>
        <w:spacing w:line="360" w:lineRule="auto"/>
        <w:ind/>
        <w:jc w:val="both"/>
        <w:rPr>
          <w:sz w:val="24"/>
        </w:rPr>
      </w:pPr>
      <w:r>
        <w:rPr>
          <w:sz w:val="24"/>
        </w:rPr>
        <w:t xml:space="preserve">Le cas des expositions virtuelles</w:t>
      </w:r>
      <w:r>
        <w:rPr>
          <w:sz w:val="24"/>
        </w:rPr>
      </w:r>
    </w:p>
    <w:p w14:paraId="4C070D0A" w14:textId="63BC5D3E">
      <w:pPr>
        <w:pBdr/>
        <w:spacing w:line="360" w:lineRule="auto"/>
        <w:ind/>
        <w:jc w:val="both"/>
        <w:rPr>
          <w:sz w:val="24"/>
        </w:rPr>
      </w:pPr>
      <w:r>
        <w:rPr>
          <w:sz w:val="24"/>
        </w:rPr>
        <w:t xml:space="preserve">Les expositions ont toujours été un service privilégié par les institutions culturelles afin de valoriser une partie de leurs fonds et de proposer une autre forme de consultation et d’accès aux contenus, à la fois thématique, pédagogique et ludique. </w:t>
      </w:r>
      <w:r>
        <w:rPr>
          <w:sz w:val="24"/>
        </w:rPr>
      </w:r>
    </w:p>
    <w:p w14:paraId="3992F328" w14:textId="0C24554C">
      <w:pPr>
        <w:pBdr/>
        <w:spacing w:line="360" w:lineRule="auto"/>
        <w:ind/>
        <w:jc w:val="both"/>
        <w:rPr>
          <w:sz w:val="24"/>
        </w:rPr>
      </w:pPr>
      <w:r>
        <w:rPr>
          <w:sz w:val="24"/>
        </w:rPr>
        <w:t xml:space="preserve">L’exposition</w:t>
      </w:r>
      <w:r>
        <w:rPr>
          <w:sz w:val="24"/>
        </w:rPr>
        <w:t xml:space="preserve"> virtuelle n’est limitée par aucune contrainte temporelle ou spatiale et s’adresse ainsi à un public beaucoup plus large (experts, amateurs, chercheurs, enseignants, étudiants, familles), auquel elle propose une expérience interactive, voire collaborative.</w:t>
      </w:r>
      <w:r>
        <w:rPr>
          <w:sz w:val="24"/>
        </w:rPr>
      </w:r>
    </w:p>
    <w:p w14:paraId="68E90EB6" w14:textId="4D53CD96">
      <w:pPr>
        <w:pBdr/>
        <w:spacing w:line="360" w:lineRule="auto"/>
        <w:ind/>
        <w:jc w:val="both"/>
        <w:rPr>
          <w:sz w:val="24"/>
        </w:rPr>
      </w:pPr>
      <w:r>
        <w:rPr>
          <w:sz w:val="24"/>
        </w:rPr>
        <w:t xml:space="preserve">p.115 :</w:t>
      </w:r>
      <w:r>
        <w:rPr>
          <w:sz w:val="24"/>
        </w:rPr>
      </w:r>
    </w:p>
    <w:p w14:paraId="2302C83D" w14:textId="788C7BE8">
      <w:pPr>
        <w:pBdr/>
        <w:spacing w:line="360" w:lineRule="auto"/>
        <w:ind/>
        <w:jc w:val="both"/>
        <w:rPr>
          <w:sz w:val="24"/>
        </w:rPr>
      </w:pPr>
      <w:r>
        <w:rPr>
          <w:sz w:val="24"/>
        </w:rPr>
        <w:t xml:space="preserve">elle</w:t>
      </w:r>
      <w:r>
        <w:rPr>
          <w:sz w:val="24"/>
        </w:rPr>
        <w:t xml:space="preserve"> s’appuie pour cela sur un ensemble de technologies issues des standards du Web, tels que les réseaux s</w:t>
      </w:r>
      <w:r>
        <w:rPr>
          <w:sz w:val="24"/>
        </w:rPr>
        <w:t xml:space="preserve">ociaux ou la ludification. Tournée vers l’expérience utilisateur, l’exposition virtuelle se caractérise également par sa flexibilité et son continuel renouvellement, qui lui permettent d’intégrer les évolutions du Web et les nouvelles attentes des usagers.</w:t>
      </w:r>
      <w:r>
        <w:rPr>
          <w:sz w:val="24"/>
        </w:rPr>
      </w:r>
    </w:p>
    <w:p w14:paraId="407A6972" w14:textId="0E8DCC22">
      <w:pPr>
        <w:pBdr/>
        <w:spacing w:line="360" w:lineRule="auto"/>
        <w:ind/>
        <w:jc w:val="both"/>
        <w:rPr>
          <w:sz w:val="24"/>
        </w:rPr>
      </w:pPr>
      <w:r>
        <w:rPr>
          <w:sz w:val="24"/>
        </w:rPr>
        <w:t xml:space="preserve">Le terme d’exposition virtuelle renvoie tout d’abord aux « expositions publicitaires » qui annoncent une exposition physique, en proposant des informations sur son contenu, ainsi que des détails pratiques.</w:t>
      </w:r>
      <w:r>
        <w:rPr>
          <w:sz w:val="24"/>
        </w:rPr>
      </w:r>
    </w:p>
    <w:p w14:paraId="70DCF95C" w14:textId="48DCAB89">
      <w:pPr>
        <w:pBdr/>
        <w:spacing w:line="360" w:lineRule="auto"/>
        <w:ind/>
        <w:jc w:val="both"/>
        <w:rPr>
          <w:sz w:val="24"/>
        </w:rPr>
      </w:pPr>
      <w:r>
        <w:rPr>
          <w:sz w:val="24"/>
        </w:rPr>
        <w:t xml:space="preserve">La bibliothèque numérique apparaît ici comme la vitrine de l’institution culturelle dont elle dépend, l’objectif étant d’attirer l’utilisateur dans des locaux de cette dernière.</w:t>
      </w:r>
      <w:r>
        <w:rPr>
          <w:sz w:val="24"/>
        </w:rPr>
      </w:r>
    </w:p>
    <w:p w14:paraId="54AD73CB" w14:textId="4DCBE9EF">
      <w:pPr>
        <w:pBdr/>
        <w:spacing w:line="360" w:lineRule="auto"/>
        <w:ind/>
        <w:jc w:val="both"/>
        <w:rPr>
          <w:sz w:val="24"/>
        </w:rPr>
      </w:pPr>
      <w:r>
        <w:rPr>
          <w:sz w:val="24"/>
        </w:rPr>
        <w:t xml:space="preserve">La notion d’exposition virtuelle renvoie également aux « visites virtuelles », qui offrent l’opportunité aux usagers de parcourir une e</w:t>
      </w:r>
      <w:r>
        <w:rPr>
          <w:sz w:val="24"/>
        </w:rPr>
        <w:t xml:space="preserve">xposition soit parce qu’ils ne peuvent s’y rendre physiquement, soit parce qu’ils souhaitent préparer ou prolonger leur visite. Ces visites proposent des dossiers ou des galeries d’images qui complètent certains aspects abordés par l’exposition principale.</w:t>
      </w:r>
      <w:r>
        <w:rPr>
          <w:sz w:val="24"/>
        </w:rPr>
      </w:r>
    </w:p>
    <w:p w14:paraId="22DA452D" w14:textId="1FDCBCFE">
      <w:pPr>
        <w:pBdr/>
        <w:spacing w:line="360" w:lineRule="auto"/>
        <w:ind/>
        <w:jc w:val="both"/>
        <w:rPr>
          <w:sz w:val="24"/>
        </w:rPr>
      </w:pPr>
      <w:r>
        <w:rPr>
          <w:sz w:val="24"/>
        </w:rPr>
        <w:t xml:space="preserve">Ces expositions hybrides permettent à la BnF, à l’institution culturelle d’augmenter son rayonnement culturel, en permettant à tous ses usagers, qu’ils soient physiques ou virtuels, d’accéder aux expositions. </w:t>
      </w:r>
      <w:r>
        <w:rPr>
          <w:sz w:val="24"/>
        </w:rPr>
      </w:r>
    </w:p>
    <w:p w14:paraId="724B2DA5" w14:textId="1CA1D1D9">
      <w:pPr>
        <w:pBdr/>
        <w:spacing w:line="360" w:lineRule="auto"/>
        <w:ind/>
        <w:jc w:val="both"/>
        <w:rPr>
          <w:sz w:val="24"/>
        </w:rPr>
      </w:pPr>
      <w:r>
        <w:rPr>
          <w:sz w:val="24"/>
        </w:rPr>
        <w:t xml:space="preserve">Les expositions virtuelles favorisent en effet la sérendipité et apparaissent ainsi non seulement comme une autre forme de consultation, mais également comme un point d’entrée vers les collections de la bibliothèque numérique.</w:t>
      </w:r>
      <w:r>
        <w:rPr>
          <w:sz w:val="24"/>
        </w:rPr>
      </w:r>
    </w:p>
    <w:p w14:paraId="06FC3CC4" w14:textId="2951419F">
      <w:pPr>
        <w:pBdr/>
        <w:spacing w:line="360" w:lineRule="auto"/>
        <w:ind/>
        <w:jc w:val="both"/>
        <w:rPr>
          <w:sz w:val="24"/>
        </w:rPr>
      </w:pPr>
      <w:r>
        <w:rPr>
          <w:sz w:val="24"/>
        </w:rPr>
        <w:t xml:space="preserve">Europeana</w:t>
      </w:r>
      <w:r>
        <w:rPr>
          <w:sz w:val="24"/>
        </w:rPr>
        <w:t xml:space="preserve"> propose ainsi des expositions qui ne sont pas liées à une institution culturelle, mais à plusieurs, en raison de la nature agrégative de ce portail culturel européen. </w:t>
      </w:r>
      <w:r>
        <w:rPr>
          <w:sz w:val="24"/>
        </w:rPr>
      </w:r>
    </w:p>
    <w:p w14:paraId="2D4F3506" w14:textId="4D0F7E5D">
      <w:pPr>
        <w:pBdr/>
        <w:spacing w:line="360" w:lineRule="auto"/>
        <w:ind/>
        <w:jc w:val="both"/>
        <w:rPr>
          <w:sz w:val="24"/>
        </w:rPr>
      </w:pPr>
      <w:r>
        <w:rPr>
          <w:sz w:val="24"/>
        </w:rPr>
        <w:t xml:space="preserve">p.116 : </w:t>
      </w:r>
      <w:r>
        <w:rPr>
          <w:sz w:val="24"/>
        </w:rPr>
      </w:r>
    </w:p>
    <w:p w14:paraId="666FA414" w14:textId="24717235">
      <w:pPr>
        <w:pBdr/>
        <w:spacing w:line="360" w:lineRule="auto"/>
        <w:ind/>
        <w:jc w:val="both"/>
        <w:rPr>
          <w:sz w:val="24"/>
        </w:rPr>
      </w:pPr>
      <w:r>
        <w:rPr>
          <w:sz w:val="24"/>
        </w:rPr>
        <w:t xml:space="preserve">Il existe d’autres types d</w:t>
      </w:r>
      <w:r>
        <w:rPr>
          <w:sz w:val="24"/>
        </w:rPr>
        <w:t xml:space="preserve">’«</w:t>
      </w:r>
      <w:r>
        <w:rPr>
          <w:sz w:val="24"/>
        </w:rPr>
        <w:t xml:space="preserve"> expositions nativement numériques », qui s’éloignent du schéma traditionnel. Celles-ci utilisent pleinement les nouvelles technologies pour proposer une expérience interactive et innovante, qui serait difficilement reproductible lors d’une e</w:t>
      </w:r>
      <w:r>
        <w:rPr>
          <w:sz w:val="24"/>
        </w:rPr>
        <w:t xml:space="preserve">xposition analogique. Ex : exposition Candide de Voltaire : conçu comme un espace pédagogique et collaboratif, où chaque lecteur-contributeur peut créer son carnet de recherche à partir de ses extrais favoris du conte philosophique et de ses commentaires. </w:t>
      </w:r>
      <w:r>
        <w:rPr>
          <w:sz w:val="24"/>
        </w:rPr>
      </w:r>
    </w:p>
    <w:p w14:paraId="2F371CD1" w14:textId="282AE61B">
      <w:pPr>
        <w:pBdr/>
        <w:spacing w:line="360" w:lineRule="auto"/>
        <w:ind/>
        <w:jc w:val="both"/>
        <w:rPr>
          <w:sz w:val="24"/>
        </w:rPr>
      </w:pPr>
      <w:r>
        <w:rPr>
          <w:sz w:val="24"/>
        </w:rPr>
        <w:t xml:space="preserve">Les expositions virtuelles constituent une autre manière de mettre en lumière et d’aborder les collections de la bibliothèque numérique. Elles sont avant tout centrées sur l’expérience utilisateur, la pédagogie et la vulgarisation des savoirs. </w:t>
      </w:r>
      <w:r>
        <w:rPr>
          <w:sz w:val="24"/>
        </w:rPr>
        <w:t xml:space="preserve">Mais elles s’en démarquent par l’ajout </w:t>
      </w:r>
      <w:r>
        <w:rPr>
          <w:sz w:val="24"/>
        </w:rPr>
        <w:t xml:space="preserve">d’autres contenus, qui viennent enrichir l’exposition principale, et par la possibilité offerte à l’utilisateur de personnaliser sa visite. </w:t>
      </w:r>
      <w:r>
        <w:rPr>
          <w:sz w:val="24"/>
        </w:rPr>
      </w:r>
    </w:p>
    <w:p w14:paraId="3168EEAC" w14:textId="78CD910F">
      <w:pPr>
        <w:pBdr/>
        <w:spacing w:line="360" w:lineRule="auto"/>
        <w:ind/>
        <w:jc w:val="both"/>
        <w:rPr>
          <w:sz w:val="24"/>
        </w:rPr>
      </w:pPr>
      <w:r>
        <w:rPr>
          <w:sz w:val="24"/>
        </w:rPr>
        <w:t xml:space="preserve">p.117 : l’encadrement scientifique</w:t>
      </w:r>
      <w:r>
        <w:rPr>
          <w:sz w:val="24"/>
        </w:rPr>
      </w:r>
    </w:p>
    <w:p w14:paraId="0142F486" w14:textId="1B6CF065">
      <w:pPr>
        <w:pBdr/>
        <w:spacing w:line="360" w:lineRule="auto"/>
        <w:ind/>
        <w:jc w:val="both"/>
        <w:rPr>
          <w:sz w:val="24"/>
        </w:rPr>
      </w:pPr>
      <w:r>
        <w:rPr>
          <w:sz w:val="24"/>
        </w:rPr>
        <w:t xml:space="preserve">Certaines bibliothèques numériques choisissent d’enrichir la consultation d’un contenu de fonctionnalités accompagnatrices, à travers lesquelles la bibliothèque numérique guide l’utilisateur dans sa compréhensio</w:t>
      </w:r>
      <w:r>
        <w:rPr>
          <w:sz w:val="24"/>
        </w:rPr>
        <w:t xml:space="preserve">n d’un contenu. Elles peuvent prendre la forme de présentations critiques d’une œuvre, réalisées par des experts. Ainsi, la bibliothèque numérique de l’université de Cambridge propose à ses utilisateurs une introduction scientifique à de nombreux contenus.</w:t>
      </w:r>
      <w:r>
        <w:rPr>
          <w:sz w:val="24"/>
        </w:rPr>
      </w:r>
    </w:p>
    <w:p w14:paraId="3D4F04BE" w14:textId="3055E643">
      <w:pPr>
        <w:pBdr/>
        <w:spacing w:line="360" w:lineRule="auto"/>
        <w:ind/>
        <w:jc w:val="both"/>
        <w:rPr>
          <w:sz w:val="24"/>
        </w:rPr>
      </w:pPr>
      <w:r>
        <w:rPr>
          <w:sz w:val="24"/>
        </w:rPr>
        <w:t xml:space="preserve">Cambridge met à disposition </w:t>
      </w:r>
      <w:r>
        <w:rPr>
          <w:sz w:val="24"/>
        </w:rPr>
        <w:t xml:space="preserve">des uti</w:t>
      </w:r>
      <w:r>
        <w:rPr>
          <w:sz w:val="24"/>
        </w:rPr>
        <w:t xml:space="preserve">lisateurs un jeu de fenêtres déroulantes, où il peut aisément passer d’une lecture monolingue à une lecture parallèle du texte d’origine et de sa ou ses traductions. Il a la possibilité de voir les correspondances entre le latin et la traduction anglaise, </w:t>
      </w:r>
      <w:r>
        <w:rPr>
          <w:sz w:val="24"/>
        </w:rPr>
        <w:t xml:space="preserve">mais également de comparer les traductions. Cette consultation enrichie propose également un ensemble d’outils pour faciliter l’étude de chaque mot, tels que l’accès au sens des mots dans le contexte de la phrase ou un lexique dynamique. =&gt; projet Perseus.</w:t>
      </w:r>
      <w:r>
        <w:rPr>
          <w:sz w:val="24"/>
        </w:rPr>
      </w:r>
    </w:p>
    <w:p w14:paraId="200F94CB" w14:textId="0E6C03E3">
      <w:pPr>
        <w:pBdr/>
        <w:spacing w:line="360" w:lineRule="auto"/>
        <w:ind/>
        <w:jc w:val="both"/>
        <w:rPr>
          <w:sz w:val="24"/>
        </w:rPr>
      </w:pPr>
      <w:r>
        <w:rPr>
          <w:sz w:val="24"/>
        </w:rPr>
        <w:t xml:space="preserve">p.118 : la consultation « différée » : le cas de l’export</w:t>
      </w:r>
      <w:r>
        <w:rPr>
          <w:sz w:val="24"/>
        </w:rPr>
      </w:r>
    </w:p>
    <w:p w14:paraId="77E8B1E0" w14:textId="77777777">
      <w:pPr>
        <w:pBdr/>
        <w:spacing w:line="360" w:lineRule="auto"/>
        <w:ind/>
        <w:jc w:val="both"/>
        <w:rPr>
          <w:sz w:val="24"/>
        </w:rPr>
      </w:pPr>
      <w:r>
        <w:rPr>
          <w:sz w:val="24"/>
        </w:rPr>
        <w:t xml:space="preserve">les</w:t>
      </w:r>
      <w:r>
        <w:rPr>
          <w:sz w:val="24"/>
        </w:rPr>
        <w:t xml:space="preserve"> bibliothèques numériques offrent à leurs utilisateurs la possibilité d’exporter ou de télécharger les ressourc</w:t>
      </w:r>
      <w:r>
        <w:rPr>
          <w:sz w:val="24"/>
        </w:rPr>
        <w:t xml:space="preserve">es numérisées ou les données qu’elles contiennent. Lorsque cela est possible, elles proposent aux usagers un éventail de formats différents, allant des fichiers de numérisation sous format d’image au code source (XML-TEI, RDF, Bib Tex), en passant par les </w:t>
      </w:r>
      <w:r>
        <w:rPr>
          <w:sz w:val="24"/>
        </w:rPr>
        <w:t xml:space="preserve">ebooks</w:t>
      </w:r>
      <w:r>
        <w:rPr>
          <w:sz w:val="24"/>
        </w:rPr>
        <w:t xml:space="preserve"> (PDF, </w:t>
      </w:r>
      <w:r>
        <w:rPr>
          <w:sz w:val="24"/>
        </w:rPr>
        <w:t xml:space="preserve">epub</w:t>
      </w:r>
      <w:r>
        <w:rPr>
          <w:sz w:val="24"/>
        </w:rPr>
        <w:t xml:space="preserve">). </w:t>
      </w:r>
      <w:r>
        <w:rPr>
          <w:sz w:val="24"/>
        </w:rPr>
      </w:r>
    </w:p>
    <w:p w14:paraId="60DDD0E3" w14:textId="1F1317B2">
      <w:pPr>
        <w:pBdr/>
        <w:spacing w:line="360" w:lineRule="auto"/>
        <w:ind/>
        <w:jc w:val="both"/>
        <w:rPr>
          <w:sz w:val="24"/>
        </w:rPr>
      </w:pPr>
      <w:r>
        <w:rPr>
          <w:sz w:val="24"/>
        </w:rPr>
        <w:t xml:space="preserve">La pluralité des formats offerts permet de couvrir des besoins divers en termes d’analyse des données, et ces besoins peuvent sortir du champ d’action de la bibliothèque numérique.  </w:t>
      </w:r>
      <w:r>
        <w:rPr>
          <w:sz w:val="24"/>
        </w:rPr>
      </w:r>
    </w:p>
    <w:p w14:paraId="6EB01D79" w14:textId="1825D7DC">
      <w:pPr>
        <w:pBdr/>
        <w:spacing w:line="360" w:lineRule="auto"/>
        <w:ind/>
        <w:jc w:val="both"/>
        <w:rPr>
          <w:sz w:val="24"/>
        </w:rPr>
      </w:pPr>
      <w:r>
        <w:rPr>
          <w:sz w:val="24"/>
        </w:rPr>
        <w:t xml:space="preserve">p.119 : </w:t>
      </w:r>
      <w:r>
        <w:rPr>
          <w:sz w:val="24"/>
        </w:rPr>
      </w:r>
    </w:p>
    <w:p w14:paraId="7ED6E08B" w14:textId="61D797F9">
      <w:pPr>
        <w:pBdr/>
        <w:spacing w:line="360" w:lineRule="auto"/>
        <w:ind/>
        <w:jc w:val="both"/>
        <w:rPr>
          <w:sz w:val="24"/>
        </w:rPr>
      </w:pPr>
      <w:r>
        <w:rPr>
          <w:sz w:val="24"/>
        </w:rPr>
        <w:t xml:space="preserve">Ga</w:t>
      </w:r>
      <w:r>
        <w:rPr>
          <w:sz w:val="24"/>
        </w:rPr>
        <w:t xml:space="preserve">rantir l’accès aux ressources est une mission que partagent les bibliothèques analogiques et les bibliothèques numériques. Ces dernières adoptent toutefois des stratégies différentes, qui offrent à l’utilisateur une marge de liberté plus ou moins grande : </w:t>
      </w:r>
      <w:r>
        <w:rPr>
          <w:sz w:val="24"/>
        </w:rPr>
      </w:r>
    </w:p>
    <w:p w14:paraId="66375303" w14:textId="04E9AA80">
      <w:pPr>
        <w:pStyle w:val="683"/>
        <w:numPr>
          <w:ilvl w:val="0"/>
          <w:numId w:val="3"/>
        </w:numPr>
        <w:pBdr/>
        <w:spacing w:after="0" w:line="276" w:lineRule="auto"/>
        <w:ind/>
        <w:rPr>
          <w:rFonts w:asciiTheme="minorHAnsi" w:hAnsiTheme="minorHAnsi" w:cstheme="minorHAnsi"/>
          <w:sz w:val="24"/>
          <w:szCs w:val="24"/>
        </w:rPr>
      </w:pPr>
      <w:r>
        <w:rPr>
          <w:rFonts w:asciiTheme="minorHAnsi" w:hAnsiTheme="minorHAnsi" w:cstheme="minorHAnsi"/>
          <w:sz w:val="24"/>
          <w:szCs w:val="24"/>
        </w:rPr>
        <w:t xml:space="preserve">La consultation simple place la ressource numérique au coeur du service. Elle se caractérise par une intervention réduite de l’utilisateur, qui se voit proposer un accès aux ressources uniforme et imposé par la bibliothèque.</w:t>
      </w:r>
      <w:r>
        <w:rPr>
          <w:rFonts w:asciiTheme="minorHAnsi" w:hAnsiTheme="minorHAnsi" w:cstheme="minorHAnsi"/>
          <w:sz w:val="24"/>
          <w:szCs w:val="24"/>
        </w:rPr>
      </w:r>
    </w:p>
    <w:p w14:paraId="720F4015" w14:textId="7B43AB50">
      <w:pPr>
        <w:pStyle w:val="683"/>
        <w:numPr>
          <w:ilvl w:val="0"/>
          <w:numId w:val="3"/>
        </w:numPr>
        <w:pBdr/>
        <w:spacing w:after="0" w:line="276" w:lineRule="auto"/>
        <w:ind/>
        <w:rPr>
          <w:rFonts w:asciiTheme="minorHAnsi" w:hAnsiTheme="minorHAnsi" w:cstheme="minorHAnsi"/>
          <w:sz w:val="24"/>
          <w:szCs w:val="24"/>
        </w:rPr>
      </w:pPr>
      <w:r>
        <w:rPr>
          <w:rFonts w:asciiTheme="minorHAnsi" w:hAnsiTheme="minorHAnsi" w:cstheme="minorHAnsi"/>
          <w:sz w:val="24"/>
          <w:szCs w:val="24"/>
        </w:rPr>
        <w:t xml:space="preserve">La consultation avancée met l’accent sur l’outillage et offre une prise d’initiative plus importante à l’utilisateur, qui a la possibilité d’intervenir sur les ressources.</w:t>
      </w:r>
      <w:r>
        <w:rPr>
          <w:rFonts w:asciiTheme="minorHAnsi" w:hAnsiTheme="minorHAnsi" w:cstheme="minorHAnsi"/>
          <w:sz w:val="24"/>
          <w:szCs w:val="24"/>
        </w:rPr>
      </w:r>
    </w:p>
    <w:p w14:paraId="139CFCC4" w14:textId="10CD5454">
      <w:pPr>
        <w:pStyle w:val="683"/>
        <w:numPr>
          <w:ilvl w:val="0"/>
          <w:numId w:val="3"/>
        </w:numPr>
        <w:pBdr/>
        <w:spacing w:after="0" w:line="276" w:lineRule="auto"/>
        <w:ind/>
        <w:rPr>
          <w:rFonts w:asciiTheme="minorHAnsi" w:hAnsiTheme="minorHAnsi" w:cstheme="minorHAnsi"/>
          <w:sz w:val="24"/>
          <w:szCs w:val="24"/>
        </w:rPr>
      </w:pPr>
      <w:r>
        <w:rPr>
          <w:rFonts w:asciiTheme="minorHAnsi" w:hAnsiTheme="minorHAnsi" w:cstheme="minorHAnsi"/>
          <w:sz w:val="24"/>
          <w:szCs w:val="24"/>
        </w:rPr>
        <w:t xml:space="preserve"> La consultation-</w:t>
      </w:r>
      <w:r>
        <w:rPr>
          <w:rFonts w:asciiTheme="minorHAnsi" w:hAnsiTheme="minorHAnsi" w:cstheme="minorHAnsi"/>
          <w:sz w:val="24"/>
          <w:szCs w:val="24"/>
        </w:rPr>
        <w:t xml:space="preserve">browsing</w:t>
      </w:r>
      <w:r>
        <w:rPr>
          <w:rFonts w:asciiTheme="minorHAnsi" w:hAnsiTheme="minorHAnsi" w:cstheme="minorHAnsi"/>
          <w:sz w:val="24"/>
          <w:szCs w:val="24"/>
        </w:rPr>
        <w:t xml:space="preserve"> se concentre sur la navigation à l’intérieur des ressources et sur leur interdépendance, afin de permettre à l’utilisateur de créer son propre parcours de lecture.</w:t>
      </w:r>
      <w:r>
        <w:rPr>
          <w:rFonts w:asciiTheme="minorHAnsi" w:hAnsiTheme="minorHAnsi" w:cstheme="minorHAnsi"/>
          <w:sz w:val="24"/>
          <w:szCs w:val="24"/>
        </w:rPr>
      </w:r>
    </w:p>
    <w:p w14:paraId="58374A5D" w14:textId="4E0CB96F">
      <w:pPr>
        <w:pStyle w:val="683"/>
        <w:numPr>
          <w:ilvl w:val="0"/>
          <w:numId w:val="3"/>
        </w:numPr>
        <w:pBdr/>
        <w:spacing w:after="0" w:line="276" w:lineRule="auto"/>
        <w:ind/>
        <w:rPr>
          <w:rFonts w:asciiTheme="minorHAnsi" w:hAnsiTheme="minorHAnsi" w:cstheme="minorHAnsi"/>
          <w:sz w:val="24"/>
          <w:szCs w:val="24"/>
        </w:rPr>
      </w:pPr>
      <w:r>
        <w:rPr>
          <w:rFonts w:asciiTheme="minorHAnsi" w:hAnsiTheme="minorHAnsi" w:cstheme="minorHAnsi"/>
          <w:sz w:val="24"/>
          <w:szCs w:val="24"/>
        </w:rPr>
        <w:t xml:space="preserve">La consultation « encadrée » repose sur les principes d’accompagnement, de valorisation et de contextualisation des ressources, et offre ainsi un parcours de découverte des collections aux utilisateurs.</w:t>
      </w:r>
      <w:r>
        <w:rPr>
          <w:rFonts w:asciiTheme="minorHAnsi" w:hAnsiTheme="minorHAnsi" w:cstheme="minorHAnsi"/>
          <w:sz w:val="24"/>
          <w:szCs w:val="24"/>
        </w:rPr>
      </w:r>
    </w:p>
    <w:p w14:paraId="3627693F" w14:textId="153A0836">
      <w:pPr>
        <w:pStyle w:val="683"/>
        <w:numPr>
          <w:ilvl w:val="0"/>
          <w:numId w:val="3"/>
        </w:numPr>
        <w:pBdr/>
        <w:spacing w:after="0" w:line="276" w:lineRule="auto"/>
        <w:ind/>
        <w:rPr>
          <w:rFonts w:asciiTheme="minorHAnsi" w:hAnsiTheme="minorHAnsi" w:cstheme="minorHAnsi"/>
          <w:sz w:val="24"/>
        </w:rPr>
      </w:pPr>
      <w:r>
        <w:rPr>
          <w:rFonts w:asciiTheme="minorHAnsi" w:hAnsiTheme="minorHAnsi" w:cstheme="minorHAnsi"/>
          <w:sz w:val="24"/>
          <w:szCs w:val="24"/>
        </w:rPr>
        <w:t xml:space="preserve">La consultation « différée » s’appuie sur la réappropriation et la réutilisation des</w:t>
      </w:r>
      <w:r>
        <w:rPr>
          <w:rFonts w:asciiTheme="minorHAnsi" w:hAnsiTheme="minorHAnsi" w:cstheme="minorHAnsi"/>
          <w:sz w:val="24"/>
          <w:szCs w:val="24"/>
        </w:rPr>
        <w:t xml:space="preserve"> </w:t>
      </w:r>
      <w:r>
        <w:rPr>
          <w:rFonts w:asciiTheme="minorHAnsi" w:hAnsiTheme="minorHAnsi" w:cstheme="minorHAnsi"/>
          <w:sz w:val="24"/>
          <w:szCs w:val="24"/>
        </w:rPr>
        <w:t xml:space="preserve">ressources par les utilisateurs hors des murs de la bibliothèque. Ce service offre en cela le</w:t>
      </w:r>
      <w:r>
        <w:rPr>
          <w:rFonts w:asciiTheme="minorHAnsi" w:hAnsiTheme="minorHAnsi" w:cstheme="minorHAnsi"/>
          <w:sz w:val="24"/>
          <w:szCs w:val="24"/>
        </w:rPr>
        <w:t xml:space="preserve"> </w:t>
      </w:r>
      <w:r>
        <w:rPr>
          <w:rFonts w:asciiTheme="minorHAnsi" w:hAnsiTheme="minorHAnsi" w:cstheme="minorHAnsi"/>
          <w:sz w:val="24"/>
          <w:szCs w:val="24"/>
        </w:rPr>
        <w:t xml:space="preserve">plus haut degré de personnalisation et d’interaction aux utilisateurs.</w:t>
      </w:r>
      <w:r>
        <w:rPr>
          <w:rFonts w:asciiTheme="minorHAnsi" w:hAnsiTheme="minorHAnsi" w:cstheme="minorHAnsi"/>
          <w:sz w:val="24"/>
        </w:rPr>
      </w:r>
    </w:p>
    <w:p w14:paraId="6E59B4D0" w14:textId="53801CF2">
      <w:pPr>
        <w:pBdr/>
        <w:spacing w:after="0" w:line="240" w:lineRule="auto"/>
        <w:ind/>
        <w:rPr>
          <w:sz w:val="24"/>
        </w:rPr>
      </w:pPr>
      <w:r>
        <w:rPr>
          <w:sz w:val="24"/>
        </w:rPr>
      </w:r>
      <w:r>
        <w:rPr>
          <w:sz w:val="24"/>
        </w:rPr>
      </w:r>
    </w:p>
    <w:p w14:paraId="74E340C2" w14:textId="0488BE02">
      <w:pPr>
        <w:pBdr/>
        <w:spacing w:after="0" w:line="360" w:lineRule="auto"/>
        <w:ind/>
        <w:jc w:val="both"/>
        <w:rPr>
          <w:sz w:val="24"/>
        </w:rPr>
      </w:pPr>
      <w:r>
        <w:rPr>
          <w:sz w:val="24"/>
        </w:rPr>
        <w:t xml:space="preserve">Les services de recherche :</w:t>
      </w:r>
      <w:r>
        <w:rPr>
          <w:sz w:val="24"/>
        </w:rPr>
      </w:r>
    </w:p>
    <w:p w14:paraId="0CEE017C" w14:textId="7E0213CC">
      <w:pPr>
        <w:pBdr/>
        <w:spacing w:after="0" w:line="360" w:lineRule="auto"/>
        <w:ind/>
        <w:jc w:val="both"/>
        <w:rPr>
          <w:sz w:val="24"/>
        </w:rPr>
      </w:pPr>
      <w:r>
        <w:rPr>
          <w:sz w:val="24"/>
        </w:rPr>
        <w:t xml:space="preserve">Liés à la mission bibliothéc</w:t>
      </w:r>
      <w:r>
        <w:rPr>
          <w:sz w:val="24"/>
        </w:rPr>
        <w:t xml:space="preserve">aire d’accès aux contenus, les services de recherche documentaire permettent aux utilisateurs de sélectionner des contenus à consulter dans le catalogue de la bibliothèque, élément central à partir duquel les utilisateurs peuvent avoir accès aux contenus. </w:t>
      </w:r>
      <w:r>
        <w:rPr>
          <w:sz w:val="24"/>
        </w:rPr>
      </w:r>
    </w:p>
    <w:p w14:paraId="30BE7BC9" w14:textId="77777777">
      <w:pPr>
        <w:pBdr/>
        <w:spacing w:after="0" w:line="360" w:lineRule="auto"/>
        <w:ind/>
        <w:jc w:val="both"/>
        <w:rPr>
          <w:sz w:val="24"/>
        </w:rPr>
      </w:pPr>
      <w:r>
        <w:rPr>
          <w:sz w:val="24"/>
        </w:rPr>
      </w:r>
      <w:r>
        <w:rPr>
          <w:sz w:val="24"/>
        </w:rPr>
      </w:r>
    </w:p>
    <w:p w14:paraId="5E581BE1" w14:textId="1C337AFE">
      <w:pPr>
        <w:pBdr/>
        <w:spacing w:after="0" w:line="360" w:lineRule="auto"/>
        <w:ind/>
        <w:jc w:val="both"/>
        <w:rPr>
          <w:sz w:val="24"/>
        </w:rPr>
      </w:pPr>
      <w:r>
        <w:rPr>
          <w:sz w:val="24"/>
        </w:rPr>
        <w:t xml:space="preserve">p.120 : </w:t>
      </w:r>
      <w:r>
        <w:rPr>
          <w:sz w:val="24"/>
        </w:rPr>
      </w:r>
    </w:p>
    <w:p w14:paraId="27EB4D4C" w14:textId="169F9F78">
      <w:pPr>
        <w:pBdr/>
        <w:spacing w:after="0" w:line="360" w:lineRule="auto"/>
        <w:ind/>
        <w:jc w:val="both"/>
        <w:rPr>
          <w:sz w:val="24"/>
        </w:rPr>
      </w:pPr>
      <w:r>
        <w:rPr>
          <w:sz w:val="24"/>
        </w:rPr>
        <w:t xml:space="preserve">3 formes de recherches possibles : recherche simple, recherche avancée, et le </w:t>
      </w:r>
      <w:r>
        <w:rPr>
          <w:sz w:val="24"/>
        </w:rPr>
        <w:t xml:space="preserve">browsing</w:t>
      </w:r>
      <w:r>
        <w:rPr>
          <w:sz w:val="24"/>
        </w:rPr>
        <w:t xml:space="preserve">.</w:t>
      </w:r>
      <w:r>
        <w:rPr>
          <w:sz w:val="24"/>
        </w:rPr>
      </w:r>
    </w:p>
    <w:p w14:paraId="04B58315" w14:textId="6CADC20F">
      <w:pPr>
        <w:pBdr/>
        <w:spacing w:after="0" w:line="360" w:lineRule="auto"/>
        <w:ind/>
        <w:jc w:val="both"/>
        <w:rPr>
          <w:sz w:val="24"/>
        </w:rPr>
      </w:pPr>
      <w:r>
        <w:rPr>
          <w:sz w:val="24"/>
        </w:rPr>
        <w:t xml:space="preserve">La recherche simple : </w:t>
      </w:r>
      <w:r>
        <w:rPr>
          <w:sz w:val="24"/>
        </w:rPr>
      </w:r>
    </w:p>
    <w:p w14:paraId="60FAAC50" w14:textId="004B162B">
      <w:pPr>
        <w:pBdr/>
        <w:spacing w:after="0" w:line="360" w:lineRule="auto"/>
        <w:ind/>
        <w:jc w:val="both"/>
        <w:rPr>
          <w:sz w:val="24"/>
        </w:rPr>
      </w:pPr>
      <w:r>
        <w:rPr>
          <w:sz w:val="24"/>
        </w:rPr>
        <w:t xml:space="preserve">La recherche simple est une simple fonctionnalité immédiatement visible sur la plupart des bibliothèques numériques. Elle prend la forme d’un long champ de texte libre, plus communément appelé barre de recherche. </w:t>
      </w:r>
      <w:r>
        <w:rPr>
          <w:sz w:val="24"/>
        </w:rPr>
      </w:r>
    </w:p>
    <w:p w14:paraId="5B9E25DE" w14:textId="6DB77F38">
      <w:pPr>
        <w:pBdr/>
        <w:spacing w:after="0" w:line="360" w:lineRule="auto"/>
        <w:ind/>
        <w:jc w:val="both"/>
        <w:rPr>
          <w:sz w:val="24"/>
        </w:rPr>
      </w:pPr>
      <w:r>
        <w:rPr>
          <w:sz w:val="24"/>
        </w:rPr>
        <w:t xml:space="preserve">La forme et la position de la recherche simple semble dépendre du type de bibliothèque numérique. Les bibliothèques numériques de niche, à l’exemple de </w:t>
      </w:r>
      <w:r>
        <w:rPr>
          <w:i/>
          <w:sz w:val="24"/>
        </w:rPr>
        <w:t xml:space="preserve">Neptun</w:t>
      </w:r>
      <w:r>
        <w:rPr>
          <w:i/>
          <w:sz w:val="24"/>
        </w:rPr>
        <w:t xml:space="preserve"> </w:t>
      </w:r>
      <w:r>
        <w:rPr>
          <w:sz w:val="24"/>
        </w:rPr>
        <w:t xml:space="preserve">tendent à adopter une barre de recherche latérale pour mettre en avant leurs collections. </w:t>
      </w:r>
      <w:r>
        <w:rPr>
          <w:sz w:val="24"/>
        </w:rPr>
      </w:r>
    </w:p>
    <w:p w14:paraId="2B12C2C6" w14:textId="49FC9289">
      <w:pPr>
        <w:pBdr/>
        <w:spacing w:after="0" w:line="360" w:lineRule="auto"/>
        <w:ind/>
        <w:jc w:val="both"/>
        <w:rPr>
          <w:sz w:val="24"/>
        </w:rPr>
      </w:pPr>
      <w:r>
        <w:rPr>
          <w:sz w:val="24"/>
        </w:rPr>
        <w:t xml:space="preserve">Les bibliothèques de masse, ainsi que les bibliothèques agrégatives spécialisées, à l’exemple de </w:t>
      </w:r>
      <w:r>
        <w:rPr>
          <w:sz w:val="24"/>
        </w:rPr>
        <w:t xml:space="preserve">Biblissima</w:t>
      </w:r>
      <w:r>
        <w:rPr>
          <w:sz w:val="24"/>
        </w:rPr>
        <w:t xml:space="preserve">, privilégient une barre de recherche centrale et ne proposent pas de collections. Cette différence est </w:t>
      </w:r>
      <w:r>
        <w:rPr>
          <w:sz w:val="24"/>
        </w:rPr>
        <w:t xml:space="preserve">due à la politique scientifique des bibliothèques. Les bibliothèques de niche se caractérisent en effet par le haut degré de spécialisation et par la précision de leurs collections, qu’elles souhaitent mettre en avant. Les bibliothèques agrégatives et les </w:t>
      </w:r>
      <w:r>
        <w:rPr>
          <w:sz w:val="24"/>
        </w:rPr>
        <w:t xml:space="preserve">bibliothèques de masse insistent davantage sur le nombre de leurs contenus et sur leur rôle de portail, en faisant de la recherche simple la porte d’entrée unifiée à des contenus variés.</w:t>
      </w:r>
      <w:r>
        <w:rPr>
          <w:sz w:val="24"/>
        </w:rPr>
      </w:r>
    </w:p>
    <w:p w14:paraId="798E7186" w14:textId="2CFBA369">
      <w:pPr>
        <w:pBdr/>
        <w:spacing w:after="0" w:line="360" w:lineRule="auto"/>
        <w:ind/>
        <w:jc w:val="both"/>
        <w:rPr>
          <w:sz w:val="24"/>
        </w:rPr>
      </w:pPr>
      <w:r>
        <w:rPr>
          <w:sz w:val="24"/>
        </w:rPr>
        <w:t xml:space="preserve">La recherche simple ne suppose pas que l’utilisateur ait une idée précise de ce qu’il ch</w:t>
      </w:r>
      <w:r>
        <w:rPr>
          <w:sz w:val="24"/>
        </w:rPr>
        <w:t xml:space="preserve">erche. Comme le champ de texte est libre, l’utilisateur peut entrer les caractères qu’il souhaite. Pour l’aider, la recherche simple peut s’enrichir d’un ensemble de fonctionnalités : l’auto-complétion, les suggestions de requêtes, l’historique des requête</w:t>
      </w:r>
      <w:r>
        <w:rPr>
          <w:sz w:val="24"/>
        </w:rPr>
        <w:t xml:space="preserve">s précédentes, la traduction de requêtes. Il s’agit de proposer à l’utilisateur des mots-clés garantissant le succès de ses requêtes, ce succès se mesurant au nombre de documents retournés par la recherche et leur pertinence par rapport au mot-clé employé.</w:t>
      </w:r>
      <w:r>
        <w:rPr>
          <w:sz w:val="24"/>
        </w:rPr>
      </w:r>
    </w:p>
    <w:p w14:paraId="4CB8C63D" w14:textId="6799FCDB">
      <w:pPr>
        <w:pBdr/>
        <w:spacing w:after="0" w:line="360" w:lineRule="auto"/>
        <w:ind/>
        <w:jc w:val="both"/>
        <w:rPr>
          <w:sz w:val="24"/>
        </w:rPr>
      </w:pPr>
      <w:r>
        <w:rPr>
          <w:sz w:val="24"/>
        </w:rPr>
      </w:r>
      <w:r>
        <w:rPr>
          <w:sz w:val="24"/>
        </w:rPr>
      </w:r>
    </w:p>
    <w:p w14:paraId="19865094" w14:textId="59F3D60F">
      <w:pPr>
        <w:pBdr/>
        <w:spacing w:after="0" w:line="360" w:lineRule="auto"/>
        <w:ind/>
        <w:jc w:val="both"/>
        <w:rPr>
          <w:sz w:val="24"/>
        </w:rPr>
      </w:pPr>
      <w:r>
        <w:rPr>
          <w:sz w:val="24"/>
        </w:rPr>
        <w:t xml:space="preserve">p.121 : la recherche avancée</w:t>
      </w:r>
      <w:r>
        <w:rPr>
          <w:sz w:val="24"/>
        </w:rPr>
      </w:r>
    </w:p>
    <w:p w14:paraId="7A67D0D7" w14:textId="3A88D74E">
      <w:pPr>
        <w:pBdr/>
        <w:spacing w:after="0" w:line="360" w:lineRule="auto"/>
        <w:ind/>
        <w:jc w:val="both"/>
        <w:rPr>
          <w:sz w:val="24"/>
        </w:rPr>
      </w:pPr>
      <w:r>
        <w:rPr>
          <w:sz w:val="24"/>
        </w:rPr>
        <w:t xml:space="preserve">La</w:t>
      </w:r>
      <w:r>
        <w:rPr>
          <w:sz w:val="24"/>
        </w:rPr>
        <w:t xml:space="preserve"> recherche avancée prend communément la forme d’un lien qui apparaît sous la barre de recherche. Elle consiste en un formulaire à remplir, chaque champ de ce formulaire correspondant aux métadonnées associées aux ressources. </w:t>
      </w:r>
      <w:r>
        <w:rPr>
          <w:sz w:val="24"/>
        </w:rPr>
      </w:r>
    </w:p>
    <w:p w14:paraId="6A4F98B4" w14:textId="4D46CD5D">
      <w:pPr>
        <w:pBdr/>
        <w:spacing w:after="0" w:line="360" w:lineRule="auto"/>
        <w:ind/>
        <w:jc w:val="both"/>
        <w:rPr>
          <w:sz w:val="24"/>
        </w:rPr>
      </w:pPr>
      <w:r>
        <w:rPr>
          <w:sz w:val="24"/>
        </w:rPr>
        <w:t xml:space="preserve">Contrairement à la recherche simple, elle requiert de l’utilisateur qu’il ait une idée bien définie de ce qu’il cherche, ainsi qu’une connaissance précise des </w:t>
      </w:r>
      <w:r>
        <w:rPr>
          <w:sz w:val="24"/>
        </w:rPr>
        <w:t xml:space="preserve">fonds de la bibliothèque numérique. Certains formulaires laissent l’utilisateur remplir par lui-même les champs ; d’autres lui proposent des listes déroulantes, où sont listés tous les items (généralement des autorités-matières) utilisés pour chaque champ.</w:t>
      </w:r>
      <w:r>
        <w:rPr>
          <w:sz w:val="24"/>
        </w:rPr>
      </w:r>
    </w:p>
    <w:p w14:paraId="30414ADE" w14:textId="0A0433DC">
      <w:pPr>
        <w:pBdr/>
        <w:spacing w:after="0" w:line="360" w:lineRule="auto"/>
        <w:ind/>
        <w:jc w:val="both"/>
        <w:rPr>
          <w:sz w:val="24"/>
        </w:rPr>
      </w:pPr>
      <w:r>
        <w:rPr>
          <w:sz w:val="24"/>
        </w:rPr>
        <w:t xml:space="preserve">En fonction du nombre de champs remplis, la requête peut soit retourner trop de résultats, soit les restreindre.</w:t>
      </w:r>
      <w:r>
        <w:rPr>
          <w:sz w:val="24"/>
        </w:rPr>
      </w:r>
    </w:p>
    <w:p w14:paraId="5E462E6D" w14:textId="5D481B80">
      <w:pPr>
        <w:pBdr/>
        <w:spacing w:after="0" w:line="360" w:lineRule="auto"/>
        <w:ind/>
        <w:jc w:val="both"/>
        <w:rPr>
          <w:sz w:val="24"/>
        </w:rPr>
      </w:pPr>
      <w:r>
        <w:rPr>
          <w:sz w:val="24"/>
        </w:rPr>
        <w:t xml:space="preserve">p.122 :</w:t>
      </w:r>
      <w:r>
        <w:rPr>
          <w:sz w:val="24"/>
        </w:rPr>
      </w:r>
    </w:p>
    <w:p w14:paraId="3253E547" w14:textId="7921D4F6">
      <w:pPr>
        <w:pBdr/>
        <w:spacing w:after="0" w:line="360" w:lineRule="auto"/>
        <w:ind/>
        <w:jc w:val="both"/>
        <w:rPr>
          <w:sz w:val="24"/>
        </w:rPr>
      </w:pPr>
      <w:r>
        <w:rPr>
          <w:sz w:val="24"/>
        </w:rPr>
        <w:t xml:space="preserve">La</w:t>
      </w:r>
      <w:r>
        <w:rPr>
          <w:sz w:val="24"/>
        </w:rPr>
        <w:t xml:space="preserve"> liste déroulante peut aider l’utilisateur à remplir tous les champs plus facilement mais la re</w:t>
      </w:r>
      <w:r>
        <w:rPr>
          <w:sz w:val="24"/>
        </w:rPr>
        <w:t xml:space="preserve">cherche est orientée par les concepteurs du projet qui imposent leur vision des collections à leurs utilisateurs, ne lui laissant ni l’opportunité de s’approprier les collections par plusieurs tentatives de requêtes ni de faire des découvertes inattendues.</w:t>
      </w:r>
      <w:r>
        <w:rPr>
          <w:sz w:val="24"/>
        </w:rPr>
      </w:r>
    </w:p>
    <w:p w14:paraId="087AF277" w14:textId="2B2CE0E8">
      <w:pPr>
        <w:pBdr/>
        <w:spacing w:after="0" w:line="360" w:lineRule="auto"/>
        <w:ind/>
        <w:jc w:val="both"/>
        <w:rPr>
          <w:sz w:val="24"/>
        </w:rPr>
      </w:pPr>
      <w:r>
        <w:rPr>
          <w:sz w:val="24"/>
        </w:rPr>
      </w:r>
      <w:r>
        <w:rPr>
          <w:sz w:val="24"/>
        </w:rPr>
      </w:r>
    </w:p>
    <w:p w14:paraId="73BCEC49" w14:textId="38AFF104">
      <w:pPr>
        <w:pBdr/>
        <w:spacing w:after="0" w:line="360" w:lineRule="auto"/>
        <w:ind/>
        <w:jc w:val="both"/>
        <w:rPr>
          <w:sz w:val="24"/>
        </w:rPr>
      </w:pPr>
      <w:r>
        <w:rPr>
          <w:sz w:val="24"/>
        </w:rPr>
        <w:t xml:space="preserve">Le </w:t>
      </w:r>
      <w:r>
        <w:rPr>
          <w:sz w:val="24"/>
        </w:rPr>
        <w:t xml:space="preserve">browsing</w:t>
      </w:r>
      <w:r>
        <w:rPr>
          <w:sz w:val="24"/>
        </w:rPr>
        <w:t xml:space="preserve"> :</w:t>
      </w:r>
      <w:r>
        <w:rPr>
          <w:sz w:val="24"/>
        </w:rPr>
      </w:r>
    </w:p>
    <w:p w14:paraId="50BDE6E4" w14:textId="2CE17EF0">
      <w:pPr>
        <w:pBdr/>
        <w:spacing w:after="0" w:line="360" w:lineRule="auto"/>
        <w:ind/>
        <w:jc w:val="both"/>
        <w:rPr>
          <w:sz w:val="24"/>
        </w:rPr>
      </w:pPr>
      <w:r>
        <w:rPr>
          <w:sz w:val="24"/>
        </w:rPr>
        <w:t xml:space="preserve">Le </w:t>
      </w:r>
      <w:r>
        <w:rPr>
          <w:sz w:val="24"/>
        </w:rPr>
        <w:t xml:space="preserve">browsing</w:t>
      </w:r>
      <w:r>
        <w:rPr>
          <w:sz w:val="24"/>
        </w:rPr>
        <w:t xml:space="preserve"> désigne l’action de parcourir librement et au hasard les contenus d’une bibliothèque. Il est considéré</w:t>
      </w:r>
      <w:r>
        <w:rPr>
          <w:sz w:val="24"/>
        </w:rPr>
        <w:t xml:space="preserve"> comme le garant de la sérendipité. L’utilisateur navigue au milieu des collections, en empruntant des chemins qui ne lui ont pas été indiqués par la bibliothèque. Les collections peuvent être toutefois filtrées, grâce à des filtres, qui correspondent aux </w:t>
      </w:r>
      <w:r>
        <w:rPr>
          <w:sz w:val="24"/>
        </w:rPr>
        <w:t xml:space="preserve">métadonnées associées aux contenus (auteur, langue, pays, date, etc.). L’utilisateur a la possibilité de</w:t>
      </w:r>
      <w:r>
        <w:rPr>
          <w:sz w:val="24"/>
        </w:rPr>
        <w:t xml:space="preserve"> trier progressivement les contenus, en fonction de ses objectifs et de ses intérêts, à l’aide de différents filtres. Il exerce un contrôle sur sa recherche dans la mesure où il en choisit chaque étape et où il voit simultanément le résultat de ses choix. </w:t>
      </w:r>
      <w:r>
        <w:rPr>
          <w:sz w:val="24"/>
        </w:rPr>
      </w:r>
    </w:p>
    <w:p w14:paraId="61CF98F9" w14:textId="478A41CB">
      <w:pPr>
        <w:pBdr/>
        <w:spacing w:after="0" w:line="360" w:lineRule="auto"/>
        <w:ind/>
        <w:jc w:val="both"/>
        <w:rPr>
          <w:sz w:val="24"/>
        </w:rPr>
      </w:pPr>
      <w:r>
        <w:rPr>
          <w:sz w:val="24"/>
        </w:rPr>
        <w:t xml:space="preserve">Les facettes donnent en effet une image de la manière dont les responsables de la bibliothèque numérique présentent et se représentent les ressources qu’ils proposent.</w:t>
      </w:r>
      <w:r>
        <w:rPr>
          <w:sz w:val="24"/>
        </w:rPr>
      </w:r>
    </w:p>
    <w:p w14:paraId="1E0AE163" w14:textId="5240AD3F">
      <w:pPr>
        <w:pBdr/>
        <w:spacing w:after="0" w:line="360" w:lineRule="auto"/>
        <w:ind/>
        <w:jc w:val="both"/>
        <w:rPr>
          <w:sz w:val="24"/>
        </w:rPr>
      </w:pPr>
      <w:r>
        <w:rPr>
          <w:sz w:val="24"/>
        </w:rPr>
        <w:t xml:space="preserve">En choisissant lui-même les facettes, l’utilisateur crée un parcours de recherche personnalisé, qui lui permet d’investir complètement l’interface et l’encourage à poursuivre sa navigation.</w:t>
      </w:r>
      <w:r>
        <w:rPr>
          <w:sz w:val="24"/>
        </w:rPr>
      </w:r>
    </w:p>
    <w:p w14:paraId="16431FFB" w14:textId="3ECC9418">
      <w:pPr>
        <w:pBdr/>
        <w:spacing w:after="0" w:line="360" w:lineRule="auto"/>
        <w:ind/>
        <w:jc w:val="both"/>
        <w:rPr>
          <w:sz w:val="24"/>
        </w:rPr>
      </w:pPr>
      <w:r>
        <w:rPr>
          <w:sz w:val="24"/>
        </w:rPr>
      </w:r>
      <w:r>
        <w:rPr>
          <w:sz w:val="24"/>
        </w:rPr>
      </w:r>
    </w:p>
    <w:p w14:paraId="495A3F19" w14:textId="345CE36B">
      <w:pPr>
        <w:pBdr/>
        <w:spacing w:after="0" w:line="360" w:lineRule="auto"/>
        <w:ind/>
        <w:jc w:val="both"/>
        <w:rPr>
          <w:sz w:val="24"/>
        </w:rPr>
      </w:pPr>
      <w:r>
        <w:rPr>
          <w:sz w:val="24"/>
        </w:rPr>
        <w:t xml:space="preserve">p.123 : les services de conseil, d’aide documentaire et de dynamisation de la recherche scientifique</w:t>
      </w:r>
      <w:r>
        <w:rPr>
          <w:sz w:val="24"/>
        </w:rPr>
      </w:r>
    </w:p>
    <w:p w14:paraId="6A8D50A4" w14:textId="654E4E7D">
      <w:pPr>
        <w:pBdr/>
        <w:spacing w:after="0" w:line="360" w:lineRule="auto"/>
        <w:ind/>
        <w:jc w:val="both"/>
        <w:rPr>
          <w:sz w:val="24"/>
        </w:rPr>
      </w:pPr>
      <w:r>
        <w:rPr>
          <w:sz w:val="24"/>
        </w:rPr>
        <w:t xml:space="preserve">ces</w:t>
      </w:r>
      <w:r>
        <w:rPr>
          <w:sz w:val="24"/>
        </w:rPr>
        <w:t xml:space="preserve"> services sont anciens et ont toujours constitué le cœur de métier des bibliothécaires. Cependant l’arrivée du numérique et face à la surabondance des ressources di</w:t>
      </w:r>
      <w:r>
        <w:rPr>
          <w:sz w:val="24"/>
        </w:rPr>
        <w:t xml:space="preserve">sponibles, ils occupent une place de plus en plus importante dans l’offre des bibliothèques numériques et peuvent revêtir des formes multiples : répertoires de signets, tutoriels, guides de bonnes pratiques, modes d’emploi, services de questions/réponses, </w:t>
      </w:r>
      <w:r>
        <w:rPr>
          <w:i/>
          <w:sz w:val="24"/>
        </w:rPr>
        <w:t xml:space="preserve">etc.</w:t>
      </w:r>
      <w:r>
        <w:rPr>
          <w:sz w:val="24"/>
        </w:rPr>
        <w:t xml:space="preserve"> </w:t>
      </w:r>
      <w:r>
        <w:rPr>
          <w:sz w:val="24"/>
        </w:rPr>
      </w:r>
    </w:p>
    <w:p w14:paraId="0825EED9" w14:textId="66BD7496">
      <w:pPr>
        <w:pBdr/>
        <w:spacing w:after="0" w:line="360" w:lineRule="auto"/>
        <w:ind/>
        <w:jc w:val="both"/>
        <w:rPr>
          <w:sz w:val="24"/>
        </w:rPr>
      </w:pPr>
      <w:r>
        <w:rPr>
          <w:sz w:val="24"/>
        </w:rPr>
        <w:t xml:space="preserve">à</w:t>
      </w:r>
      <w:r>
        <w:rPr>
          <w:sz w:val="24"/>
        </w:rPr>
        <w:t xml:space="preserve"> terme l’objectif de ce </w:t>
      </w:r>
      <w:r>
        <w:rPr>
          <w:sz w:val="24"/>
        </w:rPr>
        <w:t xml:space="preserve">sservices</w:t>
      </w:r>
      <w:r>
        <w:rPr>
          <w:sz w:val="24"/>
        </w:rPr>
        <w:t xml:space="preserve"> est de permettre aux utilisateurs de mener des recherches autonomes. La préconisation de ressou</w:t>
      </w:r>
      <w:r>
        <w:rPr>
          <w:sz w:val="24"/>
        </w:rPr>
        <w:t xml:space="preserve">rces n’est toutefois pas la seule manière qu’ont les bibliothèques numériques d’aider leurs utilisateurs dans leurs recherches. Il est en effet possible de distinguer deux autres formes d’accompagnement : la formation et la constitution de boîtes à outils.</w:t>
      </w:r>
      <w:r>
        <w:rPr>
          <w:sz w:val="24"/>
        </w:rPr>
      </w:r>
    </w:p>
    <w:p w14:paraId="0D2E90D6" w14:textId="5CCA042B">
      <w:pPr>
        <w:pBdr/>
        <w:spacing w:after="0" w:line="360" w:lineRule="auto"/>
        <w:ind/>
        <w:jc w:val="both"/>
        <w:rPr>
          <w:sz w:val="24"/>
        </w:rPr>
      </w:pPr>
      <w:r>
        <w:rPr>
          <w:sz w:val="24"/>
        </w:rPr>
        <w:t xml:space="preserve">Dans sa version numérique, ce service prend généralement la forme de l’a</w:t>
      </w:r>
      <w:r>
        <w:rPr>
          <w:sz w:val="24"/>
        </w:rPr>
        <w:t xml:space="preserve">utoformation, du tutoriel ou du mode d’emploi. A la différence des formations organisées par les bibliothèques analogiques, celles des bibliothèques numériques ne sont plus uniquement orientées vers le soutien scolaire, mais vers des usages professionnels.</w:t>
      </w:r>
      <w:r>
        <w:rPr>
          <w:sz w:val="24"/>
        </w:rPr>
      </w:r>
    </w:p>
    <w:p w14:paraId="4D0ED3C4" w14:textId="0E2CDB6A">
      <w:pPr>
        <w:pBdr/>
        <w:spacing w:after="0" w:line="360" w:lineRule="auto"/>
        <w:ind/>
        <w:jc w:val="both"/>
        <w:rPr>
          <w:sz w:val="24"/>
        </w:rPr>
      </w:pPr>
      <w:r>
        <w:rPr>
          <w:sz w:val="24"/>
        </w:rPr>
        <w:t xml:space="preserve">A l’offre de for</w:t>
      </w:r>
      <w:r>
        <w:rPr>
          <w:sz w:val="24"/>
        </w:rPr>
        <w:t xml:space="preserve">mation s’ajoute une deuxième forme de service d’aide à la recherche scientifique : la constitution de boîtes à outils. De plus en plus de bibliothèques numériques proposent des éventails d’outils qui permettent aux utilisateurs d’interagir avec les ressour</w:t>
      </w:r>
      <w:r>
        <w:rPr>
          <w:sz w:val="24"/>
        </w:rPr>
        <w:t xml:space="preserve">ces. Ces outils s’adressent en priorité à un public spécialisé, mais leur ergonomie et leur simplicité d’utilisation leur permettent d’être utilisés par quiconque a un intérêt pour les ressources diffusées sur l’interface et pour les technologies employées</w:t>
      </w:r>
      <w:r>
        <w:rPr>
          <w:sz w:val="24"/>
        </w:rPr>
      </w:r>
    </w:p>
    <w:p w14:paraId="69EA2F8C" w14:textId="19ACB0E4">
      <w:pPr>
        <w:pBdr/>
        <w:spacing w:after="0" w:line="360" w:lineRule="auto"/>
        <w:ind/>
        <w:jc w:val="both"/>
        <w:rPr>
          <w:sz w:val="24"/>
        </w:rPr>
      </w:pPr>
      <w:r>
        <w:rPr>
          <w:sz w:val="24"/>
        </w:rPr>
        <w:t xml:space="preserve">Ex : Baobab, boîte à outils de </w:t>
      </w:r>
      <w:r>
        <w:rPr>
          <w:sz w:val="24"/>
        </w:rPr>
        <w:t xml:space="preserve">Biblissima</w:t>
      </w:r>
      <w:r>
        <w:rPr>
          <w:sz w:val="24"/>
        </w:rPr>
        <w:t xml:space="preserve"> proposant un ensemble d’outils à destination des chercheurs : dictionnaires, lemmatisation, traduction, catalogage, transcription, édition XML, etc.</w:t>
      </w:r>
      <w:r>
        <w:rPr>
          <w:sz w:val="24"/>
        </w:rPr>
      </w:r>
    </w:p>
    <w:p w14:paraId="110AD580" w14:textId="7C9D316A">
      <w:pPr>
        <w:pBdr/>
        <w:spacing w:after="0" w:line="360" w:lineRule="auto"/>
        <w:ind/>
        <w:jc w:val="both"/>
        <w:rPr>
          <w:sz w:val="24"/>
        </w:rPr>
      </w:pPr>
      <w:r>
        <w:rPr>
          <w:sz w:val="24"/>
        </w:rPr>
        <w:t xml:space="preserve">Objectif de leur outil : accessible à un public très divers : professionnels des archives et des bibliothèques, professeurs et étudiants, amateurs éclairés…</w:t>
      </w:r>
      <w:r>
        <w:rPr>
          <w:sz w:val="24"/>
        </w:rPr>
      </w:r>
    </w:p>
    <w:p w14:paraId="357DB122" w14:textId="77777777">
      <w:pPr>
        <w:pBdr/>
        <w:spacing w:after="0" w:line="360" w:lineRule="auto"/>
        <w:ind/>
        <w:jc w:val="both"/>
        <w:rPr>
          <w:sz w:val="24"/>
        </w:rPr>
      </w:pPr>
      <w:r>
        <w:rPr>
          <w:sz w:val="24"/>
        </w:rPr>
      </w:r>
      <w:r>
        <w:rPr>
          <w:sz w:val="24"/>
        </w:rPr>
      </w:r>
    </w:p>
    <w:p w14:paraId="5979736D" w14:textId="611CB7C8">
      <w:pPr>
        <w:pBdr/>
        <w:spacing w:after="0" w:line="360" w:lineRule="auto"/>
        <w:ind/>
        <w:jc w:val="both"/>
        <w:rPr>
          <w:sz w:val="24"/>
        </w:rPr>
      </w:pPr>
      <w:r>
        <w:rPr>
          <w:sz w:val="24"/>
        </w:rPr>
        <w:t xml:space="preserve">p.125 : Les services de diffusion de l’information et des contenus : bibliothèque numérique, web 2.0 et fonctions sociales </w:t>
      </w:r>
      <w:r>
        <w:rPr>
          <w:sz w:val="24"/>
        </w:rPr>
      </w:r>
    </w:p>
    <w:p w14:paraId="25C34DF2" w14:textId="52AC4E0B">
      <w:pPr>
        <w:pBdr/>
        <w:spacing w:after="0" w:line="360" w:lineRule="auto"/>
        <w:ind/>
        <w:jc w:val="both"/>
        <w:rPr>
          <w:sz w:val="24"/>
        </w:rPr>
      </w:pPr>
      <w:r>
        <w:rPr>
          <w:sz w:val="24"/>
        </w:rPr>
        <w:t xml:space="preserve">Les blogs :</w:t>
      </w:r>
      <w:r>
        <w:rPr>
          <w:sz w:val="24"/>
        </w:rPr>
      </w:r>
    </w:p>
    <w:p w14:paraId="373ADDB4" w14:textId="2408BBDF">
      <w:pPr>
        <w:pBdr/>
        <w:spacing w:after="0" w:line="360" w:lineRule="auto"/>
        <w:ind/>
        <w:jc w:val="both"/>
        <w:rPr>
          <w:sz w:val="24"/>
        </w:rPr>
      </w:pPr>
      <w:r>
        <w:rPr>
          <w:sz w:val="24"/>
        </w:rPr>
        <w:t xml:space="preserve">Service emblématique du web 2.0, le blog est un « site web, composé d’articles, automatiquement classés par date et par catégories ». </w:t>
      </w:r>
      <w:r>
        <w:rPr>
          <w:sz w:val="24"/>
        </w:rPr>
      </w:r>
    </w:p>
    <w:p w14:paraId="7E1C2529" w14:textId="29B19B02">
      <w:pPr>
        <w:pBdr/>
        <w:spacing w:after="0" w:line="360" w:lineRule="auto"/>
        <w:ind/>
        <w:jc w:val="both"/>
        <w:rPr>
          <w:sz w:val="24"/>
        </w:rPr>
      </w:pPr>
      <w:r>
        <w:rPr>
          <w:sz w:val="24"/>
        </w:rPr>
        <w:t xml:space="preserve">Le blog s’apparente en effet à un système documentaire, avec out ce que cela implique en termes d’indexation ou d’archivage.</w:t>
      </w:r>
      <w:r>
        <w:rPr>
          <w:sz w:val="24"/>
        </w:rPr>
      </w:r>
    </w:p>
    <w:p w14:paraId="1D9467A2" w14:textId="06851639">
      <w:pPr>
        <w:pBdr/>
        <w:spacing w:after="0" w:line="360" w:lineRule="auto"/>
        <w:ind/>
        <w:jc w:val="both"/>
        <w:rPr>
          <w:sz w:val="24"/>
        </w:rPr>
      </w:pPr>
      <w:r>
        <w:rPr>
          <w:sz w:val="24"/>
        </w:rPr>
        <w:t xml:space="preserve">p.126 :</w:t>
      </w:r>
      <w:r>
        <w:rPr>
          <w:sz w:val="24"/>
        </w:rPr>
      </w:r>
    </w:p>
    <w:p w14:paraId="3AB2440D" w14:textId="5AECF5AD">
      <w:pPr>
        <w:pBdr/>
        <w:spacing w:after="0" w:line="360" w:lineRule="auto"/>
        <w:ind/>
        <w:jc w:val="both"/>
        <w:rPr>
          <w:sz w:val="24"/>
        </w:rPr>
      </w:pPr>
      <w:r>
        <w:rPr>
          <w:sz w:val="24"/>
        </w:rPr>
        <w:t xml:space="preserve">les</w:t>
      </w:r>
      <w:r>
        <w:rPr>
          <w:sz w:val="24"/>
        </w:rPr>
        <w:t xml:space="preserve"> blogs sont également des lieux de réflexion et de recherche, reliés aux ressources exposées par la bibliothèque.</w:t>
      </w:r>
      <w:r>
        <w:rPr>
          <w:sz w:val="24"/>
        </w:rPr>
      </w:r>
    </w:p>
    <w:p w14:paraId="4F99D3F9" w14:textId="4EFE65B1">
      <w:pPr>
        <w:pBdr/>
        <w:spacing w:after="0" w:line="360" w:lineRule="auto"/>
        <w:ind/>
        <w:jc w:val="both"/>
        <w:rPr>
          <w:sz w:val="24"/>
        </w:rPr>
      </w:pPr>
      <w:r>
        <w:rPr>
          <w:sz w:val="24"/>
        </w:rPr>
        <w:t xml:space="preserve">Le blog apparaît comme un lieu de rencontres entre bibliothécaires, spécialistes et grand public. D’une m</w:t>
      </w:r>
      <w:r>
        <w:rPr>
          <w:sz w:val="24"/>
        </w:rPr>
        <w:t xml:space="preserve">anière générale, il recentre la mission de diffusion de l’information autour de la notion de partage. La bibliothèque numérique devient un espace de discussion et d’échange entre les bibliothécaires et les utilisateurs, et devient créatrice de lien social.</w:t>
      </w:r>
      <w:r>
        <w:rPr>
          <w:sz w:val="24"/>
        </w:rPr>
      </w:r>
    </w:p>
    <w:p w14:paraId="1090041B" w14:textId="47D0D807">
      <w:pPr>
        <w:pBdr/>
        <w:spacing w:after="0" w:line="360" w:lineRule="auto"/>
        <w:ind/>
        <w:jc w:val="both"/>
        <w:rPr>
          <w:sz w:val="24"/>
        </w:rPr>
      </w:pPr>
      <w:r>
        <w:rPr>
          <w:sz w:val="24"/>
        </w:rPr>
        <w:t xml:space="preserve">Les réseaux sociaux :</w:t>
      </w:r>
      <w:r>
        <w:rPr>
          <w:sz w:val="24"/>
        </w:rPr>
      </w:r>
    </w:p>
    <w:p w14:paraId="31FC649A" w14:textId="79E395E9">
      <w:pPr>
        <w:pBdr/>
        <w:spacing w:after="0" w:line="360" w:lineRule="auto"/>
        <w:ind/>
        <w:jc w:val="both"/>
        <w:rPr>
          <w:sz w:val="24"/>
        </w:rPr>
      </w:pPr>
      <w:r>
        <w:rPr>
          <w:sz w:val="24"/>
        </w:rPr>
        <w:t xml:space="preserve">Pour renforcer leurs liens avec leurs usagers, les bibliothèques numériques n’hésitent pas à s’exporter sur les réseaux sociaux, principalement sur </w:t>
      </w:r>
      <w:r>
        <w:rPr>
          <w:i/>
          <w:sz w:val="24"/>
        </w:rPr>
        <w:t xml:space="preserve">Facebook</w:t>
      </w:r>
      <w:r>
        <w:rPr>
          <w:sz w:val="24"/>
        </w:rPr>
        <w:t xml:space="preserve"> et </w:t>
      </w:r>
      <w:r>
        <w:rPr>
          <w:i/>
          <w:sz w:val="24"/>
        </w:rPr>
        <w:t xml:space="preserve">Twitter</w:t>
      </w:r>
      <w:r>
        <w:rPr>
          <w:sz w:val="24"/>
        </w:rPr>
        <w:t xml:space="preserve">. Ces réseaux permettent à la bibliothèque de se faire connaître et de diffuser des informations relatives à la vie de l’institution ou du projet d’une manière plus instantanée que sur un blog.</w:t>
      </w:r>
      <w:r>
        <w:rPr>
          <w:sz w:val="24"/>
        </w:rPr>
      </w:r>
    </w:p>
    <w:p w14:paraId="2AFAF2F9" w14:textId="4EDA8FCA">
      <w:pPr>
        <w:pBdr/>
        <w:spacing w:after="0" w:line="360" w:lineRule="auto"/>
        <w:ind/>
        <w:jc w:val="both"/>
        <w:rPr>
          <w:sz w:val="24"/>
        </w:rPr>
      </w:pPr>
      <w:r>
        <w:rPr>
          <w:sz w:val="24"/>
        </w:rPr>
        <w:t xml:space="preserve">Pour dépasser le stade de la communication institutionnelle</w:t>
      </w:r>
      <w:r>
        <w:rPr>
          <w:sz w:val="24"/>
        </w:rPr>
        <w:t xml:space="preserve">, les bibliothèques numériques doivent capturer l’essence même des réseaux sociaux dans la construction de leurs services, c’est-à-dire accentuer l’interactivité avec leurs utilisateurs et créer de véritables communautés d’intérêt autour de leurs contenus.</w:t>
      </w:r>
      <w:r>
        <w:rPr>
          <w:sz w:val="24"/>
        </w:rPr>
      </w:r>
    </w:p>
    <w:p w14:paraId="31CB0543" w14:textId="66D77405">
      <w:pPr>
        <w:pBdr/>
        <w:spacing w:after="0" w:line="360" w:lineRule="auto"/>
        <w:ind/>
        <w:jc w:val="both"/>
        <w:rPr>
          <w:sz w:val="24"/>
        </w:rPr>
      </w:pPr>
      <w:r>
        <w:rPr>
          <w:sz w:val="24"/>
        </w:rPr>
        <w:t xml:space="preserve">Elles peuvent ainsi s’appuyer sur ces technologies afin de disséminer leurs collections, qui « deviennent accessibles dans l’environnement même où évolue l’usager ».</w:t>
      </w:r>
      <w:r>
        <w:rPr>
          <w:sz w:val="24"/>
        </w:rPr>
      </w:r>
    </w:p>
    <w:p w14:paraId="728ABF87" w14:textId="14090274">
      <w:pPr>
        <w:pBdr/>
        <w:spacing w:after="0" w:line="360" w:lineRule="auto"/>
        <w:ind/>
        <w:jc w:val="both"/>
        <w:rPr>
          <w:sz w:val="24"/>
        </w:rPr>
      </w:pPr>
      <w:r>
        <w:rPr>
          <w:sz w:val="24"/>
        </w:rPr>
        <w:t xml:space="preserve">p.127 : </w:t>
      </w:r>
      <w:r>
        <w:rPr>
          <w:sz w:val="24"/>
        </w:rPr>
      </w:r>
    </w:p>
    <w:p w14:paraId="38AFC713" w14:textId="54613106">
      <w:pPr>
        <w:pBdr/>
        <w:spacing w:after="0" w:line="360" w:lineRule="auto"/>
        <w:ind/>
        <w:jc w:val="both"/>
        <w:rPr>
          <w:sz w:val="24"/>
        </w:rPr>
      </w:pPr>
      <w:r>
        <w:rPr>
          <w:sz w:val="24"/>
        </w:rPr>
        <w:t xml:space="preserve">De plus en plus de bibliothèques numériques proposent aux utilisateurs d’interagir avec leurs ressources et de se les réapproprier via l</w:t>
      </w:r>
      <w:r>
        <w:rPr>
          <w:sz w:val="24"/>
        </w:rPr>
        <w:t xml:space="preserve">es réseaux sociaux. Il est désormais commun de voir, lors de la consultation d’un document, des icônes de partage, qui permettent de le diffuser sur son réseau social, la bibliothèque numérique respectant ainsi le principe de subjectivité propre à ce type </w:t>
      </w:r>
      <w:r>
        <w:rPr>
          <w:sz w:val="24"/>
        </w:rPr>
        <w:t xml:space="preserve">de plateforme. Pour encourager le partage et renforcer leurs liens avec leur public, certaines bibliothèques numériques, à l’exemple </w:t>
      </w:r>
      <w:r>
        <w:rPr>
          <w:i/>
          <w:sz w:val="24"/>
        </w:rPr>
        <w:t xml:space="preserve">d’</w:t>
      </w:r>
      <w:r>
        <w:rPr>
          <w:i/>
          <w:sz w:val="24"/>
        </w:rPr>
        <w:t xml:space="preserve">Europeana</w:t>
      </w:r>
      <w:r>
        <w:rPr>
          <w:sz w:val="24"/>
        </w:rPr>
        <w:t xml:space="preserve">, organisent des événements sur les réseaux sociaux. </w:t>
      </w:r>
      <w:r>
        <w:rPr>
          <w:sz w:val="24"/>
        </w:rPr>
      </w:r>
    </w:p>
    <w:p w14:paraId="2FA2A73F" w14:textId="15CCE5EE">
      <w:pPr>
        <w:pBdr/>
        <w:spacing w:after="0" w:line="360" w:lineRule="auto"/>
        <w:ind/>
        <w:jc w:val="both"/>
        <w:rPr>
          <w:sz w:val="24"/>
        </w:rPr>
      </w:pPr>
      <w:r>
        <w:rPr>
          <w:sz w:val="24"/>
        </w:rPr>
      </w:r>
      <w:r>
        <w:rPr>
          <w:sz w:val="24"/>
        </w:rPr>
      </w:r>
    </w:p>
    <w:p w14:paraId="709DA7E3" w14:textId="49979B53">
      <w:pPr>
        <w:pBdr/>
        <w:spacing w:after="0" w:line="360" w:lineRule="auto"/>
        <w:ind/>
        <w:jc w:val="both"/>
        <w:rPr>
          <w:sz w:val="24"/>
        </w:rPr>
      </w:pPr>
      <w:r>
        <w:rPr>
          <w:sz w:val="24"/>
        </w:rPr>
        <w:t xml:space="preserve">La gestion du flux documentaire : les flux RSS et le social </w:t>
      </w:r>
      <w:r>
        <w:rPr>
          <w:sz w:val="24"/>
        </w:rPr>
        <w:t xml:space="preserve">bookmarking</w:t>
      </w:r>
      <w:r>
        <w:rPr>
          <w:sz w:val="24"/>
        </w:rPr>
      </w:r>
    </w:p>
    <w:p w14:paraId="582E9CA9" w14:textId="287932E8">
      <w:pPr>
        <w:pBdr/>
        <w:spacing w:after="0" w:line="360" w:lineRule="auto"/>
        <w:ind/>
        <w:jc w:val="both"/>
        <w:rPr>
          <w:sz w:val="24"/>
        </w:rPr>
      </w:pPr>
      <w:r>
        <w:rPr>
          <w:sz w:val="24"/>
        </w:rPr>
        <w:t xml:space="preserve">p.128 : </w:t>
      </w:r>
      <w:r>
        <w:rPr>
          <w:sz w:val="24"/>
        </w:rPr>
      </w:r>
    </w:p>
    <w:p w14:paraId="4CA2B922" w14:textId="61502D7F">
      <w:pPr>
        <w:pBdr/>
        <w:spacing w:after="0" w:line="360" w:lineRule="auto"/>
        <w:ind/>
        <w:jc w:val="both"/>
        <w:rPr>
          <w:sz w:val="24"/>
        </w:rPr>
      </w:pPr>
      <w:r>
        <w:rPr>
          <w:sz w:val="24"/>
        </w:rPr>
        <w:t xml:space="preserve">la</w:t>
      </w:r>
      <w:r>
        <w:rPr>
          <w:sz w:val="24"/>
        </w:rPr>
        <w:t xml:space="preserve"> génération de fils RSS est l’une des méthodes les plus répandues. Il existe d’innombrables possibilités pour les utilisateurs de réutiliser les contenus des bibliothèques numériques, en s’appuyant sur les outils du Web 2.0.</w:t>
      </w:r>
      <w:r>
        <w:rPr>
          <w:sz w:val="24"/>
        </w:rPr>
      </w:r>
    </w:p>
    <w:p w14:paraId="5BEE4B75" w14:textId="33AAFE78">
      <w:pPr>
        <w:pBdr/>
        <w:spacing w:after="0" w:line="360" w:lineRule="auto"/>
        <w:ind/>
        <w:jc w:val="both"/>
        <w:rPr>
          <w:sz w:val="24"/>
        </w:rPr>
      </w:pPr>
      <w:r>
        <w:rPr>
          <w:sz w:val="24"/>
        </w:rPr>
        <w:t xml:space="preserve">parmi</w:t>
      </w:r>
      <w:r>
        <w:rPr>
          <w:sz w:val="24"/>
        </w:rPr>
        <w:t xml:space="preserve"> les nombreuses plateformes de </w:t>
      </w:r>
      <w:r>
        <w:rPr>
          <w:i/>
          <w:sz w:val="24"/>
        </w:rPr>
        <w:t xml:space="preserve">bookmarking</w:t>
      </w:r>
      <w:r>
        <w:rPr>
          <w:i/>
          <w:sz w:val="24"/>
        </w:rPr>
        <w:t xml:space="preserve"> </w:t>
      </w:r>
      <w:r>
        <w:rPr>
          <w:sz w:val="24"/>
        </w:rPr>
        <w:t xml:space="preserve">disponibles aujourd’hui, une se distingue : </w:t>
      </w:r>
      <w:r>
        <w:rPr>
          <w:i/>
          <w:sz w:val="24"/>
        </w:rPr>
        <w:t xml:space="preserve">Zotero</w:t>
      </w:r>
      <w:r>
        <w:rPr>
          <w:i/>
          <w:sz w:val="24"/>
        </w:rPr>
        <w:t xml:space="preserve">.</w:t>
      </w:r>
      <w:r>
        <w:rPr>
          <w:sz w:val="24"/>
        </w:rPr>
        <w:t xml:space="preserve"> C’est un gestionnaire de références bibliographiques, qui permet aux utilisateurs de constituer et de gérer une bibliographie, et aussi d’élaborer des bibliographies collectives, grâce à la création de groupe. </w:t>
      </w:r>
      <w:r>
        <w:rPr>
          <w:sz w:val="24"/>
        </w:rPr>
      </w:r>
    </w:p>
    <w:p w14:paraId="41F1052E" w14:textId="5234B665">
      <w:pPr>
        <w:pBdr/>
        <w:spacing w:after="0" w:line="360" w:lineRule="auto"/>
        <w:ind/>
        <w:jc w:val="both"/>
        <w:rPr>
          <w:sz w:val="24"/>
        </w:rPr>
      </w:pPr>
      <w:r>
        <w:rPr>
          <w:i/>
          <w:sz w:val="24"/>
        </w:rPr>
        <w:t xml:space="preserve">Zotero</w:t>
      </w:r>
      <w:r>
        <w:rPr>
          <w:sz w:val="24"/>
        </w:rPr>
        <w:t xml:space="preserve"> repose ainsi sur les principes du Web 2.0 : immédiateté avec les extensions ajoutées aux navigateurs (</w:t>
      </w:r>
      <w:r>
        <w:rPr>
          <w:i/>
          <w:sz w:val="24"/>
        </w:rPr>
        <w:t xml:space="preserve">web clipper</w:t>
      </w:r>
      <w:r>
        <w:rPr>
          <w:sz w:val="24"/>
        </w:rPr>
        <w:t xml:space="preserve">) ; personnalisation à </w:t>
      </w:r>
      <w:r>
        <w:rPr>
          <w:sz w:val="24"/>
        </w:rPr>
        <w:t xml:space="preserve">travers les tags et les notes ; collaboration grâce aux fonctions de partage.</w:t>
      </w:r>
      <w:r>
        <w:rPr>
          <w:sz w:val="24"/>
        </w:rPr>
      </w:r>
    </w:p>
    <w:p w14:paraId="4B461CDA" w14:textId="0AAF6778">
      <w:pPr>
        <w:pBdr/>
        <w:spacing w:after="0" w:line="360" w:lineRule="auto"/>
        <w:ind/>
        <w:jc w:val="both"/>
        <w:rPr>
          <w:sz w:val="24"/>
        </w:rPr>
      </w:pPr>
      <w:r>
        <w:rPr>
          <w:sz w:val="24"/>
        </w:rPr>
        <w:t xml:space="preserve">p.129 :</w:t>
      </w:r>
      <w:r>
        <w:rPr>
          <w:sz w:val="24"/>
        </w:rPr>
      </w:r>
    </w:p>
    <w:p w14:paraId="06210A0A" w14:textId="4AAF3A1B">
      <w:pPr>
        <w:pBdr/>
        <w:spacing w:after="0" w:line="360" w:lineRule="auto"/>
        <w:ind/>
        <w:jc w:val="both"/>
        <w:rPr>
          <w:sz w:val="24"/>
        </w:rPr>
      </w:pPr>
      <w:r>
        <w:rPr>
          <w:sz w:val="24"/>
        </w:rPr>
        <w:t xml:space="preserve">l’une</w:t>
      </w:r>
      <w:r>
        <w:rPr>
          <w:sz w:val="24"/>
        </w:rPr>
        <w:t xml:space="preserve"> des possibilités serait de créer un compte public, où la bibliothèque proposerait des bibliographi</w:t>
      </w:r>
      <w:r>
        <w:rPr>
          <w:sz w:val="24"/>
        </w:rPr>
        <w:t xml:space="preserve">es thématiques en liaison avec ses contenus et auxquels les utilisateurs pourraient s’abonner. Par ce biais, ces derniers contribueraient à faire connaître la bibliothèque numérique au sein de leur propre réseau et attireraient vers elle un nouveau public.</w:t>
      </w:r>
      <w:r>
        <w:rPr>
          <w:sz w:val="24"/>
        </w:rPr>
      </w:r>
    </w:p>
    <w:p w14:paraId="3F54E8D0" w14:textId="1958EC89">
      <w:pPr>
        <w:pBdr/>
        <w:spacing w:after="0" w:line="360" w:lineRule="auto"/>
        <w:ind/>
        <w:jc w:val="both"/>
        <w:rPr>
          <w:sz w:val="24"/>
        </w:rPr>
      </w:pPr>
      <w:r>
        <w:rPr>
          <w:sz w:val="24"/>
        </w:rPr>
        <w:t xml:space="preserve">Le risque de cette dissémination des contenus </w:t>
      </w:r>
      <w:r>
        <w:rPr>
          <w:sz w:val="24"/>
        </w:rPr>
        <w:t xml:space="preserve">et des services sur de nombreuses plateformes, en vue de leur réappropriation par les utilisateurs, est que ces derniers ne viennent plus sur la bibliothèque numérique, dans la mesure où ils trouvent les contenus ailleurs.</w:t>
      </w:r>
      <w:r>
        <w:rPr>
          <w:sz w:val="24"/>
        </w:rPr>
      </w:r>
    </w:p>
    <w:p w14:paraId="0376FA79" w14:textId="13E2B966">
      <w:pPr>
        <w:pBdr/>
        <w:spacing w:after="0" w:line="360" w:lineRule="auto"/>
        <w:ind/>
        <w:jc w:val="both"/>
        <w:rPr>
          <w:sz w:val="24"/>
        </w:rPr>
      </w:pPr>
      <w:r>
        <w:rPr>
          <w:sz w:val="24"/>
        </w:rPr>
        <w:t xml:space="preserve">p.130 : Profils et espaces personnels</w:t>
      </w:r>
      <w:r>
        <w:rPr>
          <w:sz w:val="24"/>
        </w:rPr>
      </w:r>
    </w:p>
    <w:p w14:paraId="7BEF2BFB" w14:textId="15D521AE">
      <w:pPr>
        <w:pBdr/>
        <w:spacing w:after="0" w:line="360" w:lineRule="auto"/>
        <w:ind/>
        <w:jc w:val="both"/>
        <w:rPr>
          <w:sz w:val="24"/>
        </w:rPr>
      </w:pPr>
      <w:r>
        <w:rPr>
          <w:sz w:val="24"/>
        </w:rPr>
        <w:t xml:space="preserve">un</w:t>
      </w:r>
      <w:r>
        <w:rPr>
          <w:sz w:val="24"/>
        </w:rPr>
        <w:t xml:space="preserve"> espace personnel est généralement vu par les utilisateurs comme une possibilité d’enregistrer leurs pages et leurs ouvrages favoris, afin de pouvoir y accéder plus rapidement. Ex : espace personnel </w:t>
      </w:r>
      <w:r>
        <w:rPr>
          <w:sz w:val="24"/>
        </w:rPr>
        <w:t xml:space="preserve">Gallica</w:t>
      </w:r>
      <w:r>
        <w:rPr>
          <w:sz w:val="24"/>
        </w:rPr>
        <w:t xml:space="preserve">.</w:t>
      </w:r>
      <w:r>
        <w:rPr>
          <w:sz w:val="24"/>
        </w:rPr>
      </w:r>
    </w:p>
    <w:p w14:paraId="2C79DCCA" w14:textId="2663F2BB">
      <w:pPr>
        <w:pBdr/>
        <w:spacing w:after="0" w:line="360" w:lineRule="auto"/>
        <w:ind/>
        <w:jc w:val="both"/>
        <w:rPr>
          <w:sz w:val="24"/>
        </w:rPr>
      </w:pPr>
      <w:r>
        <w:rPr>
          <w:sz w:val="24"/>
        </w:rPr>
        <w:t xml:space="preserve">Cet espace personnel est proche d’un compte-lecteur et propose des fonctionnalités limitées : il semble alors être la transposition en ligne d’un service traditionnel.</w:t>
      </w:r>
      <w:r>
        <w:rPr>
          <w:sz w:val="24"/>
        </w:rPr>
      </w:r>
    </w:p>
    <w:p w14:paraId="40603DD6" w14:textId="19C8B6B9">
      <w:pPr>
        <w:pBdr/>
        <w:spacing w:after="0" w:line="360" w:lineRule="auto"/>
        <w:ind/>
        <w:jc w:val="both"/>
        <w:rPr>
          <w:sz w:val="24"/>
        </w:rPr>
      </w:pPr>
      <w:r>
        <w:rPr>
          <w:sz w:val="24"/>
        </w:rPr>
        <w:t xml:space="preserve">D’autres bibliothèques numériques tentent alors de dépasser cette vision du traditionnel compte lecteur pour offrir une expérience innovante à leurs utilisateurs, qui ne sont plus uni</w:t>
      </w:r>
      <w:r>
        <w:rPr>
          <w:sz w:val="24"/>
        </w:rPr>
        <w:t xml:space="preserve">quement vus comme des lecteurs. Exemple : voir la bibliothèque nationale d’Australie, </w:t>
      </w:r>
      <w:r>
        <w:rPr>
          <w:i/>
          <w:sz w:val="24"/>
        </w:rPr>
        <w:t xml:space="preserve">Trove</w:t>
      </w:r>
      <w:r>
        <w:rPr>
          <w:sz w:val="24"/>
        </w:rPr>
        <w:t xml:space="preserve">.</w:t>
      </w:r>
      <w:r>
        <w:rPr>
          <w:sz w:val="24"/>
        </w:rPr>
      </w:r>
    </w:p>
    <w:p w14:paraId="441686A3" w14:textId="3A969BC7">
      <w:pPr>
        <w:pBdr/>
        <w:spacing w:after="0" w:line="360" w:lineRule="auto"/>
        <w:ind/>
        <w:jc w:val="both"/>
        <w:rPr>
          <w:sz w:val="24"/>
        </w:rPr>
      </w:pPr>
      <w:r>
        <w:rPr>
          <w:i/>
          <w:sz w:val="24"/>
        </w:rPr>
        <w:t xml:space="preserve">Trove</w:t>
      </w:r>
      <w:r>
        <w:rPr>
          <w:i/>
          <w:sz w:val="24"/>
        </w:rPr>
        <w:t xml:space="preserve"> </w:t>
      </w:r>
      <w:r>
        <w:rPr>
          <w:sz w:val="24"/>
        </w:rPr>
        <w:t xml:space="preserve">reprend les codes et le vocabulaire des réseaux sociaux (profil, amis, notifications, message privé) pour devenir un véritable réseau social scientifique (ou patrimonial) interne à la bibliothèque numérique, créant une « communauté </w:t>
      </w:r>
      <w:r>
        <w:rPr>
          <w:i/>
          <w:sz w:val="24"/>
        </w:rPr>
        <w:t xml:space="preserve">Trove</w:t>
      </w:r>
      <w:r>
        <w:rPr>
          <w:sz w:val="24"/>
        </w:rPr>
        <w:t xml:space="preserve"> ». </w:t>
      </w:r>
      <w:r>
        <w:rPr>
          <w:sz w:val="24"/>
        </w:rPr>
      </w:r>
    </w:p>
    <w:p w14:paraId="3EE2E5B4" w14:textId="24675BEC">
      <w:pPr>
        <w:pBdr/>
        <w:spacing w:after="0" w:line="360" w:lineRule="auto"/>
        <w:ind/>
        <w:jc w:val="both"/>
        <w:rPr>
          <w:sz w:val="24"/>
        </w:rPr>
      </w:pPr>
      <w:r>
        <w:rPr>
          <w:sz w:val="24"/>
        </w:rPr>
        <w:t xml:space="preserve">p.131 : </w:t>
      </w:r>
      <w:r>
        <w:rPr>
          <w:sz w:val="24"/>
        </w:rPr>
      </w:r>
    </w:p>
    <w:p w14:paraId="2C3E4587" w14:textId="6DCA76A9">
      <w:pPr>
        <w:pBdr/>
        <w:spacing w:after="0" w:line="360" w:lineRule="auto"/>
        <w:ind/>
        <w:jc w:val="both"/>
        <w:rPr>
          <w:sz w:val="24"/>
        </w:rPr>
      </w:pPr>
      <w:r>
        <w:rPr>
          <w:sz w:val="24"/>
        </w:rPr>
        <w:t xml:space="preserve">les</w:t>
      </w:r>
      <w:r>
        <w:rPr>
          <w:sz w:val="24"/>
        </w:rPr>
        <w:t xml:space="preserve"> outils du web 2.0 ouvrent ainsi une brèche dans l’implication des utilisateurs dans la vie de la bibliothèque numérique, en leur permettant de contribuer à la valorisation et à la diffusion des collections. </w:t>
      </w:r>
      <w:r>
        <w:rPr>
          <w:sz w:val="24"/>
        </w:rPr>
      </w:r>
    </w:p>
    <w:p w14:paraId="0B3722B1" w14:textId="2D7C9D48">
      <w:pPr>
        <w:pBdr/>
        <w:spacing w:after="0" w:line="360" w:lineRule="auto"/>
        <w:ind/>
        <w:jc w:val="both"/>
        <w:rPr>
          <w:sz w:val="24"/>
        </w:rPr>
      </w:pPr>
      <w:r>
        <w:rPr>
          <w:sz w:val="24"/>
        </w:rPr>
        <w:t xml:space="preserve">L’objectif serait d’offrir aux utilisateurs la possibilité de contribuer à des tâches de traitement des documents (transcription, correction de textes </w:t>
      </w:r>
      <w:r>
        <w:rPr>
          <w:sz w:val="24"/>
        </w:rPr>
        <w:t xml:space="preserve">océrisés</w:t>
      </w:r>
      <w:r>
        <w:rPr>
          <w:sz w:val="24"/>
        </w:rPr>
        <w:t xml:space="preserve">), d’in</w:t>
      </w:r>
      <w:r>
        <w:rPr>
          <w:sz w:val="24"/>
        </w:rPr>
        <w:t xml:space="preserve">dexation (ajout de mots-clés, commentaires) ou encore d’analyse des contenus (annotations), mais d’une manière collaborative et stimulante d’un point de vue intellectuel, afin de dépasser cette image de contribution industrielle qui sous-tend le modèle du </w:t>
      </w:r>
      <w:r>
        <w:rPr>
          <w:i/>
          <w:sz w:val="24"/>
        </w:rPr>
        <w:t xml:space="preserve">crowdsourcing</w:t>
      </w:r>
      <w:r>
        <w:rPr>
          <w:sz w:val="24"/>
        </w:rPr>
        <w:t xml:space="preserve">, dont s’inspirent les institutions culturelles.</w:t>
      </w:r>
      <w:r>
        <w:rPr>
          <w:sz w:val="24"/>
        </w:rPr>
      </w:r>
    </w:p>
    <w:p w14:paraId="20AA9D90" w14:textId="26DD1E75">
      <w:pPr>
        <w:pBdr/>
        <w:spacing w:after="0" w:line="360" w:lineRule="auto"/>
        <w:ind/>
        <w:jc w:val="both"/>
        <w:rPr>
          <w:sz w:val="24"/>
        </w:rPr>
      </w:pPr>
      <w:r>
        <w:rPr>
          <w:sz w:val="24"/>
        </w:rPr>
        <w:t xml:space="preserve">p.137 : le prétraitement des documents</w:t>
      </w:r>
      <w:r>
        <w:rPr>
          <w:sz w:val="24"/>
        </w:rPr>
      </w:r>
    </w:p>
    <w:p w14:paraId="0BE63A69" w14:textId="6C41BC4E">
      <w:pPr>
        <w:pBdr/>
        <w:spacing w:after="0" w:line="360" w:lineRule="auto"/>
        <w:ind/>
        <w:jc w:val="both"/>
        <w:rPr>
          <w:sz w:val="24"/>
        </w:rPr>
      </w:pPr>
      <w:r>
        <w:rPr>
          <w:sz w:val="24"/>
        </w:rPr>
        <w:t xml:space="preserve">la</w:t>
      </w:r>
      <w:r>
        <w:rPr>
          <w:sz w:val="24"/>
        </w:rPr>
        <w:t xml:space="preserve"> correction de textes </w:t>
      </w:r>
      <w:r>
        <w:rPr>
          <w:sz w:val="24"/>
        </w:rPr>
        <w:t xml:space="preserve">océrisés</w:t>
      </w:r>
      <w:r>
        <w:rPr>
          <w:sz w:val="24"/>
        </w:rPr>
      </w:r>
    </w:p>
    <w:p w14:paraId="30E1E636" w14:textId="45358E67">
      <w:pPr>
        <w:pBdr/>
        <w:spacing w:after="0" w:line="360" w:lineRule="auto"/>
        <w:ind/>
        <w:jc w:val="both"/>
        <w:rPr>
          <w:sz w:val="24"/>
        </w:rPr>
      </w:pPr>
      <w:r>
        <w:rPr>
          <w:sz w:val="24"/>
        </w:rPr>
        <w:t xml:space="preserve">afin</w:t>
      </w:r>
      <w:r>
        <w:rPr>
          <w:sz w:val="24"/>
        </w:rPr>
        <w:t xml:space="preserve"> d’améliorer l’efficacité des recherches des utilisateurs et pour permettre à ces derniers de rechercher des informations dans les documents numérisés, les bibliothèques numériques proposent un service de recherch</w:t>
      </w:r>
      <w:r>
        <w:rPr>
          <w:sz w:val="24"/>
        </w:rPr>
        <w:t xml:space="preserve">e en texte brut. Ce service suppose un traitement spécifique des images à l’aide de logiciels de reconnaissance optique de caractères. Cette technique permet d’identifier les chaînes de caractères présents sur une image et de les transformer en texte brut.</w:t>
      </w:r>
      <w:r>
        <w:rPr>
          <w:sz w:val="24"/>
        </w:rPr>
      </w:r>
    </w:p>
    <w:p w14:paraId="32A4E999" w14:textId="05F0907E">
      <w:pPr>
        <w:pBdr/>
        <w:spacing w:after="0" w:line="360" w:lineRule="auto"/>
        <w:ind/>
        <w:jc w:val="both"/>
        <w:rPr>
          <w:sz w:val="24"/>
        </w:rPr>
      </w:pPr>
      <w:r>
        <w:rPr>
          <w:sz w:val="24"/>
        </w:rPr>
        <w:t xml:space="preserve">p.138 : </w:t>
      </w:r>
      <w:r>
        <w:rPr>
          <w:sz w:val="24"/>
        </w:rPr>
      </w:r>
    </w:p>
    <w:p w14:paraId="78E3F0C9" w14:textId="298978CC">
      <w:pPr>
        <w:pBdr/>
        <w:spacing w:after="0" w:line="360" w:lineRule="auto"/>
        <w:ind/>
        <w:jc w:val="both"/>
        <w:rPr>
          <w:sz w:val="24"/>
        </w:rPr>
      </w:pPr>
      <w:r>
        <w:rPr>
          <w:sz w:val="24"/>
        </w:rPr>
        <w:t xml:space="preserve">Une</w:t>
      </w:r>
      <w:r>
        <w:rPr>
          <w:sz w:val="24"/>
        </w:rPr>
        <w:t xml:space="preserve"> relecture des textes </w:t>
      </w:r>
      <w:r>
        <w:rPr>
          <w:sz w:val="24"/>
        </w:rPr>
        <w:t xml:space="preserve">océrisés</w:t>
      </w:r>
      <w:r>
        <w:rPr>
          <w:sz w:val="24"/>
        </w:rPr>
        <w:t xml:space="preserve"> est donc indispensable pour assurer aux utilisateurs des recherches de qualité.</w:t>
      </w:r>
      <w:r>
        <w:rPr>
          <w:sz w:val="24"/>
        </w:rPr>
      </w:r>
    </w:p>
    <w:p w14:paraId="5D609DDE" w14:textId="00DBA33B">
      <w:pPr>
        <w:pBdr/>
        <w:spacing w:after="0" w:line="360" w:lineRule="auto"/>
        <w:ind/>
        <w:jc w:val="both"/>
        <w:rPr>
          <w:sz w:val="24"/>
        </w:rPr>
      </w:pPr>
      <w:r>
        <w:rPr>
          <w:sz w:val="24"/>
        </w:rPr>
        <w:t xml:space="preserve">Pour les aider à relire et corriger ces textes, certaines bibliothèques numériques ont choisi de faire appel à la bonne volonté de leurs utilisateurs.</w:t>
      </w:r>
      <w:r>
        <w:rPr>
          <w:sz w:val="24"/>
        </w:rPr>
      </w:r>
    </w:p>
    <w:p w14:paraId="0511B1A7" w14:textId="288480CA">
      <w:pPr>
        <w:pBdr/>
        <w:spacing w:after="0" w:line="360" w:lineRule="auto"/>
        <w:ind/>
        <w:jc w:val="both"/>
        <w:rPr>
          <w:sz w:val="24"/>
        </w:rPr>
      </w:pPr>
      <w:r>
        <w:rPr>
          <w:sz w:val="24"/>
        </w:rPr>
        <w:t xml:space="preserve">p.139 : la transcription </w:t>
      </w:r>
      <w:r>
        <w:rPr>
          <w:sz w:val="24"/>
        </w:rPr>
      </w:r>
    </w:p>
    <w:p w14:paraId="7E4D84C5" w14:textId="35EC6167">
      <w:pPr>
        <w:pBdr/>
        <w:spacing w:after="0" w:line="360" w:lineRule="auto"/>
        <w:ind/>
        <w:jc w:val="both"/>
        <w:rPr>
          <w:sz w:val="24"/>
        </w:rPr>
      </w:pPr>
      <w:r>
        <w:rPr>
          <w:sz w:val="24"/>
        </w:rPr>
        <w:t xml:space="preserve">la</w:t>
      </w:r>
      <w:r>
        <w:rPr>
          <w:sz w:val="24"/>
        </w:rPr>
        <w:t xml:space="preserve"> transcription requiert un</w:t>
      </w:r>
      <w:r>
        <w:rPr>
          <w:sz w:val="24"/>
        </w:rPr>
        <w:t xml:space="preserve"> niveau de compétence plus élevé que la correction d’OCR. Cette dernière est l’interprétation d’une forme à partir d’une lecture proposée par la machine, la transcription est l’interprétation d’une forme écrite sans aucune autre base que l’image elle-même.</w:t>
      </w:r>
      <w:r>
        <w:rPr>
          <w:sz w:val="24"/>
        </w:rPr>
      </w:r>
    </w:p>
    <w:p w14:paraId="48618715" w14:textId="32279BE4">
      <w:pPr>
        <w:pBdr/>
        <w:spacing w:after="0" w:line="360" w:lineRule="auto"/>
        <w:ind/>
        <w:jc w:val="both"/>
        <w:rPr>
          <w:sz w:val="24"/>
        </w:rPr>
      </w:pPr>
      <w:r>
        <w:rPr>
          <w:sz w:val="24"/>
        </w:rPr>
        <w:t xml:space="preserve">L’enjeu des bibliothèques numériques est d’accompagner les utilisateurs dans cette tâche, afin de garantir la fiabilité des productions. </w:t>
      </w:r>
      <w:r>
        <w:rPr>
          <w:sz w:val="24"/>
        </w:rPr>
      </w:r>
    </w:p>
    <w:p w14:paraId="34944D13" w14:textId="56EC836B">
      <w:pPr>
        <w:pBdr/>
        <w:spacing w:after="0" w:line="360" w:lineRule="auto"/>
        <w:ind/>
        <w:jc w:val="both"/>
        <w:rPr>
          <w:sz w:val="24"/>
        </w:rPr>
      </w:pPr>
      <w:r>
        <w:rPr>
          <w:sz w:val="24"/>
        </w:rPr>
        <w:t xml:space="preserve">p.143 : l’analyse et la réutilisation des documents</w:t>
      </w:r>
      <w:r>
        <w:rPr>
          <w:sz w:val="24"/>
        </w:rPr>
      </w:r>
    </w:p>
    <w:p w14:paraId="4A7A8EEA" w14:textId="56F8CE1D">
      <w:pPr>
        <w:pBdr/>
        <w:spacing w:after="0" w:line="360" w:lineRule="auto"/>
        <w:ind/>
        <w:jc w:val="both"/>
        <w:rPr>
          <w:sz w:val="24"/>
        </w:rPr>
      </w:pPr>
      <w:r>
        <w:rPr>
          <w:sz w:val="24"/>
        </w:rPr>
        <w:t xml:space="preserve">Cette</w:t>
      </w:r>
      <w:r>
        <w:rPr>
          <w:sz w:val="24"/>
        </w:rPr>
        <w:t xml:space="preserve"> catégorie désigne des services qui offrent aux utilisateurs la possibilité d’analyser et de travailler en groupe sur les contenus de la bibliothèque, via un ensemble d’outils, puis de partager les productions dans les collections de la bibliothèque.</w:t>
      </w:r>
      <w:r>
        <w:rPr>
          <w:sz w:val="24"/>
        </w:rPr>
      </w:r>
    </w:p>
    <w:p w14:paraId="29EB1AA6" w14:textId="75DB3FF1">
      <w:pPr>
        <w:pBdr/>
        <w:spacing w:after="0" w:line="360" w:lineRule="auto"/>
        <w:ind/>
        <w:jc w:val="both"/>
        <w:rPr>
          <w:sz w:val="24"/>
        </w:rPr>
      </w:pPr>
      <w:r>
        <w:rPr>
          <w:sz w:val="24"/>
        </w:rPr>
        <w:t xml:space="preserve">Ces services permettent aussi aux utilisateurs d’extraire les contenus de leur collection pour en faire autre chose et proposer un angle d’approche différent. </w:t>
      </w:r>
      <w:r>
        <w:rPr>
          <w:sz w:val="24"/>
        </w:rPr>
      </w:r>
    </w:p>
    <w:p w14:paraId="7730E7F3" w14:textId="77777777">
      <w:pPr>
        <w:pBdr/>
        <w:spacing w:after="0" w:line="360" w:lineRule="auto"/>
        <w:ind/>
        <w:jc w:val="both"/>
        <w:rPr>
          <w:sz w:val="24"/>
        </w:rPr>
      </w:pPr>
      <w:r>
        <w:rPr>
          <w:sz w:val="24"/>
        </w:rPr>
      </w:r>
      <w:r>
        <w:rPr>
          <w:sz w:val="24"/>
        </w:rPr>
      </w:r>
    </w:p>
    <w:p w14:paraId="326F4BFF" w14:textId="30973EAB">
      <w:pPr>
        <w:pStyle w:val="678"/>
        <w:pBdr/>
        <w:spacing/>
        <w:ind/>
        <w:jc w:val="both"/>
        <w:rPr>
          <w:rFonts w:asciiTheme="minorHAnsi" w:hAnsiTheme="minorHAnsi" w:cstheme="minorHAnsi"/>
          <w:b/>
          <w:color w:val="auto"/>
          <w:sz w:val="28"/>
        </w:rPr>
      </w:pPr>
      <w:r>
        <w:rPr>
          <w:rFonts w:asciiTheme="minorHAnsi" w:hAnsiTheme="minorHAnsi" w:cstheme="minorHAnsi"/>
          <w:b/>
          <w:color w:val="auto"/>
          <w:sz w:val="28"/>
        </w:rPr>
        <w:t xml:space="preserve">Chapitre 5 : Approche ascendante (</w:t>
      </w:r>
      <w:r>
        <w:rPr>
          <w:rFonts w:asciiTheme="minorHAnsi" w:hAnsiTheme="minorHAnsi" w:cstheme="minorHAnsi"/>
          <w:b/>
          <w:color w:val="auto"/>
          <w:sz w:val="28"/>
        </w:rPr>
        <w:t xml:space="preserve">bottom</w:t>
      </w:r>
      <w:r>
        <w:rPr>
          <w:rFonts w:asciiTheme="minorHAnsi" w:hAnsiTheme="minorHAnsi" w:cstheme="minorHAnsi"/>
          <w:b/>
          <w:color w:val="auto"/>
          <w:sz w:val="28"/>
        </w:rPr>
        <w:t xml:space="preserve">-up) : Les études utilisateurs</w:t>
      </w:r>
      <w:r>
        <w:rPr>
          <w:rFonts w:asciiTheme="minorHAnsi" w:hAnsiTheme="minorHAnsi" w:cstheme="minorHAnsi"/>
          <w:b/>
          <w:color w:val="auto"/>
          <w:sz w:val="28"/>
        </w:rPr>
      </w:r>
    </w:p>
    <w:p w14:paraId="354BEB95" w14:textId="1EBAB7B2">
      <w:pPr>
        <w:pBdr/>
        <w:spacing/>
        <w:ind/>
        <w:jc w:val="both"/>
        <w:rPr>
          <w:sz w:val="24"/>
        </w:rPr>
      </w:pPr>
      <w:r>
        <w:rPr>
          <w:sz w:val="24"/>
        </w:rPr>
        <w:t xml:space="preserve">p.155 à </w:t>
      </w:r>
      <w:r>
        <w:rPr>
          <w:sz w:val="24"/>
        </w:rPr>
        <w:t xml:space="preserve">201</w:t>
      </w:r>
      <w:r>
        <w:rPr>
          <w:sz w:val="24"/>
        </w:rPr>
      </w:r>
    </w:p>
    <w:p w14:paraId="1111E340" w14:textId="4053F85E">
      <w:pPr>
        <w:pBdr/>
        <w:spacing/>
        <w:ind/>
        <w:jc w:val="both"/>
        <w:rPr>
          <w:sz w:val="24"/>
        </w:rPr>
      </w:pPr>
      <w:r>
        <w:rPr>
          <w:sz w:val="24"/>
        </w:rPr>
        <w:t xml:space="preserve">p.155 :</w:t>
      </w:r>
      <w:r>
        <w:rPr>
          <w:sz w:val="24"/>
        </w:rPr>
      </w:r>
    </w:p>
    <w:p w14:paraId="706C0284" w14:textId="376FB93F">
      <w:pPr>
        <w:pBdr/>
        <w:spacing/>
        <w:ind/>
        <w:jc w:val="both"/>
        <w:rPr>
          <w:sz w:val="24"/>
        </w:rPr>
      </w:pPr>
      <w:r>
        <w:rPr>
          <w:sz w:val="24"/>
        </w:rPr>
        <w:t xml:space="preserve">sous</w:t>
      </w:r>
      <w:r>
        <w:rPr>
          <w:sz w:val="24"/>
        </w:rPr>
        <w:t xml:space="preserve"> la forme d’un état de l’art suivi une approche ascendante, à travers la réalisation d’études utilisateur. </w:t>
      </w:r>
      <w:r>
        <w:rPr>
          <w:sz w:val="24"/>
        </w:rPr>
      </w:r>
    </w:p>
    <w:p w14:paraId="542265BA" w14:textId="1F855773">
      <w:pPr>
        <w:pBdr/>
        <w:spacing/>
        <w:ind/>
        <w:jc w:val="both"/>
        <w:rPr>
          <w:sz w:val="24"/>
        </w:rPr>
      </w:pPr>
      <w:r>
        <w:rPr>
          <w:sz w:val="24"/>
        </w:rPr>
        <w:t xml:space="preserve">Phase d’identification des utilisateurs :  adoption de deux méthodes : un question</w:t>
      </w:r>
      <w:r>
        <w:rPr>
          <w:sz w:val="24"/>
        </w:rPr>
        <w:t xml:space="preserve">naire en ligne et des entretiens individuels. Identification du profil, les usages et les besoins des utilisateurs de bibliothèques numériques patrimoniales et scientifiques conformément à la philosophie de la conception d’expérience avec des utilisateurs.</w:t>
      </w:r>
      <w:r>
        <w:rPr>
          <w:sz w:val="24"/>
        </w:rPr>
      </w:r>
    </w:p>
    <w:p w14:paraId="59789172" w14:textId="61BDD898">
      <w:pPr>
        <w:pBdr/>
        <w:spacing/>
        <w:ind/>
        <w:jc w:val="both"/>
        <w:rPr>
          <w:sz w:val="24"/>
        </w:rPr>
      </w:pPr>
      <w:r>
        <w:rPr>
          <w:sz w:val="24"/>
        </w:rPr>
        <w:t xml:space="preserve">Ensuite, évaluation du degré d’engagement des utilisateurs avec les ressources numériques, à travers la proposition de services, et de déterminer ce qu’ils aimeraient faire. </w:t>
      </w:r>
      <w:r>
        <w:rPr>
          <w:sz w:val="24"/>
        </w:rPr>
      </w:r>
    </w:p>
    <w:p w14:paraId="4B2B1C21" w14:textId="07C770FB">
      <w:pPr>
        <w:pBdr/>
        <w:spacing/>
        <w:ind/>
        <w:jc w:val="both"/>
        <w:rPr>
          <w:sz w:val="24"/>
        </w:rPr>
      </w:pPr>
      <w:r>
        <w:rPr>
          <w:sz w:val="24"/>
        </w:rPr>
        <w:t xml:space="preserve">Enfin un niveau plus général : comprendre à travers leurs pratiq</w:t>
      </w:r>
      <w:r>
        <w:rPr>
          <w:sz w:val="24"/>
        </w:rPr>
        <w:t xml:space="preserve">ues et leurs besoins, le rapport des utilisateurs aux bibliothèques numériques et au patrimoine numérisé, ainsi que de réfléchir à la notion de participation dans une bibliothèque numérique et à son implication sur le profil et les usages des utilisateurs.</w:t>
      </w:r>
      <w:r>
        <w:rPr>
          <w:sz w:val="24"/>
        </w:rPr>
      </w:r>
    </w:p>
    <w:p w14:paraId="3D889465" w14:textId="467660E7">
      <w:pPr>
        <w:pBdr/>
        <w:spacing/>
        <w:ind/>
        <w:jc w:val="both"/>
        <w:rPr>
          <w:sz w:val="24"/>
        </w:rPr>
      </w:pPr>
      <w:r>
        <w:rPr>
          <w:sz w:val="24"/>
        </w:rPr>
        <w:t xml:space="preserve">p.181 :</w:t>
      </w:r>
      <w:r>
        <w:rPr>
          <w:sz w:val="24"/>
        </w:rPr>
      </w:r>
    </w:p>
    <w:p w14:paraId="46705DFA" w14:textId="6A15F0C8">
      <w:pPr>
        <w:pBdr/>
        <w:spacing/>
        <w:ind/>
        <w:jc w:val="both"/>
        <w:rPr>
          <w:sz w:val="24"/>
        </w:rPr>
      </w:pPr>
      <w:r>
        <w:rPr>
          <w:sz w:val="24"/>
        </w:rPr>
        <w:t xml:space="preserve">espace</w:t>
      </w:r>
      <w:r>
        <w:rPr>
          <w:sz w:val="24"/>
        </w:rPr>
        <w:t xml:space="preserve"> personnel : distinction possible entre deux types d’espace et de travail.</w:t>
      </w:r>
      <w:r>
        <w:rPr>
          <w:sz w:val="24"/>
        </w:rPr>
      </w:r>
    </w:p>
    <w:p w14:paraId="66C31F0A" w14:textId="172B44FB">
      <w:pPr>
        <w:pBdr/>
        <w:spacing/>
        <w:ind/>
        <w:jc w:val="both"/>
        <w:rPr>
          <w:sz w:val="24"/>
        </w:rPr>
      </w:pPr>
      <w:r>
        <w:rPr>
          <w:sz w:val="24"/>
        </w:rPr>
        <w:t xml:space="preserve">Création d’un espace personnel de type « carnet de lecture », où les utilisateurs accéderaient à un historique de leurs consultations et de leurs téléchargements. Avoir un historique de ses </w:t>
      </w:r>
      <w:r>
        <w:rPr>
          <w:sz w:val="24"/>
        </w:rPr>
        <w:t xml:space="preserve">actions au sein de la bibliothèque numérique apparaît alors comme une barrière à l’oubli, mais aussi comme une économie de temps, car cela évite de recommencer </w:t>
      </w:r>
      <w:r>
        <w:rPr>
          <w:sz w:val="24"/>
        </w:rPr>
        <w:t xml:space="preserve">s</w:t>
      </w:r>
      <w:r>
        <w:rPr>
          <w:sz w:val="24"/>
        </w:rPr>
        <w:t xml:space="preserve">es recherches.</w:t>
      </w:r>
      <w:r>
        <w:rPr>
          <w:sz w:val="24"/>
        </w:rPr>
      </w:r>
    </w:p>
    <w:p w14:paraId="2B377425" w14:textId="6FEB809D">
      <w:pPr>
        <w:pBdr/>
        <w:spacing/>
        <w:ind/>
        <w:jc w:val="both"/>
        <w:rPr>
          <w:sz w:val="24"/>
        </w:rPr>
      </w:pPr>
      <w:r>
        <w:rPr>
          <w:sz w:val="24"/>
        </w:rPr>
        <w:t xml:space="preserve">Certains participants proposent également de pouvoir créer des listes personnalisées (favoris, thématiques) à partir des contenus de la bibliothèque numérique.</w:t>
      </w:r>
      <w:r>
        <w:rPr>
          <w:sz w:val="24"/>
        </w:rPr>
      </w:r>
    </w:p>
    <w:p w14:paraId="38B20BBC" w14:textId="52CA7423">
      <w:pPr>
        <w:pBdr/>
        <w:spacing/>
        <w:ind/>
        <w:jc w:val="both"/>
        <w:rPr>
          <w:sz w:val="24"/>
        </w:rPr>
      </w:pPr>
      <w:r>
        <w:rPr>
          <w:sz w:val="24"/>
        </w:rPr>
        <w:t xml:space="preserve">Suggestions personnalisées, établies à partir des mots-clés ou des liens cliqués. L’objectif est d’établir des connexions entre les disciplines, afin que, de proche en proche, le chercheur puisse élargir son champ de recherche. (</w:t>
      </w:r>
      <w:r>
        <w:rPr>
          <w:sz w:val="24"/>
        </w:rPr>
        <w:t xml:space="preserve">exemple</w:t>
      </w:r>
      <w:r>
        <w:rPr>
          <w:sz w:val="24"/>
        </w:rPr>
        <w:t xml:space="preserve"> de plateformes utilisant ce type d’espace : </w:t>
      </w:r>
      <w:r>
        <w:rPr>
          <w:sz w:val="24"/>
        </w:rPr>
        <w:t xml:space="preserve">Babelio</w:t>
      </w:r>
      <w:r>
        <w:rPr>
          <w:sz w:val="24"/>
        </w:rPr>
        <w:t xml:space="preserve"> ou </w:t>
      </w:r>
      <w:r>
        <w:rPr>
          <w:sz w:val="24"/>
        </w:rPr>
        <w:t xml:space="preserve">Goodreads</w:t>
      </w:r>
      <w:r>
        <w:rPr>
          <w:sz w:val="24"/>
        </w:rPr>
        <w:t xml:space="preserve">).</w:t>
      </w:r>
      <w:r>
        <w:rPr>
          <w:sz w:val="24"/>
        </w:rPr>
      </w:r>
    </w:p>
    <w:p w14:paraId="3BD6531C" w14:textId="1C6B321E">
      <w:pPr>
        <w:pBdr/>
        <w:spacing/>
        <w:ind/>
        <w:jc w:val="both"/>
        <w:rPr>
          <w:sz w:val="24"/>
        </w:rPr>
      </w:pPr>
      <w:r>
        <w:rPr>
          <w:sz w:val="24"/>
        </w:rPr>
        <w:t xml:space="preserve">Second type d’espace : « espace de travail », où les participants auraient accès à des outils. Fonctionnalités envisagées : avoir la possibilité </w:t>
      </w:r>
      <w:r>
        <w:rPr>
          <w:sz w:val="24"/>
        </w:rPr>
        <w:t xml:space="preserve">de comparer et d’analyser des documents (surlignage, annotations, commentaires, zoom, importation de contenus extérieurs). Cet espace prend alors l’allure d’un bureau de travail numérique, qui centralise et sauvegarde les travaux en cours.</w:t>
      </w:r>
      <w:r>
        <w:rPr>
          <w:sz w:val="24"/>
        </w:rPr>
      </w:r>
    </w:p>
    <w:p w14:paraId="46771367" w14:textId="77777777">
      <w:pPr>
        <w:pStyle w:val="678"/>
        <w:pBdr/>
        <w:spacing/>
        <w:ind/>
        <w:jc w:val="both"/>
        <w:rPr>
          <w:rFonts w:asciiTheme="minorHAnsi" w:hAnsiTheme="minorHAnsi" w:cstheme="minorHAnsi"/>
          <w:b/>
          <w:color w:val="auto"/>
          <w:sz w:val="28"/>
          <w:u w:val="single"/>
        </w:rPr>
      </w:pPr>
      <w:r>
        <w:rPr>
          <w:rFonts w:asciiTheme="minorHAnsi" w:hAnsiTheme="minorHAnsi" w:cstheme="minorHAnsi"/>
          <w:b/>
          <w:color w:val="auto"/>
          <w:sz w:val="28"/>
        </w:rPr>
        <w:t xml:space="preserve">Chapitre 7 Élaboration de la bibliothèque numérique : une structure à trois niveaux</w:t>
      </w:r>
      <w:r>
        <w:rPr>
          <w:rFonts w:asciiTheme="minorHAnsi" w:hAnsiTheme="minorHAnsi" w:cstheme="minorHAnsi"/>
          <w:b/>
          <w:color w:val="auto"/>
          <w:sz w:val="28"/>
          <w:u w:val="single"/>
        </w:rPr>
      </w:r>
    </w:p>
    <w:p w14:paraId="7D3EDED0" w14:textId="65788B5D">
      <w:pPr>
        <w:pBdr/>
        <w:spacing/>
        <w:ind/>
        <w:rPr/>
      </w:pPr>
      <w:r>
        <w:t xml:space="preserve">p.255</w:t>
      </w:r>
      <w:r>
        <w:t xml:space="preserve"> à : </w:t>
      </w:r>
      <w:r/>
    </w:p>
    <w:p w14:paraId="10552A4D" w14:textId="1148EA67">
      <w:pPr>
        <w:pBdr/>
        <w:spacing/>
        <w:ind/>
        <w:rPr/>
      </w:pPr>
      <w:r>
        <w:t xml:space="preserve">p.25</w:t>
      </w:r>
      <w:r>
        <w:t xml:space="preserve">6-257</w:t>
      </w:r>
      <w:r>
        <w:t xml:space="preserve"> : </w:t>
      </w:r>
      <w:r/>
    </w:p>
    <w:p w14:paraId="36082471" w14:textId="6B921494">
      <w:pPr>
        <w:pBdr/>
        <w:spacing/>
        <w:ind/>
        <w:jc w:val="both"/>
        <w:rPr>
          <w:sz w:val="24"/>
        </w:rPr>
      </w:pPr>
      <w:r>
        <w:rPr>
          <w:sz w:val="24"/>
        </w:rPr>
        <w:t xml:space="preserve">Description technique </w:t>
      </w:r>
      <w:r>
        <w:rPr>
          <w:sz w:val="24"/>
        </w:rPr>
        <w:t xml:space="preserve">des services, c’est-à-dire du </w:t>
      </w:r>
      <w:r>
        <w:rPr>
          <w:i/>
          <w:sz w:val="24"/>
        </w:rPr>
        <w:t xml:space="preserve">workflow</w:t>
      </w:r>
      <w:r>
        <w:rPr>
          <w:sz w:val="24"/>
        </w:rPr>
        <w:t xml:space="preserve"> et des outils (mis en place ou envisagés) pour mettre en œuvre ces services et à termes faciliter le développement de l’interface. </w:t>
      </w:r>
      <w:r>
        <w:rPr>
          <w:sz w:val="24"/>
        </w:rPr>
      </w:r>
    </w:p>
    <w:p w14:paraId="5E2C7244" w14:textId="4A6B797D">
      <w:pPr>
        <w:pBdr/>
        <w:spacing/>
        <w:ind/>
        <w:jc w:val="both"/>
        <w:rPr>
          <w:sz w:val="24"/>
        </w:rPr>
      </w:pPr>
      <w:r>
        <w:rPr>
          <w:sz w:val="24"/>
        </w:rPr>
        <w:t xml:space="preserve">Technologies présentes dès le début sur lesquelles s’est basée les choix des services : </w:t>
      </w:r>
      <w:r>
        <w:rPr>
          <w:sz w:val="24"/>
        </w:rPr>
        <w:t xml:space="preserve">Omeka</w:t>
      </w:r>
      <w:r>
        <w:rPr>
          <w:sz w:val="24"/>
        </w:rPr>
        <w:t xml:space="preserve"> S et IIIF.</w:t>
      </w:r>
      <w:r>
        <w:rPr>
          <w:sz w:val="24"/>
        </w:rPr>
      </w:r>
    </w:p>
    <w:p w14:paraId="182096D7" w14:textId="0184E221">
      <w:pPr>
        <w:pBdr/>
        <w:spacing/>
        <w:ind/>
        <w:jc w:val="both"/>
        <w:rPr>
          <w:sz w:val="24"/>
        </w:rPr>
      </w:pPr>
      <w:r>
        <w:rPr>
          <w:sz w:val="24"/>
        </w:rPr>
        <w:t xml:space="preserve">CMS </w:t>
      </w:r>
      <w:r>
        <w:rPr>
          <w:sz w:val="24"/>
        </w:rPr>
        <w:t xml:space="preserve">Omeka</w:t>
      </w:r>
      <w:r>
        <w:rPr>
          <w:sz w:val="24"/>
        </w:rPr>
        <w:t xml:space="preserve"> </w:t>
      </w:r>
      <w:r>
        <w:rPr>
          <w:sz w:val="24"/>
        </w:rPr>
        <w:t xml:space="preserve">Classic</w:t>
      </w:r>
      <w:r>
        <w:rPr>
          <w:sz w:val="24"/>
        </w:rPr>
        <w:t xml:space="preserve">. Développé depuis 2008 par le </w:t>
      </w:r>
      <w:r>
        <w:rPr>
          <w:i/>
          <w:sz w:val="24"/>
        </w:rPr>
        <w:t xml:space="preserve">Roy Rosenzweig Center for </w:t>
      </w:r>
      <w:r>
        <w:rPr>
          <w:i/>
          <w:sz w:val="24"/>
        </w:rPr>
        <w:t xml:space="preserve">History</w:t>
      </w:r>
      <w:r>
        <w:rPr>
          <w:i/>
          <w:sz w:val="24"/>
        </w:rPr>
        <w:t xml:space="preserve"> and New Media </w:t>
      </w:r>
      <w:r>
        <w:rPr>
          <w:sz w:val="24"/>
        </w:rPr>
        <w:t xml:space="preserve">(RRCHNM) de la George Mason University, ce CMS a été conçu pour la diffusion sur le Web de ressources numériques de nature différente (texte, image, documents audiovisuels), </w:t>
      </w:r>
      <w:r>
        <w:rPr>
          <w:sz w:val="24"/>
        </w:rPr>
        <w:t xml:space="preserve">qu’il organise en collections hiérarchisées à l’image de l</w:t>
      </w:r>
      <w:r>
        <w:rPr>
          <w:sz w:val="24"/>
        </w:rPr>
        <w:t xml:space="preserve">’organisation des fonds d’archives. Il est de ce fait essentiellement utilisé par des bibliothèques, des musées, des centres d’archives ou de recherche, qui souhaitent partager leurs fonds à des fins historiques, patrimoniales ou scientifiques. Le choix d’</w:t>
      </w:r>
      <w:r>
        <w:rPr>
          <w:i/>
          <w:sz w:val="24"/>
        </w:rPr>
        <w:t xml:space="preserve">Omeka</w:t>
      </w:r>
      <w:r>
        <w:rPr>
          <w:i/>
          <w:sz w:val="24"/>
        </w:rPr>
        <w:t xml:space="preserve"> </w:t>
      </w:r>
      <w:r>
        <w:rPr>
          <w:i/>
          <w:sz w:val="24"/>
        </w:rPr>
        <w:t xml:space="preserve">Classic</w:t>
      </w:r>
      <w:r>
        <w:rPr>
          <w:i/>
          <w:sz w:val="24"/>
        </w:rPr>
        <w:t xml:space="preserve"> </w:t>
      </w:r>
      <w:r>
        <w:rPr>
          <w:sz w:val="24"/>
        </w:rPr>
        <w:t xml:space="preserve">était lié à son orientation patrimoniale, et aussi à des raisons institutionnelles afin de conserver une cohérence structurelle avec les autres bibliothèques numériques de la bibliothèque universitaire de Grenoble, également développées avec </w:t>
      </w:r>
      <w:r>
        <w:rPr>
          <w:i/>
          <w:sz w:val="24"/>
        </w:rPr>
        <w:t xml:space="preserve">Omeka</w:t>
      </w:r>
      <w:r>
        <w:rPr>
          <w:i/>
          <w:sz w:val="24"/>
        </w:rPr>
        <w:t xml:space="preserve">,</w:t>
      </w:r>
      <w:r>
        <w:rPr>
          <w:sz w:val="24"/>
        </w:rPr>
        <w:t xml:space="preserve"> et ainsi bénéficier de l’expertise des personnes travaillant déjà avec cet outil.</w:t>
      </w:r>
      <w:r>
        <w:rPr>
          <w:sz w:val="24"/>
        </w:rPr>
      </w:r>
    </w:p>
    <w:p w14:paraId="61E3AEE7" w14:textId="459EE209">
      <w:pPr>
        <w:pBdr/>
        <w:spacing/>
        <w:ind/>
        <w:jc w:val="both"/>
        <w:rPr>
          <w:sz w:val="24"/>
        </w:rPr>
      </w:pPr>
      <w:r>
        <w:rPr>
          <w:sz w:val="24"/>
        </w:rPr>
        <w:t xml:space="preserve">p..257 :</w:t>
      </w:r>
      <w:r>
        <w:rPr>
          <w:sz w:val="24"/>
        </w:rPr>
      </w:r>
    </w:p>
    <w:p w14:paraId="7B52557F" w14:textId="32E16344">
      <w:pPr>
        <w:pBdr/>
        <w:spacing/>
        <w:ind/>
        <w:jc w:val="both"/>
        <w:rPr>
          <w:sz w:val="24"/>
        </w:rPr>
      </w:pPr>
      <w:r>
        <w:rPr>
          <w:sz w:val="24"/>
        </w:rPr>
        <w:t xml:space="preserve">en</w:t>
      </w:r>
      <w:r>
        <w:rPr>
          <w:sz w:val="24"/>
        </w:rPr>
        <w:t xml:space="preserve"> 2016, est apparu </w:t>
      </w:r>
      <w:r>
        <w:rPr>
          <w:i/>
          <w:sz w:val="24"/>
        </w:rPr>
        <w:t xml:space="preserve">Omeka</w:t>
      </w:r>
      <w:r>
        <w:rPr>
          <w:i/>
          <w:sz w:val="24"/>
        </w:rPr>
        <w:t xml:space="preserve"> </w:t>
      </w:r>
      <w:r>
        <w:rPr>
          <w:i/>
          <w:sz w:val="24"/>
        </w:rPr>
        <w:t xml:space="preserve">S, </w:t>
      </w:r>
      <w:r>
        <w:rPr>
          <w:sz w:val="24"/>
        </w:rPr>
        <w:t xml:space="preserve">un nouveau CMS, également développé par l’équipe RRCHNM et pensé sur le même modèle qu’</w:t>
      </w:r>
      <w:r>
        <w:rPr>
          <w:i/>
          <w:sz w:val="24"/>
        </w:rPr>
        <w:t xml:space="preserve">Omeka</w:t>
      </w:r>
      <w:r>
        <w:rPr>
          <w:i/>
          <w:sz w:val="24"/>
        </w:rPr>
        <w:t xml:space="preserve"> </w:t>
      </w:r>
      <w:r>
        <w:rPr>
          <w:i/>
          <w:sz w:val="24"/>
        </w:rPr>
        <w:t xml:space="preserve">Classic</w:t>
      </w:r>
      <w:r>
        <w:rPr>
          <w:sz w:val="24"/>
        </w:rPr>
        <w:t xml:space="preserve">. </w:t>
      </w:r>
      <w:r>
        <w:rPr>
          <w:i/>
          <w:sz w:val="24"/>
        </w:rPr>
        <w:t xml:space="preserve">Omeka</w:t>
      </w:r>
      <w:r>
        <w:rPr>
          <w:i/>
          <w:sz w:val="24"/>
        </w:rPr>
        <w:t xml:space="preserve"> S </w:t>
      </w:r>
      <w:r>
        <w:rPr>
          <w:sz w:val="24"/>
        </w:rPr>
        <w:t xml:space="preserve">est né du constat de la multiplication des instances d’</w:t>
      </w:r>
      <w:r>
        <w:rPr>
          <w:i/>
          <w:sz w:val="24"/>
        </w:rPr>
        <w:t xml:space="preserve">Omeka</w:t>
      </w:r>
      <w:r>
        <w:rPr>
          <w:i/>
          <w:sz w:val="24"/>
        </w:rPr>
        <w:t xml:space="preserve"> </w:t>
      </w:r>
      <w:r>
        <w:rPr>
          <w:sz w:val="24"/>
        </w:rPr>
        <w:t xml:space="preserve">au sein des institutions patrimoniales. L’un des objectifs de ce nouveau CMS était alors d’abriter plusieurs sites au sein de la même instance. </w:t>
      </w:r>
      <w:r>
        <w:rPr>
          <w:i/>
          <w:sz w:val="24"/>
        </w:rPr>
        <w:t xml:space="preserve">Omeka</w:t>
      </w:r>
      <w:r>
        <w:rPr>
          <w:i/>
          <w:sz w:val="24"/>
        </w:rPr>
        <w:t xml:space="preserve"> S </w:t>
      </w:r>
      <w:r>
        <w:rPr>
          <w:sz w:val="24"/>
        </w:rPr>
        <w:t xml:space="preserve">se distingue </w:t>
      </w:r>
      <w:r>
        <w:rPr>
          <w:sz w:val="24"/>
        </w:rPr>
        <w:t xml:space="preserve">d’</w:t>
      </w:r>
      <w:r>
        <w:rPr>
          <w:i/>
          <w:sz w:val="24"/>
        </w:rPr>
        <w:t xml:space="preserve">Omeka</w:t>
      </w:r>
      <w:r>
        <w:rPr>
          <w:i/>
          <w:sz w:val="24"/>
        </w:rPr>
        <w:t xml:space="preserve"> </w:t>
      </w:r>
      <w:r>
        <w:rPr>
          <w:i/>
          <w:sz w:val="24"/>
        </w:rPr>
        <w:t xml:space="preserve">Classic</w:t>
      </w:r>
      <w:r>
        <w:rPr>
          <w:sz w:val="24"/>
        </w:rPr>
        <w:t xml:space="preserve"> pour avoir pris le tournant du Web sémantique, en permettant d’exposer des données selon les normes et les vocabulaires du Web de données. </w:t>
      </w:r>
      <w:r>
        <w:rPr>
          <w:sz w:val="24"/>
        </w:rPr>
      </w:r>
    </w:p>
    <w:p w14:paraId="0BA9E6CC" w14:textId="0EDA6FC6">
      <w:pPr>
        <w:pBdr/>
        <w:spacing/>
        <w:ind/>
        <w:jc w:val="both"/>
        <w:rPr>
          <w:sz w:val="24"/>
        </w:rPr>
      </w:pPr>
      <w:r>
        <w:rPr>
          <w:sz w:val="24"/>
        </w:rPr>
        <w:t xml:space="preserve">Ce CMS, tourné vers le partage des données, fait ainsi écho à la vocation multi-partenariale de </w:t>
      </w:r>
      <w:r>
        <w:rPr>
          <w:i/>
          <w:sz w:val="24"/>
        </w:rPr>
        <w:t xml:space="preserve">Fonte Gaia</w:t>
      </w:r>
      <w:r>
        <w:rPr>
          <w:sz w:val="24"/>
        </w:rPr>
        <w:t xml:space="preserve">, en tant que portail thématique autour des études italiennes.</w:t>
      </w:r>
      <w:r>
        <w:rPr>
          <w:sz w:val="24"/>
        </w:rPr>
      </w:r>
    </w:p>
    <w:p w14:paraId="6CFEA4EA" w14:textId="13AC219C">
      <w:pPr>
        <w:pBdr/>
        <w:spacing/>
        <w:ind/>
        <w:jc w:val="both"/>
        <w:rPr>
          <w:sz w:val="24"/>
        </w:rPr>
      </w:pPr>
      <w:r>
        <w:rPr>
          <w:sz w:val="24"/>
        </w:rPr>
        <w:t xml:space="preserve">Le standard IIIF = ce standard permet d’afficher des images hébergées sur des serveurs distants. Cela est rendu possible grâce à un ensemble d’API, qui garantissent l’affichage et la manipulation des images à distance. La principa</w:t>
      </w:r>
      <w:r>
        <w:rPr>
          <w:sz w:val="24"/>
        </w:rPr>
        <w:t xml:space="preserve">le est l’API Image, qui standardise des images afin de permettre à un client Web de récupérer les coordonnées de leurs pixels, et donne des informations sur leurs propriétés (espaces colorimétriques, hauteur, largeur, etc.). Cette API est associée à l’API </w:t>
      </w:r>
      <w:r>
        <w:rPr>
          <w:sz w:val="24"/>
        </w:rPr>
        <w:t xml:space="preserve">Presentation</w:t>
      </w:r>
      <w:r>
        <w:rPr>
          <w:sz w:val="24"/>
        </w:rPr>
        <w:t xml:space="preserve">, qui structure les ressources numériques et fournit toutes les informations nécessaires pour les afficher et aider l’utilisateur à comprendre ce qu’il consulte. Toutes ces informations sont contenues dans le manifeste. </w:t>
      </w:r>
      <w:r>
        <w:rPr>
          <w:sz w:val="24"/>
        </w:rPr>
      </w:r>
    </w:p>
    <w:p w14:paraId="33424DE4" w14:textId="3F7E27F3">
      <w:pPr>
        <w:pBdr/>
        <w:spacing/>
        <w:ind/>
        <w:jc w:val="both"/>
        <w:rPr>
          <w:sz w:val="24"/>
        </w:rPr>
      </w:pPr>
      <w:r>
        <w:rPr>
          <w:sz w:val="24"/>
        </w:rPr>
        <w:t xml:space="preserve">Un manifeste représente </w:t>
      </w:r>
      <w:r>
        <w:rPr>
          <w:sz w:val="24"/>
        </w:rPr>
        <w:t xml:space="preserve">un objet numérique (un livre numérisé). Il peut se composer de plusieurs séquences, qui indiquent différents ordres des pages si ceux-ci sont soumis à discussion. Cette s</w:t>
      </w:r>
      <w:r>
        <w:rPr>
          <w:sz w:val="24"/>
        </w:rPr>
        <w:t xml:space="preserve">équence se compose de plusieurs canevas, sur lesquels des annotations sont ajoutées, la première étant l’image elle-même. Autrement dit, chaque canevas contient une image et, dans notre cas, correspond à une page d’un livre (ou à un élément de la reliure).</w:t>
      </w:r>
      <w:r>
        <w:rPr>
          <w:sz w:val="24"/>
        </w:rPr>
      </w:r>
    </w:p>
    <w:p w14:paraId="65CF752F" w14:textId="4D04C690">
      <w:pPr>
        <w:pBdr/>
        <w:spacing/>
        <w:ind/>
        <w:jc w:val="both"/>
        <w:rPr>
          <w:sz w:val="24"/>
        </w:rPr>
      </w:pPr>
      <w:r>
        <w:rPr>
          <w:sz w:val="24"/>
        </w:rPr>
        <w:t xml:space="preserve">p.257-258 : </w:t>
      </w:r>
      <w:r>
        <w:rPr>
          <w:sz w:val="24"/>
        </w:rPr>
      </w:r>
    </w:p>
    <w:p w14:paraId="4B4262E5" w14:textId="767A132C">
      <w:pPr>
        <w:pBdr/>
        <w:spacing/>
        <w:ind/>
        <w:jc w:val="both"/>
        <w:rPr>
          <w:sz w:val="24"/>
        </w:rPr>
      </w:pPr>
      <w:r>
        <w:rPr>
          <w:sz w:val="24"/>
        </w:rPr>
        <w:t xml:space="preserve">Le recours à IIIF entraîne alors l’utilisation de technologies compatibles avec ce standard. </w:t>
      </w:r>
      <w:r>
        <w:rPr>
          <w:i/>
          <w:sz w:val="24"/>
        </w:rPr>
        <w:t xml:space="preserve">Omeka</w:t>
      </w:r>
      <w:r>
        <w:rPr>
          <w:i/>
          <w:sz w:val="24"/>
        </w:rPr>
        <w:t xml:space="preserve"> S </w:t>
      </w:r>
      <w:r>
        <w:rPr>
          <w:sz w:val="24"/>
        </w:rPr>
        <w:t xml:space="preserve">propose un module, nommé </w:t>
      </w:r>
      <w:r>
        <w:rPr>
          <w:i/>
          <w:sz w:val="24"/>
        </w:rPr>
        <w:t xml:space="preserve">IIIF Server</w:t>
      </w:r>
      <w:r>
        <w:rPr>
          <w:sz w:val="24"/>
        </w:rPr>
        <w:t xml:space="preserve">, qui met à disposition des utilisateurs un serveur IIIF intégré. Lorsqu’un contenu est ajouté, le module génère automatiquement un manifeste. Si cette solution est appréciable parce qu’elle permet de gérer les manifestes depuis </w:t>
      </w:r>
      <w:r>
        <w:rPr>
          <w:i/>
          <w:sz w:val="24"/>
        </w:rPr>
        <w:t xml:space="preserve">Omeka</w:t>
      </w:r>
      <w:r>
        <w:rPr>
          <w:sz w:val="24"/>
        </w:rPr>
        <w:t xml:space="preserve">, elle soulève cependant des questions de conservation sur le long terme. </w:t>
      </w:r>
      <w:r>
        <w:rPr>
          <w:sz w:val="24"/>
        </w:rPr>
      </w:r>
    </w:p>
    <w:p w14:paraId="443E7C0A" w14:textId="47BBBDA1">
      <w:pPr>
        <w:pBdr/>
        <w:spacing/>
        <w:ind/>
        <w:jc w:val="both"/>
        <w:rPr>
          <w:sz w:val="24"/>
        </w:rPr>
      </w:pPr>
      <w:r>
        <w:rPr>
          <w:sz w:val="24"/>
        </w:rPr>
        <w:t xml:space="preserve">p.258 :</w:t>
      </w:r>
      <w:r>
        <w:rPr>
          <w:sz w:val="24"/>
        </w:rPr>
      </w:r>
    </w:p>
    <w:p w14:paraId="0866A73A" w14:textId="189D4942">
      <w:pPr>
        <w:pBdr/>
        <w:spacing/>
        <w:ind/>
        <w:jc w:val="both"/>
        <w:rPr>
          <w:sz w:val="24"/>
        </w:rPr>
      </w:pPr>
      <w:r>
        <w:rPr>
          <w:sz w:val="24"/>
        </w:rPr>
        <w:t xml:space="preserve">Les manifestes sont en effet générés dynamiquement et ne sont pas stockés de manière pérenne sur un serveur. Cela implique que, si </w:t>
      </w:r>
      <w:r>
        <w:rPr>
          <w:i/>
          <w:sz w:val="24"/>
        </w:rPr>
        <w:t xml:space="preserve">Fonte Gaia</w:t>
      </w:r>
      <w:r>
        <w:rPr>
          <w:sz w:val="24"/>
        </w:rPr>
        <w:t xml:space="preserve"> choisit de changer de technologies et de ne plus recourir à </w:t>
      </w:r>
      <w:r>
        <w:rPr>
          <w:i/>
          <w:sz w:val="24"/>
        </w:rPr>
        <w:t xml:space="preserve">Omeka</w:t>
      </w:r>
      <w:r>
        <w:rPr>
          <w:i/>
          <w:sz w:val="24"/>
        </w:rPr>
        <w:t xml:space="preserve">, </w:t>
      </w:r>
      <w:r>
        <w:rPr>
          <w:sz w:val="24"/>
        </w:rPr>
        <w:t xml:space="preserve">elle perdra ses manifestes. Une solution serait alors de stocker les manifestes générés par </w:t>
      </w:r>
      <w:r>
        <w:rPr>
          <w:i/>
          <w:sz w:val="24"/>
        </w:rPr>
        <w:t xml:space="preserve">Omeka</w:t>
      </w:r>
      <w:r>
        <w:rPr>
          <w:i/>
          <w:sz w:val="24"/>
        </w:rPr>
        <w:t xml:space="preserve"> S </w:t>
      </w:r>
      <w:r>
        <w:rPr>
          <w:sz w:val="24"/>
        </w:rPr>
        <w:t xml:space="preserve">sur un serveur externe. Cependant, il est difficile d’intervenir sur les manifestes produits sur </w:t>
      </w:r>
      <w:r>
        <w:rPr>
          <w:i/>
          <w:sz w:val="24"/>
        </w:rPr>
        <w:t xml:space="preserve">Omeka</w:t>
      </w:r>
      <w:r>
        <w:rPr>
          <w:i/>
          <w:sz w:val="24"/>
        </w:rPr>
        <w:t xml:space="preserve"> </w:t>
      </w:r>
      <w:r>
        <w:rPr>
          <w:sz w:val="24"/>
        </w:rPr>
        <w:t xml:space="preserve">pour intégrer de nouvelles annotations telle qu’une table des matières ou une transcription. </w:t>
      </w:r>
      <w:r>
        <w:rPr>
          <w:sz w:val="24"/>
        </w:rPr>
        <w:t xml:space="preserve">Pour cela, il faut créer et ajouter de nouveaux modules à </w:t>
      </w:r>
      <w:r>
        <w:rPr>
          <w:i/>
          <w:sz w:val="24"/>
        </w:rPr>
        <w:t xml:space="preserve">Omeka</w:t>
      </w:r>
      <w:r>
        <w:rPr>
          <w:i/>
          <w:sz w:val="24"/>
        </w:rPr>
        <w:t xml:space="preserve"> S</w:t>
      </w:r>
      <w:r>
        <w:rPr>
          <w:sz w:val="24"/>
        </w:rPr>
        <w:t xml:space="preserve">, ce qui compliquerait son infrastructure et le travail de maintenance. </w:t>
      </w:r>
      <w:r>
        <w:rPr>
          <w:sz w:val="24"/>
        </w:rPr>
      </w:r>
    </w:p>
    <w:p w14:paraId="65103135" w14:textId="70232040">
      <w:pPr>
        <w:pBdr/>
        <w:spacing/>
        <w:ind/>
        <w:jc w:val="both"/>
        <w:rPr>
          <w:sz w:val="24"/>
        </w:rPr>
      </w:pPr>
      <w:r>
        <w:rPr>
          <w:sz w:val="24"/>
        </w:rPr>
        <w:t xml:space="preserve">Solutions prises par la bibliothèque : les images sont stockées sur un serveur IIIF externe et les manifestes sont générés en dehors d’</w:t>
      </w:r>
      <w:r>
        <w:rPr>
          <w:i/>
          <w:sz w:val="24"/>
        </w:rPr>
        <w:t xml:space="preserve">Omeka</w:t>
      </w:r>
      <w:r>
        <w:rPr>
          <w:i/>
          <w:sz w:val="24"/>
        </w:rPr>
        <w:t xml:space="preserve"> </w:t>
      </w:r>
      <w:r>
        <w:rPr>
          <w:sz w:val="24"/>
        </w:rPr>
        <w:t xml:space="preserve">à l’aide d’un outil spécifique. Choix d’utiliser IIIF </w:t>
      </w:r>
      <w:r>
        <w:rPr>
          <w:i/>
          <w:sz w:val="24"/>
        </w:rPr>
        <w:t xml:space="preserve">Prezi</w:t>
      </w:r>
      <w:r>
        <w:rPr>
          <w:i/>
          <w:sz w:val="24"/>
        </w:rPr>
        <w:t xml:space="preserve"> </w:t>
      </w:r>
      <w:r>
        <w:rPr>
          <w:sz w:val="24"/>
        </w:rPr>
        <w:t xml:space="preserve">pour générer les manifestes, et le serveur </w:t>
      </w:r>
      <w:r>
        <w:rPr>
          <w:i/>
          <w:sz w:val="24"/>
        </w:rPr>
        <w:t xml:space="preserve">Cantaloupe</w:t>
      </w:r>
      <w:r>
        <w:rPr>
          <w:sz w:val="24"/>
        </w:rPr>
        <w:t xml:space="preserve"> pour stocker les images.</w:t>
      </w:r>
      <w:r>
        <w:rPr>
          <w:sz w:val="24"/>
        </w:rPr>
      </w:r>
    </w:p>
    <w:p w14:paraId="0E99283F" w14:textId="2EF928ED">
      <w:pPr>
        <w:pBdr/>
        <w:spacing/>
        <w:ind/>
        <w:jc w:val="both"/>
        <w:rPr>
          <w:sz w:val="24"/>
        </w:rPr>
      </w:pPr>
      <w:r>
        <w:rPr>
          <w:sz w:val="24"/>
        </w:rPr>
        <w:t xml:space="preserve">p.259 : proposition minimale : l’élaboration d’un socle de base</w:t>
      </w:r>
      <w:r>
        <w:rPr>
          <w:sz w:val="24"/>
        </w:rPr>
      </w:r>
    </w:p>
    <w:p w14:paraId="27A3E603" w14:textId="6980B38D">
      <w:pPr>
        <w:pBdr/>
        <w:spacing/>
        <w:ind/>
        <w:jc w:val="both"/>
        <w:rPr>
          <w:sz w:val="24"/>
        </w:rPr>
      </w:pPr>
      <w:r>
        <w:rPr>
          <w:sz w:val="24"/>
        </w:rPr>
        <w:t xml:space="preserve">services</w:t>
      </w:r>
      <w:r>
        <w:rPr>
          <w:sz w:val="24"/>
        </w:rPr>
        <w:t xml:space="preserve"> qui sont dédiés à la recherche, à la consultation et au téléchargement, et correspondent aux services qui caractérisent le rôle du lecteur-passant, et dont les autres rôles utilisateurs héritent. </w:t>
      </w:r>
      <w:r>
        <w:rPr>
          <w:sz w:val="24"/>
        </w:rPr>
        <w:t xml:space="preserve">Ils placent les utilisateurs dans une position de consommateurs de </w:t>
      </w:r>
      <w:r>
        <w:rPr>
          <w:sz w:val="24"/>
        </w:rPr>
        <w:t xml:space="preserve">contenus, en leur proposant une boîte à outils minimale pour manipuler et réutiliser les contenus. </w:t>
      </w:r>
      <w:r>
        <w:rPr>
          <w:sz w:val="24"/>
        </w:rPr>
      </w:r>
    </w:p>
    <w:p w14:paraId="09750C41" w14:textId="4E85C0B1">
      <w:pPr>
        <w:pBdr/>
        <w:spacing/>
        <w:ind/>
        <w:jc w:val="both"/>
        <w:rPr>
          <w:sz w:val="24"/>
        </w:rPr>
      </w:pPr>
      <w:r>
        <w:rPr>
          <w:sz w:val="24"/>
        </w:rPr>
        <w:t xml:space="preserve">Chemin fictif d’un lecteur : il arrive sur l’interface, il recherche des contenus soit en entrant des mots-clés dans la barre de recherche simple, soit en explor</w:t>
      </w:r>
      <w:r>
        <w:rPr>
          <w:sz w:val="24"/>
        </w:rPr>
        <w:t xml:space="preserve">ant et en filtrant au hasard les collections. Dans les deux cas, la bibliothèque affiche à l’utilisateur une liste de résultats, parmi lesquels il sélectionne des contenus. Une fois un contenu sélectionné, l’utilisateur accède à sa notice, ainsi qu’à un ou</w:t>
      </w:r>
      <w:r>
        <w:rPr>
          <w:sz w:val="24"/>
        </w:rPr>
        <w:t xml:space="preserve">til de visualisation, qui lui permettent de contextualiser et de parcourir ce contenu. Au terme de cette consultation, qui peut prendre un temps variable, l’utilisateur a la possibilité de télécharger ou de partager sur ses réseaux le contenu sélectionné. </w:t>
      </w:r>
      <w:r>
        <w:rPr>
          <w:sz w:val="24"/>
        </w:rPr>
      </w:r>
    </w:p>
    <w:p w14:paraId="7C3E1CC4" w14:textId="766D0B40">
      <w:pPr>
        <w:pBdr/>
        <w:spacing/>
        <w:ind/>
        <w:jc w:val="both"/>
        <w:rPr>
          <w:sz w:val="24"/>
        </w:rPr>
      </w:pPr>
      <w:r>
        <w:rPr>
          <w:sz w:val="24"/>
        </w:rPr>
        <w:t xml:space="preserve">p.260 : les fonctionnalités de recherche : la recherche simple et l’exploration à facettes</w:t>
      </w:r>
      <w:r>
        <w:rPr>
          <w:sz w:val="24"/>
        </w:rPr>
      </w:r>
    </w:p>
    <w:p w14:paraId="5055873E" w14:textId="5B0DADB6">
      <w:pPr>
        <w:pBdr/>
        <w:spacing/>
        <w:ind/>
        <w:jc w:val="both"/>
        <w:rPr>
          <w:sz w:val="24"/>
        </w:rPr>
      </w:pPr>
      <w:r>
        <w:rPr>
          <w:sz w:val="24"/>
        </w:rPr>
        <w:t xml:space="preserve">les</w:t>
      </w:r>
      <w:r>
        <w:rPr>
          <w:sz w:val="24"/>
        </w:rPr>
        <w:t xml:space="preserve"> études réalisées sur les systèmes d’information […] ont démontré que la recherche simple est la modalité </w:t>
      </w:r>
      <w:r>
        <w:rPr>
          <w:sz w:val="24"/>
        </w:rPr>
        <w:t xml:space="preserve">de recherche principalement employée par les utilisateurs. </w:t>
      </w:r>
      <w:r>
        <w:rPr>
          <w:sz w:val="24"/>
        </w:rPr>
      </w:r>
    </w:p>
    <w:p w14:paraId="4B84917B" w14:textId="7E98904D">
      <w:pPr>
        <w:pBdr/>
        <w:spacing/>
        <w:ind/>
        <w:jc w:val="both"/>
        <w:rPr>
          <w:sz w:val="24"/>
        </w:rPr>
      </w:pPr>
      <w:r>
        <w:rPr>
          <w:sz w:val="24"/>
        </w:rPr>
        <w:t xml:space="preserve">Service incontournable pour les utilisateurs, hérité de pratiques acquises sur d’autres plateformes sur le Web. Cette fonctionnalité mime d</w:t>
      </w:r>
      <w:r>
        <w:rPr>
          <w:sz w:val="24"/>
        </w:rPr>
        <w:t xml:space="preserve">’une part le comportement des moteurs de recherche, afin de créer un environnement familier pour l’utilisateur, et d’autre part crée une identité numérique commune avec les autres portails patrimoniaux, aussi bien généraux que thématiques, qui ont égalemen</w:t>
      </w:r>
      <w:r>
        <w:rPr>
          <w:sz w:val="24"/>
        </w:rPr>
        <w:t xml:space="preserve">t recours à une barre de recherche centrée sur l’interface. Constitue le point d’entrée principal afin d’entrer en résonance avec les pratiques des utilisateurs et de leur donner un accès continu aux données depuis n’importe quelle page de la bibliothèque.</w:t>
      </w:r>
      <w:r>
        <w:rPr>
          <w:sz w:val="24"/>
        </w:rPr>
      </w:r>
    </w:p>
    <w:p w14:paraId="3DE4E364" w14:textId="2E4266E4">
      <w:pPr>
        <w:pBdr/>
        <w:spacing/>
        <w:ind/>
        <w:jc w:val="both"/>
        <w:rPr>
          <w:sz w:val="24"/>
        </w:rPr>
      </w:pPr>
      <w:r>
        <w:rPr>
          <w:sz w:val="24"/>
        </w:rPr>
        <w:t xml:space="preserve">p.261 : </w:t>
      </w:r>
      <w:r>
        <w:rPr>
          <w:sz w:val="24"/>
        </w:rPr>
      </w:r>
    </w:p>
    <w:p w14:paraId="44721524" w14:textId="0AA32491">
      <w:pPr>
        <w:pBdr/>
        <w:spacing/>
        <w:ind/>
        <w:jc w:val="both"/>
        <w:rPr>
          <w:sz w:val="24"/>
        </w:rPr>
      </w:pPr>
      <w:r>
        <w:rPr>
          <w:sz w:val="24"/>
        </w:rPr>
        <w:t xml:space="preserve">la</w:t>
      </w:r>
      <w:r>
        <w:rPr>
          <w:sz w:val="24"/>
        </w:rPr>
        <w:t xml:space="preserve"> recherche s’e</w:t>
      </w:r>
      <w:r>
        <w:rPr>
          <w:sz w:val="24"/>
        </w:rPr>
        <w:t xml:space="preserve">ffectue en plusieurs étapes. Dans un premier temps, l’utilisateur exprime un besoin d’information qu’il formule avec une requête, posée à un moteur de recherche. Il examine ensuite les résultats, améliore sa requête et estime si le besoin a été rencontré. </w:t>
      </w:r>
      <w:r>
        <w:rPr>
          <w:sz w:val="24"/>
        </w:rPr>
      </w:r>
    </w:p>
    <w:p w14:paraId="2FBE7F15" w14:textId="4B2BD1FB">
      <w:pPr>
        <w:pBdr/>
        <w:spacing/>
        <w:ind/>
        <w:jc w:val="both"/>
        <w:rPr>
          <w:sz w:val="24"/>
        </w:rPr>
      </w:pPr>
      <w:r>
        <w:rPr>
          <w:sz w:val="24"/>
        </w:rPr>
        <w:t xml:space="preserve">p.262 : </w:t>
      </w:r>
      <w:r>
        <w:rPr>
          <w:sz w:val="24"/>
        </w:rPr>
      </w:r>
    </w:p>
    <w:p w14:paraId="6B235975" w14:textId="2A251B30">
      <w:pPr>
        <w:pBdr/>
        <w:spacing/>
        <w:ind/>
        <w:jc w:val="both"/>
        <w:rPr>
          <w:sz w:val="24"/>
        </w:rPr>
      </w:pPr>
      <w:r>
        <w:rPr>
          <w:sz w:val="24"/>
        </w:rPr>
        <w:t xml:space="preserve">l’exploration</w:t>
      </w:r>
      <w:r>
        <w:rPr>
          <w:sz w:val="24"/>
        </w:rPr>
        <w:t xml:space="preserve"> a été sous-étudiée et peu mise en avant dans les systèmes d’informations et les bibliothèq</w:t>
      </w:r>
      <w:r>
        <w:rPr>
          <w:sz w:val="24"/>
        </w:rPr>
        <w:t xml:space="preserve">u</w:t>
      </w:r>
      <w:r>
        <w:rPr>
          <w:sz w:val="24"/>
        </w:rPr>
        <w:t xml:space="preserve">es numériques. </w:t>
      </w:r>
      <w:r>
        <w:rPr>
          <w:sz w:val="24"/>
        </w:rPr>
        <w:t xml:space="preserve">Une série d’études sur la place de l’exploration dans la recherche et la sélection de livres numériques a démontré que la majorité des utilisateurs regrettent de ne pas avoir les mêmes possibilités d’exploration dans une biblioth</w:t>
      </w:r>
      <w:r>
        <w:rPr>
          <w:sz w:val="24"/>
        </w:rPr>
        <w:t xml:space="preserve">èque numérique que dans une bibliothèque physique, où la conception même des étagères vise à encourager l’exploration et la sérendipité, c’est-à-dire la découverte de documents inattendus, qui fait partie intégrante du processus de recherche d’information.</w:t>
      </w:r>
      <w:r>
        <w:rPr>
          <w:sz w:val="24"/>
        </w:rPr>
      </w:r>
    </w:p>
    <w:p w14:paraId="6C90D8DA" w14:textId="46E61589">
      <w:pPr>
        <w:pBdr/>
        <w:spacing/>
        <w:ind/>
        <w:jc w:val="both"/>
        <w:rPr>
          <w:sz w:val="24"/>
        </w:rPr>
      </w:pPr>
      <w:r>
        <w:rPr>
          <w:sz w:val="24"/>
        </w:rPr>
        <w:t xml:space="preserve">Les possibilités d’exploration sont le plus souvent réduites au tri à l’aide de facettes, qui s’il est incontournable, n’est pas suffisant pour encourager l’exploration. </w:t>
      </w:r>
      <w:r>
        <w:rPr>
          <w:sz w:val="24"/>
        </w:rPr>
        <w:t xml:space="preserve">Cela conduit alors à une sous-utilisation des fonctionnalités d’exploration, que l’on retrouve dans nos études utilisateur. </w:t>
      </w:r>
      <w:r>
        <w:rPr>
          <w:sz w:val="24"/>
        </w:rPr>
      </w:r>
    </w:p>
    <w:p w14:paraId="03D505C2" w14:textId="6E35F0D9">
      <w:pPr>
        <w:pBdr/>
        <w:spacing/>
        <w:ind/>
        <w:jc w:val="both"/>
        <w:rPr>
          <w:sz w:val="24"/>
        </w:rPr>
      </w:pPr>
      <w:r>
        <w:rPr>
          <w:sz w:val="24"/>
        </w:rPr>
        <w:t xml:space="preserve">Toutefois, élaborer un service qui supporte l’exploration et la sérendipité peut avoir l’effet inverse de celui attendu. En effet, un tel service tendrait à habituer l’utilisateur à la sérendipité </w:t>
      </w:r>
      <w:r>
        <w:rPr>
          <w:sz w:val="24"/>
        </w:rPr>
        <w:t xml:space="preserve">et le conduirait donc à attendre l’inattendu, ce qui annulerait alors ses chances de tomber par hasard sur une ressource intéressante. </w:t>
      </w:r>
      <w:r>
        <w:rPr>
          <w:sz w:val="24"/>
        </w:rPr>
      </w:r>
    </w:p>
    <w:p w14:paraId="2665ACCB" w14:textId="0B9214C8">
      <w:pPr>
        <w:pBdr/>
        <w:spacing/>
        <w:ind/>
        <w:jc w:val="both"/>
        <w:rPr>
          <w:sz w:val="24"/>
        </w:rPr>
      </w:pPr>
      <w:r>
        <w:rPr>
          <w:sz w:val="24"/>
        </w:rPr>
        <w:t xml:space="preserve">p.262-263 :</w:t>
      </w:r>
      <w:r>
        <w:rPr>
          <w:sz w:val="24"/>
        </w:rPr>
      </w:r>
    </w:p>
    <w:p w14:paraId="7E33EDA8" w14:textId="4957F412">
      <w:pPr>
        <w:pBdr/>
        <w:spacing w:after="0" w:line="240" w:lineRule="auto"/>
        <w:ind/>
        <w:jc w:val="both"/>
        <w:rPr>
          <w:rFonts w:cstheme="minorHAnsi"/>
          <w:sz w:val="24"/>
          <w:szCs w:val="24"/>
        </w:rPr>
      </w:pPr>
      <w:r>
        <w:rPr>
          <w:rFonts w:cstheme="minorHAnsi"/>
          <w:sz w:val="24"/>
          <w:szCs w:val="24"/>
        </w:rPr>
        <w:t xml:space="preserve">Makri</w:t>
      </w:r>
      <w:r>
        <w:rPr>
          <w:rFonts w:cstheme="minorHAnsi"/>
          <w:sz w:val="24"/>
          <w:szCs w:val="24"/>
        </w:rPr>
        <w:t xml:space="preserve"> </w:t>
      </w:r>
      <w:r>
        <w:rPr>
          <w:rFonts w:cstheme="minorHAnsi"/>
          <w:i/>
          <w:iCs/>
          <w:sz w:val="24"/>
          <w:szCs w:val="24"/>
        </w:rPr>
        <w:t xml:space="preserve">et al. </w:t>
      </w:r>
      <w:r>
        <w:rPr>
          <w:rFonts w:cstheme="minorHAnsi"/>
          <w:sz w:val="24"/>
          <w:szCs w:val="24"/>
        </w:rPr>
        <w:t xml:space="preserve">ont identifié sept stratégies pouvant augmenter la sérendipité lors d’une exploration ou d’une recherche : varier les routines, en plaçant sur le chemin de l’utilisateur des éléments auxquels il n’aurait pas pensé s’il avait s</w:t>
      </w:r>
      <w:r>
        <w:rPr>
          <w:rFonts w:cstheme="minorHAnsi"/>
          <w:sz w:val="24"/>
          <w:szCs w:val="24"/>
        </w:rPr>
        <w:t xml:space="preserve">uivi une routine habituelle ; favoriser l’observation, en proposant des changements réguliers sur l’interface, qui invitent l’utilisateur à être plus attentif à l’environnement ; créer des espaces mentaux, en proposant des formes de personnalisation de l’i</w:t>
      </w:r>
      <w:r>
        <w:rPr>
          <w:rFonts w:cstheme="minorHAnsi"/>
          <w:sz w:val="24"/>
          <w:szCs w:val="24"/>
        </w:rPr>
        <w:t xml:space="preserve">nterface (triage, catégorisation, annotations) ; assouplir les frontières entre les disciplines ; s’appuyer sur des expériences que les utilisateurs ont eu précédemment sur la plateforme afin de faire des connexions entre différentes recherches ou actions </w:t>
      </w:r>
      <w:r>
        <w:rPr>
          <w:rFonts w:cstheme="minorHAnsi"/>
          <w:sz w:val="24"/>
          <w:szCs w:val="24"/>
        </w:rPr>
        <w:t xml:space="preserve">qu’ils ont effectuées ; mettre en avant des éléments communs entre les résultats, qui permettent de donner du sens à ces derniers, de faire des connexions entre eux et découvrir des documents inattendus ; saisir les opportunités de nouvelles recherches, en</w:t>
      </w:r>
      <w:r>
        <w:rPr>
          <w:rFonts w:cstheme="minorHAnsi"/>
          <w:sz w:val="24"/>
          <w:szCs w:val="24"/>
        </w:rPr>
        <w:t xml:space="preserve"> </w:t>
      </w:r>
      <w:r>
        <w:rPr>
          <w:rFonts w:cstheme="minorHAnsi"/>
          <w:sz w:val="24"/>
          <w:szCs w:val="24"/>
        </w:rPr>
        <w:t xml:space="preserve">suivant par exemple les recherches d’un autre utilisateur (</w:t>
      </w:r>
      <w:r>
        <w:rPr>
          <w:rFonts w:cstheme="minorHAnsi"/>
          <w:sz w:val="24"/>
          <w:szCs w:val="24"/>
        </w:rPr>
        <w:t xml:space="preserve">Makri</w:t>
      </w:r>
      <w:r>
        <w:rPr>
          <w:rFonts w:cstheme="minorHAnsi"/>
          <w:sz w:val="24"/>
          <w:szCs w:val="24"/>
        </w:rPr>
        <w:t xml:space="preserve"> </w:t>
      </w:r>
      <w:r>
        <w:rPr>
          <w:rFonts w:cstheme="minorHAnsi"/>
          <w:i/>
          <w:iCs/>
          <w:sz w:val="24"/>
          <w:szCs w:val="24"/>
        </w:rPr>
        <w:t xml:space="preserve">et al. </w:t>
      </w:r>
      <w:r>
        <w:rPr>
          <w:rFonts w:cstheme="minorHAnsi"/>
          <w:sz w:val="24"/>
          <w:szCs w:val="24"/>
        </w:rPr>
        <w:t xml:space="preserve">2014, 10</w:t>
      </w:r>
      <w:r>
        <w:rPr>
          <w:rFonts w:ascii="Cambria Math" w:hAnsi="Cambria Math" w:cs="Cambria Math"/>
          <w:sz w:val="24"/>
          <w:szCs w:val="24"/>
        </w:rPr>
        <w:t xml:space="preserve">‑</w:t>
      </w:r>
      <w:r>
        <w:rPr>
          <w:rFonts w:cstheme="minorHAnsi"/>
          <w:sz w:val="24"/>
          <w:szCs w:val="24"/>
        </w:rPr>
        <w:t xml:space="preserve">17).</w:t>
      </w:r>
      <w:r>
        <w:rPr>
          <w:rFonts w:cstheme="minorHAnsi"/>
          <w:sz w:val="24"/>
          <w:szCs w:val="24"/>
        </w:rPr>
      </w:r>
    </w:p>
    <w:p w14:paraId="4E3B1FAB" w14:textId="3388B2AC">
      <w:pPr>
        <w:pBdr/>
        <w:spacing w:after="0" w:line="240" w:lineRule="auto"/>
        <w:ind/>
        <w:jc w:val="both"/>
        <w:rPr>
          <w:rFonts w:cstheme="minorHAnsi"/>
          <w:sz w:val="24"/>
          <w:szCs w:val="24"/>
        </w:rPr>
      </w:pPr>
      <w:r>
        <w:rPr>
          <w:rFonts w:cstheme="minorHAnsi"/>
          <w:sz w:val="24"/>
          <w:szCs w:val="24"/>
        </w:rPr>
      </w:r>
      <w:r>
        <w:rPr>
          <w:rFonts w:cstheme="minorHAnsi"/>
          <w:sz w:val="24"/>
          <w:szCs w:val="24"/>
        </w:rPr>
      </w:r>
    </w:p>
    <w:p w14:paraId="1E3B2F47" w14:textId="00E57DB0">
      <w:pPr>
        <w:pBdr/>
        <w:spacing w:after="0" w:line="240" w:lineRule="auto"/>
        <w:ind/>
        <w:jc w:val="both"/>
        <w:rPr>
          <w:rFonts w:cstheme="minorHAnsi"/>
          <w:sz w:val="24"/>
          <w:szCs w:val="24"/>
        </w:rPr>
      </w:pPr>
      <w:r>
        <w:rPr>
          <w:rFonts w:cstheme="minorHAnsi"/>
          <w:sz w:val="24"/>
          <w:szCs w:val="24"/>
        </w:rPr>
        <w:t xml:space="preserve">p.264 :</w:t>
      </w:r>
      <w:r>
        <w:rPr>
          <w:rFonts w:cstheme="minorHAnsi"/>
          <w:sz w:val="24"/>
          <w:szCs w:val="24"/>
        </w:rPr>
      </w:r>
    </w:p>
    <w:p w14:paraId="7F136F72" w14:textId="33BAE0E3">
      <w:pPr>
        <w:pBdr/>
        <w:spacing w:after="0" w:line="240" w:lineRule="auto"/>
        <w:ind/>
        <w:jc w:val="both"/>
        <w:rPr>
          <w:rFonts w:cstheme="minorHAnsi"/>
          <w:sz w:val="24"/>
          <w:szCs w:val="24"/>
        </w:rPr>
      </w:pPr>
      <w:r>
        <w:rPr>
          <w:rFonts w:cstheme="minorHAnsi"/>
          <w:sz w:val="24"/>
          <w:szCs w:val="24"/>
        </w:rPr>
        <w:t xml:space="preserve">les</w:t>
      </w:r>
      <w:r>
        <w:rPr>
          <w:rFonts w:cstheme="minorHAnsi"/>
          <w:sz w:val="24"/>
          <w:szCs w:val="24"/>
        </w:rPr>
        <w:t xml:space="preserve"> facettes reflètent la manière dont la bibliothèque numérique a pensé ses collections et aident ainsi l’utilisateur à apprendre empiriquement l’organisation des collections et à navigu</w:t>
      </w:r>
      <w:r>
        <w:rPr>
          <w:rFonts w:cstheme="minorHAnsi"/>
          <w:sz w:val="24"/>
          <w:szCs w:val="24"/>
        </w:rPr>
        <w:t xml:space="preserve">er parmi les contenus. Les filtres répondent tout d’abord à la stratégie de l’espace mental : l’utilisateur est libre de trier les résultats comme il le souhaite et de se ménager une liste de contenus qui répond à ses objectifs au moment de sa navigation. </w:t>
      </w:r>
      <w:r>
        <w:rPr>
          <w:rFonts w:cstheme="minorHAnsi"/>
          <w:sz w:val="24"/>
          <w:szCs w:val="24"/>
        </w:rPr>
      </w:r>
    </w:p>
    <w:p w14:paraId="2352431A" w14:textId="25E4FFBC">
      <w:pPr>
        <w:pBdr/>
        <w:spacing w:after="0" w:line="240" w:lineRule="auto"/>
        <w:ind/>
        <w:jc w:val="both"/>
        <w:rPr>
          <w:rFonts w:cstheme="minorHAnsi"/>
          <w:sz w:val="24"/>
          <w:szCs w:val="24"/>
        </w:rPr>
      </w:pPr>
      <w:r>
        <w:rPr>
          <w:rFonts w:cstheme="minorHAnsi"/>
          <w:sz w:val="24"/>
          <w:szCs w:val="24"/>
        </w:rPr>
      </w:r>
      <w:r>
        <w:rPr>
          <w:rFonts w:cstheme="minorHAnsi"/>
          <w:sz w:val="24"/>
          <w:szCs w:val="24"/>
        </w:rPr>
      </w:r>
    </w:p>
    <w:p w14:paraId="5D33871E" w14:textId="0B2FCA0D">
      <w:pPr>
        <w:pBdr/>
        <w:spacing w:after="0" w:line="240" w:lineRule="auto"/>
        <w:ind/>
        <w:jc w:val="both"/>
        <w:rPr>
          <w:rFonts w:cstheme="minorHAnsi"/>
          <w:sz w:val="24"/>
          <w:szCs w:val="24"/>
        </w:rPr>
      </w:pPr>
      <w:r>
        <w:rPr>
          <w:rFonts w:cstheme="minorHAnsi"/>
          <w:sz w:val="24"/>
          <w:szCs w:val="24"/>
        </w:rPr>
        <w:t xml:space="preserve">Les filtres permettent de s’appuyer sur les expériences de recherche et de sélection des contenus des utilisateurs d</w:t>
      </w:r>
      <w:r>
        <w:rPr>
          <w:rFonts w:cstheme="minorHAnsi"/>
          <w:sz w:val="24"/>
          <w:szCs w:val="24"/>
        </w:rPr>
        <w:t xml:space="preserve">ans d’autres contextes. En effet, les études qui ont observé le comportement des usagers lors du choix d’ouvrages dans les bibliothèques physiques ont mis en avant plusieurs stratégies adoptées par les usagers et transposables aux bibliothèques numériques.</w:t>
      </w:r>
      <w:r>
        <w:rPr>
          <w:rFonts w:cstheme="minorHAnsi"/>
          <w:sz w:val="24"/>
          <w:szCs w:val="24"/>
        </w:rPr>
      </w:r>
    </w:p>
    <w:p w14:paraId="4367025B" w14:textId="2C6B54FA">
      <w:pPr>
        <w:pBdr/>
        <w:spacing w:after="0" w:line="240" w:lineRule="auto"/>
        <w:ind/>
        <w:jc w:val="both"/>
        <w:rPr>
          <w:rFonts w:cstheme="minorHAnsi"/>
          <w:sz w:val="24"/>
          <w:szCs w:val="24"/>
        </w:rPr>
      </w:pPr>
      <w:r>
        <w:rPr>
          <w:rFonts w:cstheme="minorHAnsi"/>
          <w:sz w:val="24"/>
          <w:szCs w:val="24"/>
        </w:rPr>
        <w:t xml:space="preserve">p.265 : </w:t>
      </w:r>
      <w:r>
        <w:rPr>
          <w:rFonts w:cstheme="minorHAnsi"/>
          <w:sz w:val="24"/>
          <w:szCs w:val="24"/>
        </w:rPr>
      </w:r>
    </w:p>
    <w:p w14:paraId="2CA7C3BA" w14:textId="16B60883">
      <w:pPr>
        <w:pBdr/>
        <w:spacing w:after="0" w:line="240" w:lineRule="auto"/>
        <w:ind/>
        <w:jc w:val="both"/>
        <w:rPr>
          <w:rFonts w:cstheme="minorHAnsi"/>
          <w:sz w:val="24"/>
          <w:szCs w:val="24"/>
        </w:rPr>
      </w:pPr>
      <w:r>
        <w:rPr>
          <w:rFonts w:cstheme="minorHAnsi"/>
          <w:sz w:val="24"/>
          <w:szCs w:val="24"/>
        </w:rPr>
        <w:t xml:space="preserve">Utilisation</w:t>
      </w:r>
      <w:r>
        <w:rPr>
          <w:rFonts w:cstheme="minorHAnsi"/>
          <w:sz w:val="24"/>
          <w:szCs w:val="24"/>
        </w:rPr>
        <w:t xml:space="preserve"> du moteur de recherche SolR, un moteur de recherche proposant une indexation des contenus avec un haut niveau de granularité. </w:t>
      </w:r>
      <w:r>
        <w:rPr>
          <w:rFonts w:cstheme="minorHAnsi"/>
          <w:i/>
          <w:sz w:val="24"/>
          <w:szCs w:val="24"/>
        </w:rPr>
        <w:t xml:space="preserve">Omeka</w:t>
      </w:r>
      <w:r>
        <w:rPr>
          <w:rFonts w:cstheme="minorHAnsi"/>
          <w:i/>
          <w:sz w:val="24"/>
          <w:szCs w:val="24"/>
        </w:rPr>
        <w:t xml:space="preserve"> S </w:t>
      </w:r>
      <w:r>
        <w:rPr>
          <w:rFonts w:cstheme="minorHAnsi"/>
          <w:sz w:val="24"/>
          <w:szCs w:val="24"/>
        </w:rPr>
        <w:t xml:space="preserve">n’offre que deux possibilités pour gérer les fonctionnalités de recherche : son outil de recherche par défaut, qui permet de faire des recherches si</w:t>
      </w:r>
      <w:r>
        <w:rPr>
          <w:rFonts w:cstheme="minorHAnsi"/>
          <w:sz w:val="24"/>
          <w:szCs w:val="24"/>
        </w:rPr>
        <w:t xml:space="preserve">m</w:t>
      </w:r>
      <w:r>
        <w:rPr>
          <w:rFonts w:cstheme="minorHAnsi"/>
          <w:sz w:val="24"/>
          <w:szCs w:val="24"/>
        </w:rPr>
        <w:t xml:space="preserve">ples ou avancées, et SolR, proposé sous la forme d’un module à ajouter au noyau de base d’</w:t>
      </w:r>
      <w:r>
        <w:rPr>
          <w:rFonts w:cstheme="minorHAnsi"/>
          <w:sz w:val="24"/>
          <w:szCs w:val="24"/>
        </w:rPr>
        <w:t xml:space="preserve">Omeka</w:t>
      </w:r>
      <w:r>
        <w:rPr>
          <w:rFonts w:cstheme="minorHAnsi"/>
          <w:sz w:val="24"/>
          <w:szCs w:val="24"/>
        </w:rPr>
        <w:t xml:space="preserve"> S.</w:t>
      </w:r>
      <w:r>
        <w:rPr>
          <w:rFonts w:cstheme="minorHAnsi"/>
          <w:sz w:val="24"/>
          <w:szCs w:val="24"/>
        </w:rPr>
        <w:t xml:space="preserve"> </w:t>
      </w:r>
      <w:r>
        <w:rPr>
          <w:rFonts w:cstheme="minorHAnsi"/>
          <w:sz w:val="24"/>
          <w:szCs w:val="24"/>
        </w:rPr>
      </w:r>
    </w:p>
    <w:p w14:paraId="60713AAB" w14:textId="0ADF604D">
      <w:pPr>
        <w:pBdr/>
        <w:spacing w:after="0" w:line="240" w:lineRule="auto"/>
        <w:ind/>
        <w:jc w:val="both"/>
        <w:rPr>
          <w:rFonts w:cstheme="minorHAnsi"/>
          <w:sz w:val="24"/>
          <w:szCs w:val="24"/>
        </w:rPr>
      </w:pPr>
      <w:r>
        <w:rPr>
          <w:rFonts w:cstheme="minorHAnsi"/>
          <w:sz w:val="24"/>
          <w:szCs w:val="24"/>
        </w:rPr>
        <w:t xml:space="preserve">Recherche par défaut de CMS ne permet que de retourner une liste de résultats et de la trier par date d’ajout ou par ordre alphabétique, selon le titre ou l’auteur.</w:t>
      </w:r>
      <w:r>
        <w:rPr>
          <w:rFonts w:cstheme="minorHAnsi"/>
          <w:sz w:val="24"/>
          <w:szCs w:val="24"/>
        </w:rPr>
      </w:r>
    </w:p>
    <w:p w14:paraId="367E2D69" w14:textId="647C1B80">
      <w:pPr>
        <w:pBdr/>
        <w:spacing w:after="0" w:line="240" w:lineRule="auto"/>
        <w:ind/>
        <w:jc w:val="both"/>
        <w:rPr>
          <w:rFonts w:cstheme="minorHAnsi"/>
          <w:sz w:val="24"/>
          <w:szCs w:val="24"/>
        </w:rPr>
      </w:pPr>
      <w:r>
        <w:rPr>
          <w:rFonts w:cstheme="minorHAnsi"/>
          <w:sz w:val="24"/>
          <w:szCs w:val="24"/>
        </w:rPr>
        <w:t xml:space="preserve">SolR propose une indexation fine des données et un traitement avancé de celles-ci. C’est notamment lui qui permet de générer des filtres, fonctionnalité indispensable aux stratégies d’exploration et de sérendipité offertes à nos </w:t>
      </w:r>
      <w:r>
        <w:rPr>
          <w:rFonts w:cstheme="minorHAnsi"/>
          <w:sz w:val="24"/>
          <w:szCs w:val="24"/>
        </w:rPr>
        <w:t xml:space="preserve">utlisateurs</w:t>
      </w:r>
      <w:r>
        <w:rPr>
          <w:rFonts w:cstheme="minorHAnsi"/>
          <w:sz w:val="24"/>
          <w:szCs w:val="24"/>
        </w:rPr>
        <w:t xml:space="preserve">. Offre un service a</w:t>
      </w:r>
      <w:r>
        <w:rPr>
          <w:rFonts w:cstheme="minorHAnsi"/>
          <w:sz w:val="24"/>
          <w:szCs w:val="24"/>
        </w:rPr>
        <w:t xml:space="preserve">dapté aux demandes de la bibliothèque Fonte Gaia : options de traitement multilingue des données, recherche simple et exploration au hasard + point de départ vers des services avancés de recherche telles que l’auto-complétion à partir de listes contrôlées.</w:t>
      </w:r>
      <w:r>
        <w:rPr>
          <w:rFonts w:cstheme="minorHAnsi"/>
          <w:sz w:val="24"/>
          <w:szCs w:val="24"/>
        </w:rPr>
      </w:r>
    </w:p>
    <w:p w14:paraId="0837F9CF" w14:textId="66773AC9">
      <w:pPr>
        <w:pBdr/>
        <w:spacing w:after="0" w:line="240" w:lineRule="auto"/>
        <w:ind/>
        <w:jc w:val="both"/>
        <w:rPr>
          <w:rFonts w:cstheme="minorHAnsi"/>
          <w:sz w:val="24"/>
          <w:szCs w:val="24"/>
        </w:rPr>
      </w:pPr>
      <w:r>
        <w:rPr>
          <w:rFonts w:cstheme="minorHAnsi"/>
          <w:sz w:val="24"/>
          <w:szCs w:val="24"/>
        </w:rPr>
      </w:r>
      <w:r>
        <w:rPr>
          <w:rFonts w:cstheme="minorHAnsi"/>
          <w:sz w:val="24"/>
          <w:szCs w:val="24"/>
        </w:rPr>
      </w:r>
    </w:p>
    <w:p w14:paraId="071720E4" w14:textId="73A7E7B2">
      <w:pPr>
        <w:pBdr/>
        <w:spacing w:after="0" w:line="240" w:lineRule="auto"/>
        <w:ind/>
        <w:jc w:val="both"/>
        <w:rPr>
          <w:rFonts w:cstheme="minorHAnsi"/>
          <w:sz w:val="24"/>
          <w:szCs w:val="24"/>
        </w:rPr>
      </w:pPr>
      <w:r>
        <w:rPr>
          <w:rFonts w:cstheme="minorHAnsi"/>
          <w:sz w:val="24"/>
          <w:szCs w:val="24"/>
        </w:rPr>
        <w:t xml:space="preserve">La notice d’informations et la consultation simple</w:t>
      </w:r>
      <w:r>
        <w:rPr>
          <w:rFonts w:cstheme="minorHAnsi"/>
          <w:sz w:val="24"/>
          <w:szCs w:val="24"/>
        </w:rPr>
      </w:r>
    </w:p>
    <w:p w14:paraId="0B709A1E" w14:textId="00029C78">
      <w:pPr>
        <w:pBdr/>
        <w:spacing w:after="0" w:line="240" w:lineRule="auto"/>
        <w:ind/>
        <w:jc w:val="both"/>
        <w:rPr>
          <w:rFonts w:cstheme="minorHAnsi"/>
          <w:sz w:val="24"/>
          <w:szCs w:val="24"/>
        </w:rPr>
      </w:pPr>
      <w:r>
        <w:rPr>
          <w:rFonts w:cstheme="minorHAnsi"/>
          <w:sz w:val="24"/>
          <w:szCs w:val="24"/>
        </w:rPr>
        <w:t xml:space="preserve">L’objectif de cette notice et de la consultation simple est de permettre à un utilisateur d’avoir un accès rapide et facilité à une ressource numérisée. Ces fonctionnalités offrent à l’utilisateur </w:t>
      </w:r>
      <w:r>
        <w:rPr>
          <w:rFonts w:cstheme="minorHAnsi"/>
          <w:sz w:val="24"/>
          <w:szCs w:val="24"/>
        </w:rPr>
        <w:t xml:space="preserve">un bagage minimal pour</w:t>
      </w:r>
      <w:r>
        <w:rPr>
          <w:rFonts w:cstheme="minorHAnsi"/>
          <w:sz w:val="24"/>
          <w:szCs w:val="24"/>
        </w:rPr>
        <w:t xml:space="preserve"> comprendre et contextualiser une ressource dès son arrivée sur la page de cette ressource, à travers des métadonnées bibliographiques. La consultation simple s’effectue via un outil de visualisation, accompagné des fonctionnalités de zoom et de rotation. </w:t>
      </w:r>
      <w:r>
        <w:rPr>
          <w:rFonts w:cstheme="minorHAnsi"/>
          <w:sz w:val="24"/>
          <w:szCs w:val="24"/>
        </w:rPr>
      </w:r>
    </w:p>
    <w:p w14:paraId="5ED4B79C" w14:textId="38A2AAF8">
      <w:pPr>
        <w:pBdr/>
        <w:spacing w:after="0" w:line="240" w:lineRule="auto"/>
        <w:ind/>
        <w:jc w:val="both"/>
        <w:rPr>
          <w:rFonts w:cstheme="minorHAnsi"/>
          <w:sz w:val="24"/>
          <w:szCs w:val="24"/>
        </w:rPr>
      </w:pPr>
      <w:r>
        <w:rPr>
          <w:rFonts w:cstheme="minorHAnsi"/>
          <w:sz w:val="24"/>
          <w:szCs w:val="24"/>
        </w:rPr>
      </w:r>
      <w:r>
        <w:rPr>
          <w:rFonts w:cstheme="minorHAnsi"/>
          <w:sz w:val="24"/>
          <w:szCs w:val="24"/>
        </w:rPr>
      </w:r>
    </w:p>
    <w:p w14:paraId="5385C5EF" w14:textId="4ED8A834">
      <w:pPr>
        <w:pBdr/>
        <w:spacing w:after="0" w:line="240" w:lineRule="auto"/>
        <w:ind/>
        <w:jc w:val="both"/>
        <w:rPr>
          <w:rFonts w:cstheme="minorHAnsi"/>
          <w:sz w:val="24"/>
          <w:szCs w:val="24"/>
        </w:rPr>
      </w:pPr>
      <w:r>
        <w:rPr>
          <w:rFonts w:cstheme="minorHAnsi"/>
          <w:sz w:val="24"/>
          <w:szCs w:val="24"/>
        </w:rPr>
        <w:t xml:space="preserve">Lors de l’intég</w:t>
      </w:r>
      <w:r>
        <w:rPr>
          <w:rFonts w:cstheme="minorHAnsi"/>
          <w:sz w:val="24"/>
          <w:szCs w:val="24"/>
        </w:rPr>
        <w:t xml:space="preserve">ration de nos scénarios d’utilisation à notre modèle ontologique des services en bibliothèques numériques, il est apparu que, parmi nos utilisateurs potentiels, étaient représentés des lecteurs passants, des lecteurs en ligne et des lecteurs-utilisateurs. </w:t>
      </w:r>
      <w:r>
        <w:rPr>
          <w:rFonts w:cstheme="minorHAnsi"/>
          <w:sz w:val="24"/>
          <w:szCs w:val="24"/>
        </w:rPr>
      </w:r>
    </w:p>
    <w:p w14:paraId="68B9B771" w14:textId="37BF611D">
      <w:pPr>
        <w:pBdr/>
        <w:spacing w:after="0" w:line="240" w:lineRule="auto"/>
        <w:ind/>
        <w:jc w:val="both"/>
        <w:rPr>
          <w:rFonts w:cstheme="minorHAnsi"/>
          <w:sz w:val="24"/>
          <w:szCs w:val="24"/>
        </w:rPr>
      </w:pPr>
      <w:r>
        <w:rPr>
          <w:rFonts w:cstheme="minorHAnsi"/>
          <w:sz w:val="24"/>
          <w:szCs w:val="24"/>
        </w:rPr>
      </w:r>
      <w:r>
        <w:rPr>
          <w:rFonts w:cstheme="minorHAnsi"/>
          <w:sz w:val="24"/>
          <w:szCs w:val="24"/>
        </w:rPr>
      </w:r>
    </w:p>
    <w:p w14:paraId="43FD6110" w14:textId="27ADFB88">
      <w:pPr>
        <w:pBdr/>
        <w:spacing w:after="0" w:line="240" w:lineRule="auto"/>
        <w:ind/>
        <w:jc w:val="both"/>
        <w:rPr>
          <w:rFonts w:cstheme="minorHAnsi"/>
          <w:sz w:val="24"/>
          <w:szCs w:val="24"/>
        </w:rPr>
      </w:pPr>
      <w:r>
        <w:rPr>
          <w:rFonts w:cstheme="minorHAnsi"/>
          <w:sz w:val="24"/>
          <w:szCs w:val="24"/>
        </w:rPr>
        <w:t xml:space="preserve">p.267 :</w:t>
      </w:r>
      <w:r>
        <w:rPr>
          <w:rFonts w:cstheme="minorHAnsi"/>
          <w:sz w:val="24"/>
          <w:szCs w:val="24"/>
        </w:rPr>
      </w:r>
    </w:p>
    <w:p w14:paraId="1C84414D" w14:textId="37BAAB8B">
      <w:pPr>
        <w:pBdr/>
        <w:spacing w:after="0" w:line="240" w:lineRule="auto"/>
        <w:ind/>
        <w:jc w:val="both"/>
        <w:rPr>
          <w:rFonts w:cstheme="minorHAnsi"/>
          <w:sz w:val="24"/>
          <w:szCs w:val="24"/>
        </w:rPr>
      </w:pPr>
      <w:r>
        <w:rPr>
          <w:rFonts w:cstheme="minorHAnsi"/>
          <w:sz w:val="24"/>
          <w:szCs w:val="24"/>
        </w:rPr>
        <w:t xml:space="preserve">Le Dublin Core : ce standard international permet de décrire des objets numériques ou physiques d’horizons différents. Il se compose de quinze </w:t>
      </w:r>
      <w:r>
        <w:rPr>
          <w:rFonts w:cstheme="minorHAnsi"/>
          <w:sz w:val="24"/>
          <w:szCs w:val="24"/>
        </w:rPr>
        <w:t xml:space="preserve">balises répétables et assez générales pour couvrir un grand nombre d’usages. Norme au cœur des usages sur le Web, le Dublin Core possède cependant un trop faible niveau de granularité pour décrire des contenus scientifiques, et tend à aplanir les données. </w:t>
      </w:r>
      <w:r>
        <w:rPr>
          <w:rFonts w:cstheme="minorHAnsi"/>
          <w:sz w:val="24"/>
          <w:szCs w:val="24"/>
        </w:rPr>
      </w:r>
    </w:p>
    <w:p w14:paraId="0F53B24A" w14:textId="66FBDC65">
      <w:pPr>
        <w:pBdr/>
        <w:spacing w:after="0" w:line="240" w:lineRule="auto"/>
        <w:ind/>
        <w:jc w:val="both"/>
        <w:rPr>
          <w:rFonts w:cstheme="minorHAnsi"/>
          <w:sz w:val="24"/>
          <w:szCs w:val="24"/>
        </w:rPr>
      </w:pPr>
      <w:r>
        <w:rPr>
          <w:rFonts w:cstheme="minorHAnsi"/>
          <w:sz w:val="24"/>
          <w:szCs w:val="24"/>
        </w:rPr>
      </w:r>
      <w:r>
        <w:rPr>
          <w:rFonts w:cstheme="minorHAnsi"/>
          <w:sz w:val="24"/>
          <w:szCs w:val="24"/>
        </w:rPr>
      </w:r>
    </w:p>
    <w:p w14:paraId="6742FDE2" w14:textId="26B7D95F">
      <w:pPr>
        <w:pBdr/>
        <w:spacing w:after="0" w:line="240" w:lineRule="auto"/>
        <w:ind/>
        <w:jc w:val="both"/>
        <w:rPr>
          <w:rFonts w:cstheme="minorHAnsi"/>
          <w:sz w:val="24"/>
          <w:szCs w:val="24"/>
        </w:rPr>
      </w:pPr>
      <w:r>
        <w:rPr>
          <w:rFonts w:cstheme="minorHAnsi"/>
          <w:sz w:val="24"/>
          <w:szCs w:val="24"/>
        </w:rPr>
        <w:t xml:space="preserve">p.269 :</w:t>
      </w:r>
      <w:r>
        <w:rPr>
          <w:rFonts w:cstheme="minorHAnsi"/>
          <w:sz w:val="24"/>
          <w:szCs w:val="24"/>
        </w:rPr>
      </w:r>
    </w:p>
    <w:p w14:paraId="761ACE93" w14:textId="6B0110DE">
      <w:pPr>
        <w:pBdr/>
        <w:spacing w:after="0" w:line="240" w:lineRule="auto"/>
        <w:ind/>
        <w:jc w:val="both"/>
        <w:rPr>
          <w:rFonts w:cstheme="minorHAnsi"/>
          <w:sz w:val="24"/>
          <w:szCs w:val="24"/>
        </w:rPr>
      </w:pPr>
      <w:r>
        <w:rPr>
          <w:rFonts w:cstheme="minorHAnsi"/>
          <w:sz w:val="24"/>
          <w:szCs w:val="24"/>
        </w:rPr>
        <w:t xml:space="preserve">lorsque</w:t>
      </w:r>
      <w:r>
        <w:rPr>
          <w:rFonts w:cstheme="minorHAnsi"/>
          <w:sz w:val="24"/>
          <w:szCs w:val="24"/>
        </w:rPr>
        <w:t xml:space="preserve"> l’utilisate</w:t>
      </w:r>
      <w:r>
        <w:rPr>
          <w:rFonts w:cstheme="minorHAnsi"/>
          <w:sz w:val="24"/>
          <w:szCs w:val="24"/>
        </w:rPr>
        <w:t xml:space="preserve">ur clique sur l’icône de partage, des icônes supplémentaires  s’affichent juste au-dessus d’elle, permettant de partager l’ouvrage par email, sur Facebook ou sur Twitter, c’est-à-dire sur les réseaux sociaux où la bibliothèque numérique est déjà présente. </w:t>
      </w:r>
      <w:r>
        <w:rPr>
          <w:rFonts w:cstheme="minorHAnsi"/>
          <w:sz w:val="24"/>
          <w:szCs w:val="24"/>
        </w:rPr>
      </w:r>
    </w:p>
    <w:p w14:paraId="22F0FB74" w14:textId="065D7F14">
      <w:pPr>
        <w:pBdr/>
        <w:spacing w:after="0" w:line="240" w:lineRule="auto"/>
        <w:ind/>
        <w:jc w:val="both"/>
        <w:rPr>
          <w:rFonts w:cstheme="minorHAnsi"/>
          <w:sz w:val="24"/>
          <w:szCs w:val="24"/>
        </w:rPr>
      </w:pPr>
      <w:r>
        <w:rPr>
          <w:rFonts w:cstheme="minorHAnsi"/>
          <w:sz w:val="24"/>
          <w:szCs w:val="24"/>
        </w:rPr>
        <w:t xml:space="preserve">Faible intérêt des participants pour ce type de fonctionnalité. </w:t>
      </w:r>
      <w:r>
        <w:rPr>
          <w:rFonts w:cstheme="minorHAnsi"/>
          <w:sz w:val="24"/>
          <w:szCs w:val="24"/>
        </w:rPr>
        <w:t xml:space="preserve">Cependant, les options de partage para email ou sur les réseaux sociaux font aujourd’hui partie de l’écosystème d’une bibliothèque numérique. </w:t>
      </w:r>
      <w:r>
        <w:rPr>
          <w:rFonts w:cstheme="minorHAnsi"/>
          <w:sz w:val="24"/>
          <w:szCs w:val="24"/>
        </w:rPr>
      </w:r>
    </w:p>
    <w:p w14:paraId="4BE0D059" w14:textId="0AA5B503">
      <w:pPr>
        <w:pBdr/>
        <w:spacing w:after="0" w:line="240" w:lineRule="auto"/>
        <w:ind/>
        <w:jc w:val="both"/>
        <w:rPr>
          <w:rFonts w:cstheme="minorHAnsi"/>
          <w:sz w:val="24"/>
          <w:szCs w:val="24"/>
        </w:rPr>
      </w:pPr>
      <w:r>
        <w:rPr>
          <w:rFonts w:cstheme="minorHAnsi"/>
          <w:sz w:val="24"/>
          <w:szCs w:val="24"/>
        </w:rPr>
      </w:r>
      <w:r>
        <w:rPr>
          <w:rFonts w:cstheme="minorHAnsi"/>
          <w:sz w:val="24"/>
          <w:szCs w:val="24"/>
        </w:rPr>
      </w:r>
    </w:p>
    <w:p w14:paraId="121DDCEE" w14:textId="2B67C479">
      <w:pPr>
        <w:pBdr/>
        <w:spacing w:after="0" w:line="240" w:lineRule="auto"/>
        <w:ind/>
        <w:jc w:val="both"/>
        <w:rPr>
          <w:rFonts w:cstheme="minorHAnsi"/>
          <w:sz w:val="24"/>
          <w:szCs w:val="24"/>
        </w:rPr>
      </w:pPr>
      <w:r>
        <w:rPr>
          <w:rFonts w:cstheme="minorHAnsi"/>
          <w:sz w:val="24"/>
          <w:szCs w:val="24"/>
        </w:rPr>
        <w:t xml:space="preserve">p.270 :</w:t>
      </w:r>
      <w:r>
        <w:rPr>
          <w:rFonts w:cstheme="minorHAnsi"/>
          <w:sz w:val="24"/>
          <w:szCs w:val="24"/>
        </w:rPr>
      </w:r>
    </w:p>
    <w:p w14:paraId="46E920A9" w14:textId="5C476FC5">
      <w:pPr>
        <w:pBdr/>
        <w:spacing w:after="0" w:line="240" w:lineRule="auto"/>
        <w:ind/>
        <w:jc w:val="both"/>
        <w:rPr>
          <w:rFonts w:cstheme="minorHAnsi"/>
          <w:sz w:val="24"/>
          <w:szCs w:val="24"/>
        </w:rPr>
      </w:pPr>
      <w:r>
        <w:rPr>
          <w:rFonts w:cstheme="minorHAnsi"/>
          <w:sz w:val="24"/>
          <w:szCs w:val="24"/>
        </w:rPr>
        <w:t xml:space="preserve">but</w:t>
      </w:r>
      <w:r>
        <w:rPr>
          <w:rFonts w:cstheme="minorHAnsi"/>
          <w:sz w:val="24"/>
          <w:szCs w:val="24"/>
        </w:rPr>
        <w:t xml:space="preserve"> : il s’agit donc de proposer une interface commune et familière aux utilisateurs, en leur proposant des fonctionnalités et des symboles dont ils ont l’habitude dans d’autres bibliothèques numériques.</w:t>
      </w:r>
      <w:r>
        <w:rPr>
          <w:rFonts w:cstheme="minorHAnsi"/>
          <w:sz w:val="24"/>
          <w:szCs w:val="24"/>
        </w:rPr>
      </w:r>
    </w:p>
    <w:p w14:paraId="3B97BAB9" w14:textId="46E32319">
      <w:pPr>
        <w:pBdr/>
        <w:spacing w:after="0" w:line="240" w:lineRule="auto"/>
        <w:ind/>
        <w:jc w:val="both"/>
        <w:rPr>
          <w:rFonts w:cstheme="minorHAnsi"/>
          <w:sz w:val="24"/>
          <w:szCs w:val="24"/>
        </w:rPr>
      </w:pPr>
      <w:r>
        <w:rPr>
          <w:rFonts w:cstheme="minorHAnsi"/>
          <w:sz w:val="24"/>
          <w:szCs w:val="24"/>
        </w:rPr>
      </w:r>
      <w:r>
        <w:rPr>
          <w:rFonts w:cstheme="minorHAnsi"/>
          <w:sz w:val="24"/>
          <w:szCs w:val="24"/>
        </w:rPr>
      </w:r>
    </w:p>
    <w:p w14:paraId="12C65266" w14:textId="4A15E5F1">
      <w:pPr>
        <w:pBdr/>
        <w:spacing w:after="0" w:line="240" w:lineRule="auto"/>
        <w:ind/>
        <w:jc w:val="both"/>
        <w:rPr>
          <w:rFonts w:cstheme="minorHAnsi"/>
          <w:sz w:val="24"/>
          <w:szCs w:val="24"/>
        </w:rPr>
      </w:pPr>
      <w:r>
        <w:rPr>
          <w:rFonts w:cstheme="minorHAnsi"/>
          <w:sz w:val="24"/>
          <w:szCs w:val="24"/>
        </w:rPr>
        <w:t xml:space="preserve">p.271 : les fonctionnalités de recherche avancées</w:t>
      </w:r>
      <w:r>
        <w:rPr>
          <w:rFonts w:cstheme="minorHAnsi"/>
          <w:sz w:val="24"/>
          <w:szCs w:val="24"/>
        </w:rPr>
      </w:r>
    </w:p>
    <w:p w14:paraId="45233BA5" w14:textId="59A20953">
      <w:pPr>
        <w:pBdr/>
        <w:spacing w:after="0" w:line="240" w:lineRule="auto"/>
        <w:ind/>
        <w:jc w:val="both"/>
        <w:rPr>
          <w:rFonts w:cstheme="minorHAnsi"/>
          <w:sz w:val="24"/>
          <w:szCs w:val="24"/>
        </w:rPr>
      </w:pPr>
      <w:r>
        <w:rPr>
          <w:rFonts w:cstheme="minorHAnsi"/>
          <w:sz w:val="24"/>
          <w:szCs w:val="24"/>
        </w:rPr>
        <w:t xml:space="preserve">lorsqu’un</w:t>
      </w:r>
      <w:r>
        <w:rPr>
          <w:rFonts w:cstheme="minorHAnsi"/>
          <w:sz w:val="24"/>
          <w:szCs w:val="24"/>
        </w:rPr>
        <w:t xml:space="preserve"> utilisateur entre un mot-clé dans la barre de recherche, celle-ci lui suggère des requêtes possibles. Fonctionnalité incontournable des moteurs de recherche, la suggestion dynamique de requêtes, rendue possible grâce à l’utilisation de </w:t>
      </w:r>
      <w:r>
        <w:rPr>
          <w:rFonts w:cstheme="minorHAnsi"/>
          <w:i/>
          <w:sz w:val="24"/>
          <w:szCs w:val="24"/>
        </w:rPr>
        <w:t xml:space="preserve">SolR</w:t>
      </w:r>
      <w:r>
        <w:rPr>
          <w:rFonts w:cstheme="minorHAnsi"/>
          <w:sz w:val="24"/>
          <w:szCs w:val="24"/>
        </w:rPr>
        <w:t xml:space="preserve">, donne à l’utilisateur un aperçu de l’information qu’il peut trouver sur la bibliothèque numérique et l’aide à construire ses requêtes en vue d’une recherche réussie.</w:t>
      </w:r>
      <w:r>
        <w:rPr>
          <w:rFonts w:cstheme="minorHAnsi"/>
          <w:sz w:val="24"/>
          <w:szCs w:val="24"/>
        </w:rPr>
      </w:r>
    </w:p>
    <w:p w14:paraId="384C9EF4" w14:textId="6E7ABC65">
      <w:pPr>
        <w:pBdr/>
        <w:spacing w:after="0" w:line="240" w:lineRule="auto"/>
        <w:ind/>
        <w:jc w:val="both"/>
        <w:rPr>
          <w:rFonts w:cstheme="minorHAnsi"/>
          <w:sz w:val="24"/>
          <w:szCs w:val="24"/>
        </w:rPr>
      </w:pPr>
      <w:r>
        <w:rPr>
          <w:rFonts w:cstheme="minorHAnsi"/>
          <w:sz w:val="24"/>
          <w:szCs w:val="24"/>
        </w:rPr>
      </w:r>
      <w:r>
        <w:rPr>
          <w:rFonts w:cstheme="minorHAnsi"/>
          <w:sz w:val="24"/>
          <w:szCs w:val="24"/>
        </w:rPr>
      </w:r>
    </w:p>
    <w:p w14:paraId="759A7303" w14:textId="3914ED6B">
      <w:pPr>
        <w:pBdr/>
        <w:spacing w:after="0" w:line="240" w:lineRule="auto"/>
        <w:ind/>
        <w:jc w:val="both"/>
        <w:rPr>
          <w:rFonts w:cstheme="minorHAnsi"/>
          <w:sz w:val="24"/>
          <w:szCs w:val="24"/>
        </w:rPr>
      </w:pPr>
      <w:r>
        <w:rPr>
          <w:rFonts w:cstheme="minorHAnsi"/>
          <w:sz w:val="24"/>
          <w:szCs w:val="24"/>
        </w:rPr>
        <w:t xml:space="preserve">p.273 :</w:t>
      </w:r>
      <w:r>
        <w:rPr>
          <w:rFonts w:cstheme="minorHAnsi"/>
          <w:sz w:val="24"/>
          <w:szCs w:val="24"/>
        </w:rPr>
      </w:r>
    </w:p>
    <w:p w14:paraId="72E500BA" w14:textId="20D88A18">
      <w:pPr>
        <w:pBdr/>
        <w:spacing w:after="0" w:line="240" w:lineRule="auto"/>
        <w:ind/>
        <w:jc w:val="both"/>
        <w:rPr>
          <w:rFonts w:cstheme="minorHAnsi"/>
          <w:sz w:val="24"/>
          <w:szCs w:val="24"/>
        </w:rPr>
      </w:pPr>
      <w:r>
        <w:rPr>
          <w:rFonts w:cstheme="minorHAnsi"/>
          <w:sz w:val="24"/>
          <w:szCs w:val="24"/>
        </w:rPr>
        <w:t xml:space="preserve">la</w:t>
      </w:r>
      <w:r>
        <w:rPr>
          <w:rFonts w:cstheme="minorHAnsi"/>
          <w:sz w:val="24"/>
          <w:szCs w:val="24"/>
        </w:rPr>
        <w:t xml:space="preserve"> recherche en texte brut et par table des matières</w:t>
      </w:r>
      <w:r>
        <w:rPr>
          <w:rFonts w:cstheme="minorHAnsi"/>
          <w:sz w:val="24"/>
          <w:szCs w:val="24"/>
        </w:rPr>
      </w:r>
    </w:p>
    <w:p w14:paraId="2E368247" w14:textId="7C30A32C">
      <w:pPr>
        <w:pBdr/>
        <w:spacing w:after="0" w:line="240" w:lineRule="auto"/>
        <w:ind/>
        <w:jc w:val="both"/>
        <w:rPr>
          <w:rFonts w:cstheme="minorHAnsi"/>
          <w:sz w:val="24"/>
          <w:szCs w:val="24"/>
        </w:rPr>
      </w:pPr>
      <w:r>
        <w:rPr>
          <w:rFonts w:cstheme="minorHAnsi"/>
          <w:sz w:val="24"/>
          <w:szCs w:val="24"/>
        </w:rPr>
      </w:r>
      <w:r>
        <w:rPr>
          <w:rFonts w:cstheme="minorHAnsi"/>
          <w:sz w:val="24"/>
          <w:szCs w:val="24"/>
        </w:rPr>
      </w:r>
    </w:p>
    <w:p w14:paraId="70F0D6D4" w14:textId="1B139E40">
      <w:pPr>
        <w:pBdr/>
        <w:spacing w:after="0" w:line="240" w:lineRule="auto"/>
        <w:ind/>
        <w:jc w:val="both"/>
        <w:rPr>
          <w:rFonts w:cstheme="minorHAnsi"/>
          <w:sz w:val="24"/>
          <w:szCs w:val="24"/>
        </w:rPr>
      </w:pPr>
      <w:r>
        <w:rPr>
          <w:rFonts w:cstheme="minorHAnsi"/>
          <w:sz w:val="24"/>
          <w:szCs w:val="24"/>
        </w:rPr>
        <w:t xml:space="preserve">la</w:t>
      </w:r>
      <w:r>
        <w:rPr>
          <w:rFonts w:cstheme="minorHAnsi"/>
          <w:sz w:val="24"/>
          <w:szCs w:val="24"/>
        </w:rPr>
        <w:t xml:space="preserve"> recherche en texte brut est apparue comme un service incontournable pour nos potentiels utilisateurs au cours des </w:t>
      </w:r>
      <w:r>
        <w:rPr>
          <w:rFonts w:cstheme="minorHAnsi"/>
          <w:sz w:val="24"/>
          <w:szCs w:val="24"/>
        </w:rPr>
        <w:t xml:space="preserve">entretiens. Ils y ont recours régulièrement lors de leur consultation d’un ouvrage, afin de s’assurer une recherche efficace, rapide et ciblée sur les passages qui les intéressent sans avoir besoin de lire l’ouvrage dans sa totalité. La table des matières </w:t>
      </w:r>
      <w:r>
        <w:rPr>
          <w:rFonts w:cstheme="minorHAnsi"/>
          <w:sz w:val="24"/>
          <w:szCs w:val="24"/>
        </w:rPr>
        <w:t xml:space="preserve">[…]</w:t>
      </w:r>
      <w:r>
        <w:rPr>
          <w:rFonts w:cstheme="minorHAnsi"/>
          <w:sz w:val="24"/>
          <w:szCs w:val="24"/>
        </w:rPr>
        <w:t xml:space="preserve"> </w:t>
      </w:r>
      <w:r>
        <w:rPr>
          <w:rFonts w:cstheme="minorHAnsi"/>
          <w:sz w:val="24"/>
          <w:szCs w:val="24"/>
        </w:rPr>
        <w:t xml:space="preserve">était apparue comme un mode d’accès à l’information d’un ouvrage récurrent lors du questionnaire. </w:t>
      </w:r>
      <w:r>
        <w:rPr>
          <w:rFonts w:cstheme="minorHAnsi"/>
          <w:sz w:val="24"/>
          <w:szCs w:val="24"/>
        </w:rPr>
      </w:r>
    </w:p>
    <w:p w14:paraId="2032B836" w14:textId="612E50A3">
      <w:pPr>
        <w:pBdr/>
        <w:spacing w:after="0" w:line="240" w:lineRule="auto"/>
        <w:ind/>
        <w:jc w:val="both"/>
        <w:rPr>
          <w:rFonts w:cstheme="minorHAnsi"/>
          <w:sz w:val="24"/>
          <w:szCs w:val="24"/>
        </w:rPr>
      </w:pPr>
      <w:r>
        <w:rPr>
          <w:rFonts w:cstheme="minorHAnsi"/>
          <w:sz w:val="24"/>
          <w:szCs w:val="24"/>
        </w:rPr>
        <w:t xml:space="preserve">Pour mettre en place ces deux fonctionnalités, nous avons choisi de nous appuyer sur les potentialités de IIIF et de Mirador, qui permet de faire de la recherche plein-texte et de </w:t>
      </w:r>
      <w:r>
        <w:rPr>
          <w:rFonts w:cstheme="minorHAnsi"/>
          <w:sz w:val="24"/>
          <w:szCs w:val="24"/>
        </w:rPr>
        <w:t xml:space="preserve">consulter le sommaire d’un ouvrage.</w:t>
      </w:r>
      <w:r>
        <w:rPr>
          <w:rFonts w:cstheme="minorHAnsi"/>
          <w:sz w:val="24"/>
          <w:szCs w:val="24"/>
        </w:rPr>
        <w:t xml:space="preserve"> Choix d’unification et de centralisation au sein d’un même outil les fonctionnalités étroitement liées à la consultation d’un ouvrage.</w:t>
      </w:r>
      <w:r>
        <w:rPr>
          <w:rFonts w:cstheme="minorHAnsi"/>
          <w:sz w:val="24"/>
          <w:szCs w:val="24"/>
        </w:rPr>
      </w:r>
    </w:p>
    <w:p w14:paraId="48D86630" w14:textId="304617F3">
      <w:pPr>
        <w:pBdr/>
        <w:spacing w:after="0" w:line="240" w:lineRule="auto"/>
        <w:ind/>
        <w:jc w:val="both"/>
        <w:rPr>
          <w:rFonts w:cstheme="minorHAnsi"/>
          <w:sz w:val="24"/>
          <w:szCs w:val="24"/>
        </w:rPr>
      </w:pPr>
      <w:r>
        <w:rPr>
          <w:rFonts w:cstheme="minorHAnsi"/>
          <w:sz w:val="24"/>
          <w:szCs w:val="24"/>
        </w:rPr>
        <w:t xml:space="preserve">Le manifeste constitue la clé de voûte du système IIIF : il concentre toutes les annotations associées à une ressource, qui sont ensuite ingérées et affichées par des outils de </w:t>
      </w:r>
      <w:r>
        <w:rPr>
          <w:rFonts w:cstheme="minorHAnsi"/>
          <w:sz w:val="24"/>
          <w:szCs w:val="24"/>
        </w:rPr>
        <w:t xml:space="preserve">visualisation tels que Mirador. </w:t>
      </w:r>
      <w:r>
        <w:rPr>
          <w:rFonts w:cstheme="minorHAnsi"/>
          <w:sz w:val="24"/>
          <w:szCs w:val="24"/>
        </w:rPr>
      </w:r>
    </w:p>
    <w:p w14:paraId="0C119621" w14:textId="19B92318">
      <w:pPr>
        <w:pBdr/>
        <w:spacing w:after="0" w:line="240" w:lineRule="auto"/>
        <w:ind/>
        <w:jc w:val="both"/>
        <w:rPr>
          <w:rFonts w:cstheme="minorHAnsi"/>
          <w:sz w:val="24"/>
          <w:szCs w:val="24"/>
        </w:rPr>
      </w:pPr>
      <w:r>
        <w:rPr>
          <w:rFonts w:cstheme="minorHAnsi"/>
          <w:sz w:val="24"/>
          <w:szCs w:val="24"/>
        </w:rPr>
      </w:r>
      <w:r>
        <w:rPr>
          <w:rFonts w:cstheme="minorHAnsi"/>
          <w:sz w:val="24"/>
          <w:szCs w:val="24"/>
        </w:rPr>
      </w:r>
    </w:p>
    <w:p w14:paraId="6E83FE8C" w14:textId="35A0D58E">
      <w:pPr>
        <w:pBdr/>
        <w:spacing w:after="0" w:line="240" w:lineRule="auto"/>
        <w:ind/>
        <w:jc w:val="both"/>
        <w:rPr>
          <w:rFonts w:cstheme="minorHAnsi"/>
          <w:sz w:val="24"/>
          <w:szCs w:val="24"/>
        </w:rPr>
      </w:pPr>
      <w:r>
        <w:rPr>
          <w:rFonts w:cstheme="minorHAnsi"/>
          <w:sz w:val="24"/>
          <w:szCs w:val="24"/>
        </w:rPr>
        <w:t xml:space="preserve">p.274 : </w:t>
      </w:r>
      <w:r>
        <w:rPr>
          <w:rFonts w:cstheme="minorHAnsi"/>
          <w:sz w:val="24"/>
          <w:szCs w:val="24"/>
        </w:rPr>
      </w:r>
    </w:p>
    <w:p w14:paraId="762D74B6" w14:textId="06844339">
      <w:pPr>
        <w:pBdr/>
        <w:spacing w:after="0" w:line="240" w:lineRule="auto"/>
        <w:ind/>
        <w:jc w:val="both"/>
        <w:rPr>
          <w:rFonts w:cstheme="minorHAnsi"/>
          <w:sz w:val="24"/>
          <w:szCs w:val="24"/>
        </w:rPr>
      </w:pPr>
      <w:r>
        <w:rPr>
          <w:rFonts w:cstheme="minorHAnsi"/>
          <w:sz w:val="24"/>
          <w:szCs w:val="24"/>
        </w:rPr>
        <w:t xml:space="preserve">dans</w:t>
      </w:r>
      <w:r>
        <w:rPr>
          <w:rFonts w:cstheme="minorHAnsi"/>
          <w:sz w:val="24"/>
          <w:szCs w:val="24"/>
        </w:rPr>
        <w:t xml:space="preserve"> le cas de la table des matières, le fonctionnement est similaire. Il s’agit de transformer un fichier xml contenant la liste des différentes parties d’un ouvrage en une liste d’annotations, stockée sur le même serveur que les listes contenant le texte </w:t>
      </w:r>
      <w:r>
        <w:rPr>
          <w:rFonts w:cstheme="minorHAnsi"/>
          <w:sz w:val="24"/>
          <w:szCs w:val="24"/>
        </w:rPr>
        <w:t xml:space="preserve">océrisé</w:t>
      </w:r>
      <w:r>
        <w:rPr>
          <w:rFonts w:cstheme="minorHAnsi"/>
          <w:sz w:val="24"/>
          <w:szCs w:val="24"/>
        </w:rPr>
        <w:t xml:space="preserve">. Le manifeste pointe ensuite vers cette liste au niveau de l’ouvrage et non plus au niveau de la page comme avec les textes </w:t>
      </w:r>
      <w:r>
        <w:rPr>
          <w:rFonts w:cstheme="minorHAnsi"/>
          <w:sz w:val="24"/>
          <w:szCs w:val="24"/>
        </w:rPr>
        <w:t xml:space="preserve">océrisés</w:t>
      </w:r>
      <w:r>
        <w:rPr>
          <w:rFonts w:cstheme="minorHAnsi"/>
          <w:sz w:val="24"/>
          <w:szCs w:val="24"/>
        </w:rPr>
        <w:t xml:space="preserve">, ce qui permet à Mirador d’afficher les différentes parties d’un ouvrage dans sa section « Index ».</w:t>
      </w:r>
      <w:r>
        <w:rPr>
          <w:rFonts w:cstheme="minorHAnsi"/>
          <w:sz w:val="24"/>
          <w:szCs w:val="24"/>
        </w:rPr>
      </w:r>
    </w:p>
    <w:p w14:paraId="18300D8B" w14:textId="1B244E62">
      <w:pPr>
        <w:pBdr/>
        <w:spacing w:after="0" w:line="240" w:lineRule="auto"/>
        <w:ind/>
        <w:jc w:val="both"/>
        <w:rPr>
          <w:rFonts w:cstheme="minorHAnsi"/>
          <w:sz w:val="24"/>
          <w:szCs w:val="24"/>
        </w:rPr>
      </w:pPr>
      <w:r>
        <w:rPr>
          <w:rFonts w:cstheme="minorHAnsi"/>
          <w:sz w:val="24"/>
          <w:szCs w:val="24"/>
        </w:rPr>
      </w:r>
      <w:r>
        <w:rPr>
          <w:rFonts w:cstheme="minorHAnsi"/>
          <w:sz w:val="24"/>
          <w:szCs w:val="24"/>
        </w:rPr>
      </w:r>
    </w:p>
    <w:p w14:paraId="5ADFC5F7" w14:textId="36540A9E">
      <w:pPr>
        <w:pStyle w:val="677"/>
        <w:pBdr/>
        <w:spacing/>
        <w:ind/>
        <w:jc w:val="both"/>
        <w:rPr>
          <w:rFonts w:asciiTheme="minorHAnsi" w:hAnsiTheme="minorHAnsi" w:cstheme="minorHAnsi"/>
          <w:b/>
          <w:i/>
          <w:color w:val="auto"/>
          <w:sz w:val="28"/>
        </w:rPr>
      </w:pPr>
      <w:r>
        <w:rPr>
          <w:rFonts w:asciiTheme="minorHAnsi" w:hAnsiTheme="minorHAnsi" w:cstheme="minorHAnsi"/>
          <w:b/>
          <w:color w:val="auto"/>
          <w:sz w:val="28"/>
        </w:rPr>
        <w:t xml:space="preserve">Valérie </w:t>
      </w:r>
      <w:r>
        <w:rPr>
          <w:rFonts w:asciiTheme="minorHAnsi" w:hAnsiTheme="minorHAnsi" w:cstheme="minorHAnsi"/>
          <w:b/>
          <w:color w:val="auto"/>
          <w:sz w:val="28"/>
        </w:rPr>
        <w:t xml:space="preserve">Néouze</w:t>
      </w:r>
      <w:r>
        <w:rPr>
          <w:rFonts w:asciiTheme="minorHAnsi" w:hAnsiTheme="minorHAnsi" w:cstheme="minorHAnsi"/>
          <w:b/>
          <w:color w:val="auto"/>
          <w:sz w:val="28"/>
        </w:rPr>
        <w:t xml:space="preserve">, </w:t>
      </w:r>
      <w:r>
        <w:rPr>
          <w:rFonts w:asciiTheme="minorHAnsi" w:hAnsiTheme="minorHAnsi" w:cstheme="minorHAnsi"/>
          <w:b/>
          <w:i/>
          <w:color w:val="auto"/>
          <w:sz w:val="28"/>
        </w:rPr>
        <w:t xml:space="preserve">Quelle bibliothèque numérique pour une bibliothèque patrimoniale ? l’exemple de la bibliothèque centrale du Muséum d’Histoire naturelle de Paris, ENSSIB, mémoire d’étude, 2001.</w:t>
      </w:r>
      <w:r>
        <w:rPr>
          <w:rFonts w:asciiTheme="minorHAnsi" w:hAnsiTheme="minorHAnsi" w:cstheme="minorHAnsi"/>
          <w:b/>
          <w:i/>
          <w:color w:val="auto"/>
          <w:sz w:val="28"/>
        </w:rPr>
      </w:r>
    </w:p>
    <w:p w14:paraId="51281A8D" w14:textId="77777777">
      <w:pPr>
        <w:pBdr/>
        <w:spacing/>
        <w:ind/>
        <w:rPr/>
      </w:pPr>
      <w:r/>
      <w:r/>
    </w:p>
    <w:p w14:paraId="3EAF7142" w14:textId="15A3C0BD">
      <w:pPr>
        <w:pStyle w:val="678"/>
        <w:pBdr/>
        <w:spacing/>
        <w:ind/>
        <w:jc w:val="both"/>
        <w:rPr>
          <w:rFonts w:asciiTheme="minorHAnsi" w:hAnsiTheme="minorHAnsi" w:cstheme="minorHAnsi"/>
          <w:b/>
          <w:color w:val="auto"/>
          <w:sz w:val="28"/>
        </w:rPr>
      </w:pPr>
      <w:r>
        <w:rPr>
          <w:rFonts w:asciiTheme="minorHAnsi" w:hAnsiTheme="minorHAnsi" w:cstheme="minorHAnsi"/>
          <w:b/>
          <w:color w:val="auto"/>
          <w:sz w:val="28"/>
        </w:rPr>
        <w:t xml:space="preserve">L’élaboration d’une bibliothèque numérique à partir d’un fonds ancien ou la mise en place d’une politique documentaire</w:t>
      </w:r>
      <w:r>
        <w:rPr>
          <w:rFonts w:asciiTheme="minorHAnsi" w:hAnsiTheme="minorHAnsi" w:cstheme="minorHAnsi"/>
          <w:b/>
          <w:color w:val="auto"/>
          <w:sz w:val="28"/>
        </w:rPr>
      </w:r>
    </w:p>
    <w:p w14:paraId="4625CF21" w14:textId="3387EEDE">
      <w:pPr>
        <w:pBdr/>
        <w:spacing/>
        <w:ind/>
        <w:jc w:val="both"/>
        <w:rPr>
          <w:sz w:val="24"/>
        </w:rPr>
      </w:pPr>
      <w:r>
        <w:rPr>
          <w:sz w:val="24"/>
        </w:rPr>
      </w:r>
      <w:r>
        <w:rPr>
          <w:sz w:val="24"/>
        </w:rPr>
      </w:r>
    </w:p>
    <w:p w14:paraId="00E3983D" w14:textId="2437793A">
      <w:pPr>
        <w:pBdr/>
        <w:spacing/>
        <w:ind/>
        <w:jc w:val="both"/>
        <w:rPr>
          <w:sz w:val="24"/>
        </w:rPr>
      </w:pPr>
      <w:r>
        <w:rPr>
          <w:sz w:val="24"/>
        </w:rPr>
        <w:t xml:space="preserve">p.8 : évaluations préliminaires</w:t>
      </w:r>
      <w:r>
        <w:rPr>
          <w:sz w:val="24"/>
        </w:rPr>
      </w:r>
    </w:p>
    <w:p w14:paraId="6CF47BDE" w14:textId="285376CD">
      <w:pPr>
        <w:pBdr/>
        <w:spacing/>
        <w:ind/>
        <w:jc w:val="both"/>
        <w:rPr>
          <w:sz w:val="24"/>
        </w:rPr>
      </w:pPr>
      <w:r>
        <w:rPr>
          <w:sz w:val="24"/>
        </w:rPr>
        <w:t xml:space="preserve">mettre</w:t>
      </w:r>
      <w:r>
        <w:rPr>
          <w:sz w:val="24"/>
        </w:rPr>
        <w:t xml:space="preserve"> en place une politique documentaire nécessite, pour une bibliothèque numérique comme pour une bibliothèque matérielle, de procéder en premier lieu à une analyse de l’existant.</w:t>
      </w:r>
      <w:r>
        <w:rPr>
          <w:sz w:val="24"/>
        </w:rPr>
      </w:r>
    </w:p>
    <w:p w14:paraId="25015258" w14:textId="3D223C84">
      <w:pPr>
        <w:pBdr/>
        <w:spacing/>
        <w:ind/>
        <w:jc w:val="both"/>
        <w:rPr>
          <w:sz w:val="24"/>
        </w:rPr>
      </w:pPr>
      <w:r>
        <w:rPr>
          <w:sz w:val="24"/>
        </w:rPr>
        <w:t xml:space="preserve">Trois questions principales semblent s’imposer : quelle collection existante ? quel public ? et quels moyens disponibles dans la bibliothèque ?</w:t>
      </w:r>
      <w:r>
        <w:rPr>
          <w:sz w:val="24"/>
        </w:rPr>
      </w:r>
    </w:p>
    <w:p w14:paraId="6578737C" w14:textId="710CD957">
      <w:pPr>
        <w:pBdr/>
        <w:spacing/>
        <w:ind/>
        <w:jc w:val="both"/>
        <w:rPr>
          <w:sz w:val="24"/>
        </w:rPr>
      </w:pPr>
      <w:r>
        <w:rPr>
          <w:sz w:val="24"/>
        </w:rPr>
        <w:t xml:space="preserve">Evaluation du fonds ancien, fondement de la bibliothèque n</w:t>
      </w:r>
      <w:r>
        <w:rPr>
          <w:sz w:val="24"/>
        </w:rPr>
        <w:t xml:space="preserve">umérique patrimoniale à venir, s’impose comme la première étape. Il est important de connaître d’une manière précise l’ampleur des collections concernées, ce qui donnera déjà une estimation de la taille à laquelle pourra prétendre son homologue numérique. </w:t>
      </w:r>
      <w:r>
        <w:rPr>
          <w:sz w:val="24"/>
        </w:rPr>
      </w:r>
    </w:p>
    <w:p w14:paraId="14FADE83" w14:textId="4682DE51">
      <w:pPr>
        <w:pBdr/>
        <w:spacing/>
        <w:ind/>
        <w:jc w:val="both"/>
        <w:rPr>
          <w:sz w:val="24"/>
        </w:rPr>
      </w:pPr>
      <w:r>
        <w:rPr>
          <w:sz w:val="24"/>
        </w:rPr>
        <w:t xml:space="preserve">p.9 :</w:t>
      </w:r>
      <w:r>
        <w:rPr>
          <w:sz w:val="24"/>
        </w:rPr>
      </w:r>
    </w:p>
    <w:p w14:paraId="60FB1DFF" w14:textId="33033576">
      <w:pPr>
        <w:pBdr/>
        <w:spacing/>
        <w:ind/>
        <w:jc w:val="both"/>
        <w:rPr>
          <w:sz w:val="24"/>
        </w:rPr>
      </w:pPr>
      <w:r>
        <w:rPr>
          <w:sz w:val="24"/>
        </w:rPr>
        <w:t xml:space="preserve">Faire l’estimation quantitati</w:t>
      </w:r>
      <w:r>
        <w:rPr>
          <w:sz w:val="24"/>
        </w:rPr>
        <w:t xml:space="preserve">ve du fonds effectuée, il faut différencier les supports, imprimés, manuscrits, archives, documents iconographiques et objets. Cette répartition permet de préciser la composition du fonds et peut s’avérer très utile au moment de la sélection des documents.</w:t>
      </w:r>
      <w:r>
        <w:rPr>
          <w:sz w:val="24"/>
        </w:rPr>
      </w:r>
    </w:p>
    <w:p w14:paraId="1D26B57A" w14:textId="7FB2B27A">
      <w:pPr>
        <w:pBdr/>
        <w:spacing/>
        <w:ind/>
        <w:jc w:val="both"/>
        <w:rPr>
          <w:sz w:val="24"/>
        </w:rPr>
      </w:pPr>
      <w:r>
        <w:rPr>
          <w:sz w:val="24"/>
        </w:rPr>
        <w:t xml:space="preserve">Les difficultés techniques que représente la numérisation de certains supports peut entraîner en effet d’autres choix stratégiques de numérisation. A contrario, l’existence d’un fonds </w:t>
      </w:r>
      <w:r>
        <w:rPr>
          <w:sz w:val="24"/>
        </w:rPr>
        <w:t xml:space="preserve">spécial peu exploité pour des raisons de fragilité ou de difficulté de communication peut représenter un candidat idéal pour la numérisation.</w:t>
      </w:r>
      <w:r>
        <w:rPr>
          <w:sz w:val="24"/>
        </w:rPr>
      </w:r>
    </w:p>
    <w:p w14:paraId="459EE43C" w14:textId="30D8F9AF">
      <w:pPr>
        <w:pBdr/>
        <w:spacing/>
        <w:ind/>
        <w:jc w:val="both"/>
        <w:rPr>
          <w:sz w:val="24"/>
        </w:rPr>
      </w:pPr>
      <w:r>
        <w:rPr>
          <w:sz w:val="24"/>
        </w:rPr>
        <w:t xml:space="preserve">Réfl</w:t>
      </w:r>
      <w:r>
        <w:rPr>
          <w:sz w:val="24"/>
        </w:rPr>
        <w:t xml:space="preserve">exion sur les ensembles et les sous-ensembles. Ces sous-ensembles peuvent être thématiques et reposent alors sur le travail d’analyse d’une personne qui aurait une excellente connaissance de l’ensemble du fonds – le responsable du fonds ancien par exemple.</w:t>
      </w:r>
      <w:r>
        <w:rPr>
          <w:sz w:val="24"/>
        </w:rPr>
      </w:r>
    </w:p>
    <w:p w14:paraId="0EEF7499" w14:textId="398BA5B9">
      <w:pPr>
        <w:pBdr/>
        <w:spacing/>
        <w:ind/>
        <w:jc w:val="both"/>
        <w:rPr>
          <w:sz w:val="24"/>
        </w:rPr>
      </w:pPr>
      <w:r>
        <w:rPr>
          <w:sz w:val="24"/>
        </w:rPr>
        <w:t xml:space="preserve">Dans un souci de respect des fonds, fréquemment observé dans les collections anciennes soucieuses de conserver ensemble l’intégralité d’</w:t>
      </w:r>
      <w:r>
        <w:rPr>
          <w:sz w:val="24"/>
        </w:rPr>
        <w:t xml:space="preserve">un don, d’un legs ou d’un achat, on pourrait imaginer aussi d’établir des sous-ensembles respectant ce principe. Une telle répartition est dangereuse dans la mesure où elle met l’accent sur plusieurs fonds périphériques au détriment du fonds principal, fau</w:t>
      </w:r>
      <w:r>
        <w:rPr>
          <w:sz w:val="24"/>
        </w:rPr>
        <w:t xml:space="preserve">ssant ainsi l’analyse globale. Cette solution n’est donc éventuellement envisageable que dans le cas d’un fonds de qualité représentatif des collections ou prestigieux et d’une taille suffisante pour former à lui seul un sous-ensemble cohérent et autonome.</w:t>
      </w:r>
      <w:r>
        <w:rPr>
          <w:sz w:val="24"/>
        </w:rPr>
      </w:r>
    </w:p>
    <w:p w14:paraId="3D617B48" w14:textId="284E40FA">
      <w:pPr>
        <w:pBdr/>
        <w:spacing/>
        <w:ind/>
        <w:jc w:val="both"/>
        <w:rPr>
          <w:sz w:val="24"/>
        </w:rPr>
      </w:pPr>
      <w:r>
        <w:rPr>
          <w:sz w:val="24"/>
        </w:rPr>
        <w:t xml:space="preserve">L’état physique des documents conditionne également la stratégie documentaire future dans la mesure où les techniques de numérisation requièrent, pour donner des résultats satisfaisants, certaines exigences minimales. </w:t>
      </w:r>
      <w:r>
        <w:rPr>
          <w:sz w:val="24"/>
        </w:rPr>
      </w:r>
    </w:p>
    <w:p w14:paraId="5D1F7C94" w14:textId="0C422AE2">
      <w:pPr>
        <w:pBdr/>
        <w:spacing/>
        <w:ind/>
        <w:jc w:val="both"/>
        <w:rPr>
          <w:sz w:val="24"/>
        </w:rPr>
      </w:pPr>
      <w:r>
        <w:rPr>
          <w:sz w:val="24"/>
        </w:rPr>
        <w:t xml:space="preserve">p.10 :</w:t>
      </w:r>
      <w:r>
        <w:rPr>
          <w:sz w:val="24"/>
        </w:rPr>
      </w:r>
    </w:p>
    <w:p w14:paraId="6173C4E4" w14:textId="3302FC7C">
      <w:pPr>
        <w:pBdr/>
        <w:spacing/>
        <w:ind/>
        <w:jc w:val="both"/>
        <w:rPr>
          <w:sz w:val="24"/>
        </w:rPr>
      </w:pPr>
      <w:r>
        <w:rPr>
          <w:sz w:val="24"/>
        </w:rPr>
        <w:t xml:space="preserve">se</w:t>
      </w:r>
      <w:r>
        <w:rPr>
          <w:sz w:val="24"/>
        </w:rPr>
        <w:t xml:space="preserve"> pose la question de la description des documents matériels dont la copie de substitution exacte constituera le cœur de la future bibliothèque numérique. Le fonds ancien de départ doit être intégré au catalogue informatisé.</w:t>
      </w:r>
      <w:r>
        <w:rPr>
          <w:sz w:val="24"/>
        </w:rPr>
      </w:r>
    </w:p>
    <w:p w14:paraId="149CFEEF" w14:textId="34035BB4">
      <w:pPr>
        <w:pBdr/>
        <w:spacing/>
        <w:ind/>
        <w:jc w:val="both"/>
        <w:rPr>
          <w:sz w:val="24"/>
        </w:rPr>
      </w:pPr>
      <w:r>
        <w:rPr>
          <w:sz w:val="24"/>
        </w:rPr>
        <w:t xml:space="preserve">La bibliothèque numérique ne doit pas prendre le relais de la bibliothèque matérielle en se chargeant du traitement bibliographique des documents qui n’en bénéficieraient pas encore sous leur forme matérielle. </w:t>
      </w:r>
      <w:r>
        <w:rPr>
          <w:sz w:val="24"/>
        </w:rPr>
      </w:r>
    </w:p>
    <w:p w14:paraId="585B0917" w14:textId="0581E9D4">
      <w:pPr>
        <w:pBdr/>
        <w:spacing/>
        <w:ind/>
        <w:jc w:val="both"/>
        <w:rPr>
          <w:sz w:val="24"/>
        </w:rPr>
      </w:pPr>
      <w:r>
        <w:rPr>
          <w:sz w:val="24"/>
        </w:rPr>
        <w:t xml:space="preserve">Evaluation du public et de ses pratiques</w:t>
      </w:r>
      <w:r>
        <w:rPr>
          <w:sz w:val="24"/>
        </w:rPr>
      </w:r>
    </w:p>
    <w:p w14:paraId="63F4188B" w14:textId="07AE7761">
      <w:pPr>
        <w:pBdr/>
        <w:spacing/>
        <w:ind/>
        <w:jc w:val="both"/>
        <w:rPr>
          <w:sz w:val="24"/>
        </w:rPr>
      </w:pPr>
      <w:r>
        <w:rPr>
          <w:sz w:val="24"/>
        </w:rPr>
        <w:t xml:space="preserve">N</w:t>
      </w:r>
      <w:r>
        <w:rPr>
          <w:sz w:val="24"/>
        </w:rPr>
        <w:t xml:space="preserve">ombre</w:t>
      </w:r>
      <w:r>
        <w:rPr>
          <w:sz w:val="24"/>
        </w:rPr>
        <w:t xml:space="preserve"> et profil des lecteurs du fonds ancien</w:t>
      </w:r>
      <w:r>
        <w:rPr>
          <w:sz w:val="24"/>
        </w:rPr>
      </w:r>
    </w:p>
    <w:p w14:paraId="4B266641" w14:textId="285D9CE8">
      <w:pPr>
        <w:pBdr/>
        <w:spacing/>
        <w:ind/>
        <w:jc w:val="both"/>
        <w:rPr>
          <w:sz w:val="24"/>
        </w:rPr>
      </w:pPr>
      <w:r>
        <w:rPr>
          <w:sz w:val="24"/>
        </w:rPr>
        <w:t xml:space="preserve">La spécificité des fonds anciens </w:t>
      </w:r>
      <w:r>
        <w:rPr>
          <w:sz w:val="24"/>
        </w:rPr>
        <w:t xml:space="preserve">permet de connaître de manière précise le public qui les consulte dans la mesure où les bibliothèques subordonnent, pour des raisons évidentes de conservation, l’autorisation de consultation de ces fonds à certains critères.</w:t>
      </w:r>
      <w:r>
        <w:rPr>
          <w:sz w:val="24"/>
        </w:rPr>
      </w:r>
    </w:p>
    <w:p w14:paraId="2A594B65" w14:textId="53846720">
      <w:pPr>
        <w:pBdr/>
        <w:spacing/>
        <w:ind/>
        <w:jc w:val="both"/>
        <w:rPr>
          <w:sz w:val="24"/>
        </w:rPr>
      </w:pPr>
      <w:r>
        <w:rPr>
          <w:sz w:val="24"/>
        </w:rPr>
        <w:t xml:space="preserve">p.11 : </w:t>
      </w:r>
      <w:r>
        <w:rPr>
          <w:sz w:val="24"/>
        </w:rPr>
      </w:r>
    </w:p>
    <w:p w14:paraId="19750D52" w14:textId="15EDC08D">
      <w:pPr>
        <w:pBdr/>
        <w:spacing/>
        <w:ind/>
        <w:jc w:val="both"/>
        <w:rPr>
          <w:sz w:val="24"/>
        </w:rPr>
      </w:pPr>
      <w:r>
        <w:rPr>
          <w:sz w:val="24"/>
        </w:rPr>
        <w:t xml:space="preserve">Généralement justifier un niveau d’étude, un sujet de recherche ou solliciter une autorisation ponctuelle. </w:t>
      </w:r>
      <w:r>
        <w:rPr>
          <w:sz w:val="24"/>
        </w:rPr>
      </w:r>
    </w:p>
    <w:p w14:paraId="47B8831B" w14:textId="7EF1A699">
      <w:pPr>
        <w:pBdr/>
        <w:spacing/>
        <w:ind/>
        <w:jc w:val="both"/>
        <w:rPr>
          <w:sz w:val="24"/>
        </w:rPr>
      </w:pPr>
      <w:r>
        <w:rPr>
          <w:sz w:val="24"/>
        </w:rPr>
        <w:t xml:space="preserve">Usages et pratiques :</w:t>
      </w:r>
      <w:r>
        <w:rPr>
          <w:sz w:val="24"/>
        </w:rPr>
      </w:r>
    </w:p>
    <w:p w14:paraId="17913AE3" w14:textId="47075375">
      <w:pPr>
        <w:pBdr/>
        <w:spacing/>
        <w:ind/>
        <w:jc w:val="both"/>
        <w:rPr>
          <w:sz w:val="24"/>
        </w:rPr>
      </w:pPr>
      <w:r>
        <w:rPr>
          <w:sz w:val="24"/>
        </w:rPr>
        <w:t xml:space="preserve">Il est possible pour des fonds d’établir manuellement ou avec l’aide de l’informatique, des statistiques de consultation riches d’enseignement.</w:t>
      </w:r>
      <w:r>
        <w:rPr>
          <w:sz w:val="24"/>
        </w:rPr>
      </w:r>
    </w:p>
    <w:p w14:paraId="7F199999" w14:textId="61B1E941">
      <w:pPr>
        <w:pBdr/>
        <w:spacing/>
        <w:ind/>
        <w:jc w:val="both"/>
        <w:rPr>
          <w:sz w:val="24"/>
        </w:rPr>
      </w:pPr>
      <w:r>
        <w:rPr>
          <w:sz w:val="24"/>
        </w:rPr>
        <w:t xml:space="preserve">On mesure tout l’enjeu de cette évaluation si l’on considère qu’une bibliothèque numérique patrimoniale partage en partie les missions et les spécificités de la bibliothèque matérielle dont elle est l’écho, et peut par </w:t>
      </w:r>
      <w:r>
        <w:rPr>
          <w:sz w:val="24"/>
        </w:rPr>
        <w:t xml:space="preserve">conséquent espérer servir une grande partie de son public. </w:t>
      </w:r>
      <w:r>
        <w:rPr>
          <w:sz w:val="24"/>
        </w:rPr>
        <w:t xml:space="preserve">Une des différences essentielles est que le reste du public visé est dispersé à travers le monde et non plus réuni dans une salle de lecture.</w:t>
      </w:r>
      <w:r>
        <w:rPr>
          <w:sz w:val="24"/>
        </w:rPr>
      </w:r>
    </w:p>
    <w:p w14:paraId="014E3B2F" w14:textId="3B965F6E">
      <w:pPr>
        <w:pBdr/>
        <w:spacing/>
        <w:ind/>
        <w:jc w:val="both"/>
        <w:rPr>
          <w:sz w:val="24"/>
        </w:rPr>
      </w:pPr>
      <w:r>
        <w:rPr>
          <w:sz w:val="24"/>
        </w:rPr>
        <w:t xml:space="preserve">Le public visé conditionne</w:t>
      </w:r>
      <w:r>
        <w:rPr>
          <w:sz w:val="24"/>
        </w:rPr>
        <w:t xml:space="preserve">ra les outils nécessaires à la consultation des collections technologies exigera un certain type d’indexation, de moteurs de recherche performants, une qualité d’image supérieure tandis que le grand public recherchera avant tout une facilité d’utilisation…</w:t>
      </w:r>
      <w:r>
        <w:rPr>
          <w:sz w:val="24"/>
        </w:rPr>
      </w:r>
    </w:p>
    <w:p w14:paraId="47540F51" w14:textId="1DE5E550">
      <w:pPr>
        <w:pBdr/>
        <w:spacing/>
        <w:ind/>
        <w:jc w:val="both"/>
        <w:rPr>
          <w:sz w:val="24"/>
        </w:rPr>
      </w:pPr>
      <w:r>
        <w:rPr>
          <w:sz w:val="24"/>
        </w:rPr>
        <w:t xml:space="preserve">p.12 : évaluation des moyens disponibles dans la bibliothèque</w:t>
      </w:r>
      <w:r>
        <w:rPr>
          <w:sz w:val="24"/>
        </w:rPr>
      </w:r>
    </w:p>
    <w:p w14:paraId="179AF76C" w14:textId="6EBC8E8D">
      <w:pPr>
        <w:pBdr/>
        <w:spacing/>
        <w:ind/>
        <w:jc w:val="both"/>
        <w:rPr>
          <w:sz w:val="24"/>
        </w:rPr>
      </w:pPr>
      <w:r>
        <w:rPr>
          <w:sz w:val="24"/>
        </w:rPr>
        <w:t xml:space="preserve">moyens</w:t>
      </w:r>
      <w:r>
        <w:rPr>
          <w:sz w:val="24"/>
        </w:rPr>
        <w:t xml:space="preserve"> financiers</w:t>
      </w:r>
      <w:r>
        <w:rPr>
          <w:sz w:val="24"/>
        </w:rPr>
      </w:r>
    </w:p>
    <w:p w14:paraId="52B5B9F9" w14:textId="4C4691DF">
      <w:pPr>
        <w:pBdr/>
        <w:spacing/>
        <w:ind/>
        <w:jc w:val="both"/>
        <w:rPr>
          <w:sz w:val="24"/>
        </w:rPr>
      </w:pPr>
      <w:r>
        <w:rPr>
          <w:sz w:val="24"/>
        </w:rPr>
        <w:t xml:space="preserve">une</w:t>
      </w:r>
      <w:r>
        <w:rPr>
          <w:sz w:val="24"/>
        </w:rPr>
        <w:t xml:space="preserve"> certitude préside à toute création de bibliothèque numérique : il est nécessaire de disposer d’un budget assez conséquent, consacré exclusivement à ce projet et destiné à en assurer non seulement la mise en route mais surtout le suivi.</w:t>
      </w:r>
      <w:r>
        <w:rPr>
          <w:sz w:val="24"/>
        </w:rPr>
      </w:r>
    </w:p>
    <w:p w14:paraId="4A56EBC8" w14:textId="745564C9">
      <w:pPr>
        <w:pBdr/>
        <w:spacing/>
        <w:ind/>
        <w:jc w:val="both"/>
        <w:rPr>
          <w:sz w:val="24"/>
        </w:rPr>
      </w:pPr>
      <w:r>
        <w:rPr>
          <w:sz w:val="24"/>
        </w:rPr>
        <w:t xml:space="preserve">L’existence de moyens financiers est une condition sine qua non au succès de l’entreprise.</w:t>
      </w:r>
      <w:r>
        <w:rPr>
          <w:sz w:val="24"/>
        </w:rPr>
      </w:r>
    </w:p>
    <w:p w14:paraId="0B0863CA" w14:textId="416E80D9">
      <w:pPr>
        <w:pBdr/>
        <w:spacing/>
        <w:ind/>
        <w:jc w:val="both"/>
        <w:rPr>
          <w:sz w:val="24"/>
        </w:rPr>
      </w:pPr>
      <w:r>
        <w:rPr>
          <w:sz w:val="24"/>
        </w:rPr>
        <w:t xml:space="preserve">Quel budget pour quel coût ?</w:t>
      </w:r>
      <w:r>
        <w:rPr>
          <w:sz w:val="24"/>
        </w:rPr>
      </w:r>
    </w:p>
    <w:p w14:paraId="4751E989" w14:textId="1C179765">
      <w:pPr>
        <w:pBdr/>
        <w:spacing/>
        <w:ind/>
        <w:jc w:val="both"/>
        <w:rPr>
          <w:sz w:val="24"/>
        </w:rPr>
      </w:pPr>
      <w:r>
        <w:rPr>
          <w:sz w:val="24"/>
        </w:rPr>
        <w:t xml:space="preserve">Il est difficile quoiqu’il en soit de financer un tel projet sur le budget courant d’une bibliothèque, car la numérisation s’impose comme une activité supplémentaire. </w:t>
      </w:r>
      <w:r>
        <w:rPr>
          <w:sz w:val="24"/>
        </w:rPr>
      </w:r>
    </w:p>
    <w:p w14:paraId="2FC4E0BC" w14:textId="0AE948ED">
      <w:pPr>
        <w:pBdr/>
        <w:spacing/>
        <w:ind/>
        <w:jc w:val="both"/>
        <w:rPr>
          <w:sz w:val="24"/>
        </w:rPr>
      </w:pPr>
      <w:r>
        <w:rPr>
          <w:sz w:val="24"/>
        </w:rPr>
        <w:t xml:space="preserve">p.13 : Moyens en personnel</w:t>
      </w:r>
      <w:r>
        <w:rPr>
          <w:sz w:val="24"/>
        </w:rPr>
      </w:r>
    </w:p>
    <w:p w14:paraId="329F6AE4" w14:textId="4DF9CB5D">
      <w:pPr>
        <w:pBdr/>
        <w:spacing/>
        <w:ind/>
        <w:jc w:val="both"/>
        <w:rPr>
          <w:sz w:val="24"/>
        </w:rPr>
      </w:pPr>
      <w:r>
        <w:rPr>
          <w:sz w:val="24"/>
        </w:rPr>
        <w:t xml:space="preserve">la</w:t>
      </w:r>
      <w:r>
        <w:rPr>
          <w:sz w:val="24"/>
        </w:rPr>
        <w:t xml:space="preserve"> mise en place d’une bibliothèque numérique requiert également une disponibilité en personnel, que la partie technique de numérisation soit effectuée en interne ou par un prestataire extérieur.</w:t>
      </w:r>
      <w:r>
        <w:rPr>
          <w:sz w:val="24"/>
        </w:rPr>
      </w:r>
    </w:p>
    <w:p w14:paraId="02FB8BA0" w14:textId="3039BD30">
      <w:pPr>
        <w:pBdr/>
        <w:spacing/>
        <w:ind/>
        <w:jc w:val="both"/>
        <w:rPr>
          <w:sz w:val="24"/>
        </w:rPr>
      </w:pPr>
      <w:r>
        <w:rPr>
          <w:sz w:val="24"/>
        </w:rPr>
        <w:t xml:space="preserve">Il semble essentiel à ce stade de la réflexion préliminaire de songer à la composition de l’équipe investie dans cette opération. </w:t>
      </w:r>
      <w:r>
        <w:rPr>
          <w:sz w:val="24"/>
        </w:rPr>
      </w:r>
    </w:p>
    <w:p w14:paraId="321BB3D4" w14:textId="12BAE073">
      <w:pPr>
        <w:pBdr/>
        <w:spacing/>
        <w:ind/>
        <w:jc w:val="both"/>
        <w:rPr>
          <w:sz w:val="24"/>
        </w:rPr>
      </w:pPr>
      <w:r>
        <w:rPr>
          <w:sz w:val="24"/>
        </w:rPr>
        <w:t xml:space="preserve">L’inventaire préalable des collections, l’évaluation des publics et des moyens financiers impliquent un travail important qui s’ajoute – et là réside une difficulté du projet – aux activités quotidiennes du personnel de la bibliothèque.</w:t>
      </w:r>
      <w:r>
        <w:rPr>
          <w:sz w:val="24"/>
        </w:rPr>
      </w:r>
    </w:p>
    <w:p w14:paraId="26416249" w14:textId="622922C6">
      <w:pPr>
        <w:pBdr/>
        <w:spacing/>
        <w:ind/>
        <w:jc w:val="both"/>
        <w:rPr>
          <w:sz w:val="24"/>
        </w:rPr>
      </w:pPr>
      <w:r>
        <w:rPr>
          <w:sz w:val="24"/>
        </w:rPr>
        <w:t xml:space="preserve">Quel personnel disponible et motivé ? Quelle sont leurs compétences ? quel investissement en temps par rapport aux activités quotidiennes ?</w:t>
      </w:r>
      <w:r>
        <w:rPr>
          <w:sz w:val="24"/>
        </w:rPr>
      </w:r>
    </w:p>
    <w:p w14:paraId="5F280083" w14:textId="77CFB618">
      <w:pPr>
        <w:pBdr/>
        <w:spacing/>
        <w:ind/>
        <w:jc w:val="both"/>
        <w:rPr>
          <w:sz w:val="24"/>
        </w:rPr>
      </w:pPr>
      <w:r>
        <w:rPr>
          <w:sz w:val="24"/>
        </w:rPr>
        <w:t xml:space="preserve">p.14 : moyens informatiques</w:t>
      </w:r>
      <w:r>
        <w:rPr>
          <w:sz w:val="24"/>
        </w:rPr>
      </w:r>
    </w:p>
    <w:p w14:paraId="7689B99E" w14:textId="01ABA92B">
      <w:pPr>
        <w:pBdr/>
        <w:spacing/>
        <w:ind/>
        <w:jc w:val="both"/>
        <w:rPr>
          <w:sz w:val="24"/>
        </w:rPr>
      </w:pPr>
      <w:r>
        <w:rPr>
          <w:sz w:val="24"/>
        </w:rPr>
        <w:t xml:space="preserve">L’équipement informatique de la bibliothèque conditionne l’avenir de la bibliothèque numérique. Une évaluation du parc informatique doit comprendre : </w:t>
      </w:r>
      <w:r>
        <w:rPr>
          <w:sz w:val="24"/>
        </w:rPr>
      </w:r>
    </w:p>
    <w:p w14:paraId="08CB1A24" w14:textId="6DEB35B0">
      <w:pPr>
        <w:pStyle w:val="683"/>
        <w:numPr>
          <w:ilvl w:val="0"/>
          <w:numId w:val="3"/>
        </w:numPr>
        <w:pBdr/>
        <w:spacing/>
        <w:ind/>
        <w:rPr>
          <w:sz w:val="24"/>
        </w:rPr>
      </w:pPr>
      <w:r>
        <w:rPr>
          <w:sz w:val="24"/>
        </w:rPr>
        <w:t xml:space="preserve">Le nombre de micro-ordinateurs à disposition du personnel (pour le traitement bibliographique des collections numérisées…)</w:t>
      </w:r>
      <w:r>
        <w:rPr>
          <w:sz w:val="24"/>
        </w:rPr>
      </w:r>
    </w:p>
    <w:p w14:paraId="3367D880" w14:textId="418F0D5F">
      <w:pPr>
        <w:pStyle w:val="683"/>
        <w:numPr>
          <w:ilvl w:val="0"/>
          <w:numId w:val="3"/>
        </w:numPr>
        <w:pBdr/>
        <w:spacing/>
        <w:ind/>
        <w:rPr>
          <w:sz w:val="24"/>
        </w:rPr>
      </w:pPr>
      <w:r>
        <w:rPr>
          <w:sz w:val="24"/>
        </w:rPr>
        <w:t xml:space="preserve">Le nombre de micro-ordinateurs à disposition du public (pour la consultation des collections numérisées en ligne ou sur CD-</w:t>
      </w:r>
      <w:r>
        <w:rPr>
          <w:sz w:val="24"/>
        </w:rPr>
        <w:t xml:space="preserve">Roms(</w:t>
      </w:r>
      <w:r>
        <w:rPr>
          <w:sz w:val="24"/>
        </w:rPr>
        <w:t xml:space="preserve">postes dédiés ou non)…)</w:t>
      </w:r>
      <w:r>
        <w:rPr>
          <w:sz w:val="24"/>
        </w:rPr>
      </w:r>
    </w:p>
    <w:p w14:paraId="2800D75F" w14:textId="35D73A9D">
      <w:pPr>
        <w:pStyle w:val="683"/>
        <w:numPr>
          <w:ilvl w:val="0"/>
          <w:numId w:val="3"/>
        </w:numPr>
        <w:pBdr/>
        <w:spacing/>
        <w:ind/>
        <w:rPr>
          <w:sz w:val="24"/>
        </w:rPr>
      </w:pPr>
      <w:r>
        <w:rPr>
          <w:sz w:val="24"/>
        </w:rPr>
        <w:t xml:space="preserve">Nombre, spécificités et capacités des serveurs existant</w:t>
      </w:r>
      <w:r>
        <w:rPr>
          <w:sz w:val="24"/>
        </w:rPr>
      </w:r>
    </w:p>
    <w:p w14:paraId="1CF07BCB" w14:textId="39976006">
      <w:pPr>
        <w:pStyle w:val="683"/>
        <w:numPr>
          <w:ilvl w:val="0"/>
          <w:numId w:val="3"/>
        </w:numPr>
        <w:pBdr/>
        <w:spacing/>
        <w:ind/>
        <w:rPr>
          <w:sz w:val="24"/>
        </w:rPr>
      </w:pPr>
      <w:r>
        <w:rPr>
          <w:sz w:val="24"/>
        </w:rPr>
        <w:t xml:space="preserve">Les caractéristiques du câblage du réseau informatique (importance de la question du débit pour le transfert des images, protocoles utilisés…)</w:t>
      </w:r>
      <w:r>
        <w:rPr>
          <w:sz w:val="24"/>
        </w:rPr>
      </w:r>
    </w:p>
    <w:p w14:paraId="7F4BA556" w14:textId="56ADBEC5">
      <w:pPr>
        <w:pBdr/>
        <w:spacing/>
        <w:ind/>
        <w:rPr>
          <w:sz w:val="24"/>
        </w:rPr>
      </w:pPr>
      <w:r>
        <w:rPr>
          <w:sz w:val="24"/>
        </w:rPr>
        <w:t xml:space="preserve">Etablissement d’objectifs :</w:t>
      </w:r>
      <w:r>
        <w:rPr>
          <w:sz w:val="24"/>
        </w:rPr>
      </w:r>
    </w:p>
    <w:p w14:paraId="627C6361" w14:textId="776F57C8">
      <w:pPr>
        <w:pBdr/>
        <w:spacing/>
        <w:ind/>
        <w:rPr>
          <w:sz w:val="24"/>
        </w:rPr>
      </w:pPr>
      <w:r>
        <w:rPr>
          <w:sz w:val="24"/>
        </w:rPr>
        <w:t xml:space="preserve">Autant de bibliothèques, autant de cas particuliers. </w:t>
      </w:r>
      <w:r>
        <w:rPr>
          <w:sz w:val="24"/>
        </w:rPr>
      </w:r>
    </w:p>
    <w:p w14:paraId="05878C12" w14:textId="23A1FB74">
      <w:pPr>
        <w:pBdr/>
        <w:spacing/>
        <w:ind/>
        <w:jc w:val="both"/>
        <w:rPr>
          <w:sz w:val="24"/>
        </w:rPr>
      </w:pPr>
      <w:r>
        <w:rPr>
          <w:sz w:val="24"/>
        </w:rPr>
        <w:t xml:space="preserve">p.17 :</w:t>
      </w:r>
      <w:r>
        <w:rPr>
          <w:sz w:val="24"/>
        </w:rPr>
      </w:r>
    </w:p>
    <w:p w14:paraId="183867E9" w14:textId="66904FFA">
      <w:pPr>
        <w:pBdr/>
        <w:spacing/>
        <w:ind/>
        <w:jc w:val="both"/>
        <w:rPr>
          <w:sz w:val="24"/>
        </w:rPr>
      </w:pPr>
      <w:r>
        <w:rPr>
          <w:sz w:val="24"/>
        </w:rPr>
        <w:t xml:space="preserve">la</w:t>
      </w:r>
      <w:r>
        <w:rPr>
          <w:sz w:val="24"/>
        </w:rPr>
        <w:t xml:space="preserve"> sélection de documents pour une bibliothèque numérique patrimoniale suit un processus spécifique par rapport aux autres bibliothèques numériques dans la mesure où elle n’est soumise à aucune restriction de nature juridique.</w:t>
      </w:r>
      <w:r>
        <w:rPr>
          <w:sz w:val="24"/>
        </w:rPr>
      </w:r>
    </w:p>
    <w:p w14:paraId="4959072E" w14:textId="03B172B8">
      <w:pPr>
        <w:pBdr/>
        <w:spacing/>
        <w:ind/>
        <w:jc w:val="both"/>
        <w:rPr>
          <w:sz w:val="24"/>
        </w:rPr>
      </w:pPr>
      <w:r>
        <w:rPr>
          <w:sz w:val="24"/>
        </w:rPr>
        <w:t xml:space="preserve">Or la question des droits de reproduction et de diffusion des documents se pose actuellement avec une telle acuité que le statut du document peut devenir dans certain cas un critère de sélection ou de non sélection.</w:t>
      </w:r>
      <w:r>
        <w:rPr>
          <w:sz w:val="24"/>
        </w:rPr>
      </w:r>
    </w:p>
    <w:p w14:paraId="498ABC62" w14:textId="6A7DEFE3">
      <w:pPr>
        <w:pBdr/>
        <w:spacing/>
        <w:ind/>
        <w:jc w:val="both"/>
        <w:rPr>
          <w:sz w:val="24"/>
        </w:rPr>
      </w:pPr>
      <w:r>
        <w:rPr>
          <w:sz w:val="24"/>
        </w:rPr>
        <w:t xml:space="preserve">La négociation des droits de propriété intellectuelle reste qui plus est à la charge de l’établi</w:t>
      </w:r>
      <w:r>
        <w:rPr>
          <w:sz w:val="24"/>
        </w:rPr>
        <w:t xml:space="preserve">ssement. Il faut préciser que le principe même d’une bibliothèque numérique patrimoniale ne la lie pas à la production éditoriale contemporaine ni aux suggestions d’acquisition des lecteurs, éléments de sélection utiles aux autres bibliothèques numériques.</w:t>
      </w:r>
      <w:r>
        <w:rPr>
          <w:sz w:val="24"/>
        </w:rPr>
      </w:r>
    </w:p>
    <w:p w14:paraId="7C68C4C8" w14:textId="18CEA421">
      <w:pPr>
        <w:pBdr/>
        <w:spacing/>
        <w:ind/>
        <w:jc w:val="both"/>
        <w:rPr>
          <w:sz w:val="24"/>
        </w:rPr>
      </w:pPr>
      <w:r>
        <w:rPr>
          <w:sz w:val="24"/>
        </w:rPr>
        <w:t xml:space="preserve">Comment sélectionner ?</w:t>
      </w:r>
      <w:r>
        <w:rPr>
          <w:sz w:val="24"/>
        </w:rPr>
      </w:r>
    </w:p>
    <w:p w14:paraId="4A7B4348" w14:textId="57B802DF">
      <w:pPr>
        <w:pBdr/>
        <w:spacing/>
        <w:ind/>
        <w:jc w:val="both"/>
        <w:rPr>
          <w:sz w:val="24"/>
        </w:rPr>
      </w:pPr>
      <w:r>
        <w:rPr>
          <w:sz w:val="24"/>
        </w:rPr>
        <w:t xml:space="preserve">Pratiquer une sélection pour une bibliothèque numérique patrimoniale impose, comme pour une bibliothèque matérielle, la désignation d’un coordinateur de la politique d’acquisition, ici de numérisation.</w:t>
      </w:r>
      <w:r>
        <w:rPr>
          <w:sz w:val="24"/>
        </w:rPr>
      </w:r>
    </w:p>
    <w:p w14:paraId="495312B5" w14:textId="79FCF443">
      <w:pPr>
        <w:pBdr/>
        <w:spacing/>
        <w:ind/>
        <w:jc w:val="both"/>
        <w:rPr>
          <w:sz w:val="24"/>
        </w:rPr>
      </w:pPr>
      <w:r>
        <w:rPr>
          <w:sz w:val="24"/>
        </w:rPr>
        <w:t xml:space="preserve">Il est indispensable qu’une même personne puisse avoir une vision globale de documents sélectionnés afin d’assurer la cohérence et l’homogénéité du fonds qui se constitue.</w:t>
      </w:r>
      <w:r>
        <w:rPr>
          <w:sz w:val="24"/>
        </w:rPr>
      </w:r>
    </w:p>
    <w:p w14:paraId="2E407609" w14:textId="2DBA3227">
      <w:pPr>
        <w:pBdr/>
        <w:spacing/>
        <w:ind/>
        <w:jc w:val="both"/>
        <w:rPr>
          <w:sz w:val="24"/>
        </w:rPr>
      </w:pPr>
      <w:r>
        <w:rPr>
          <w:sz w:val="24"/>
        </w:rPr>
        <w:t xml:space="preserve">Une excellente connaissance du fonds s’avère indispensable pour effectuer les bons choix.</w:t>
      </w:r>
      <w:r>
        <w:rPr>
          <w:sz w:val="24"/>
        </w:rPr>
      </w:r>
    </w:p>
    <w:p w14:paraId="5B22D39D" w14:textId="309B0436">
      <w:pPr>
        <w:pBdr/>
        <w:spacing/>
        <w:ind/>
        <w:jc w:val="both"/>
        <w:rPr>
          <w:sz w:val="24"/>
        </w:rPr>
      </w:pPr>
      <w:r>
        <w:rPr>
          <w:sz w:val="24"/>
        </w:rPr>
        <w:t xml:space="preserve">Il est souhaitable que ce coordinateur formalise avant toute chose les orientations et les grandes lignes qui vont présider à la sélection dans un document que l’on peut rapprocher, par analogie, d’un plan de développement des</w:t>
      </w:r>
      <w:r>
        <w:rPr>
          <w:sz w:val="24"/>
        </w:rPr>
        <w:t xml:space="preserve"> collections : si l’on rejette toute tentation de créer une bibliothèque numérique au coup par coup – garantie d’échec -, il faut établir un plan qui explicite l’optique générale retenue accompagnée des objectifs visés, des critères de sélection détaillés.</w:t>
      </w:r>
      <w:r>
        <w:rPr>
          <w:sz w:val="24"/>
        </w:rPr>
      </w:r>
    </w:p>
    <w:p w14:paraId="45FD5905" w14:textId="5C97A5B5">
      <w:pPr>
        <w:pBdr/>
        <w:spacing/>
        <w:ind/>
        <w:jc w:val="both"/>
        <w:rPr>
          <w:sz w:val="24"/>
        </w:rPr>
      </w:pPr>
      <w:r>
        <w:rPr>
          <w:sz w:val="24"/>
        </w:rPr>
        <w:t xml:space="preserve">p.18 : que sélectionner ?</w:t>
      </w:r>
      <w:r>
        <w:rPr>
          <w:sz w:val="24"/>
        </w:rPr>
      </w:r>
    </w:p>
    <w:p w14:paraId="40BCE905" w14:textId="57578639">
      <w:pPr>
        <w:pBdr/>
        <w:spacing/>
        <w:ind/>
        <w:jc w:val="both"/>
        <w:rPr>
          <w:sz w:val="24"/>
        </w:rPr>
      </w:pPr>
      <w:r>
        <w:rPr>
          <w:sz w:val="24"/>
        </w:rPr>
        <w:t xml:space="preserve">deux</w:t>
      </w:r>
      <w:r>
        <w:rPr>
          <w:sz w:val="24"/>
        </w:rPr>
        <w:t xml:space="preserve"> principes importants : il faut offrir une masse significative de documents pour attir</w:t>
      </w:r>
      <w:r>
        <w:rPr>
          <w:sz w:val="24"/>
        </w:rPr>
        <w:t xml:space="preserve">er et fidéliser les lecteurs sous peine de voir se manifester très rapidement leur désintérêt. Il faut garder à l’esprit qu’une bibliothèque numérique, comme une bibliothèque matérielle, est amenée à évoluer et à s’enrichir si elle ne veut pas disparaître.</w:t>
      </w:r>
      <w:r>
        <w:rPr>
          <w:sz w:val="24"/>
        </w:rPr>
      </w:r>
    </w:p>
    <w:p w14:paraId="53C522CE" w14:textId="1C7108CF">
      <w:pPr>
        <w:pBdr/>
        <w:spacing/>
        <w:ind/>
        <w:jc w:val="both"/>
        <w:rPr>
          <w:sz w:val="24"/>
        </w:rPr>
      </w:pPr>
      <w:r>
        <w:rPr>
          <w:sz w:val="24"/>
        </w:rPr>
        <w:t xml:space="preserve">p.19 :</w:t>
      </w:r>
      <w:r>
        <w:rPr>
          <w:sz w:val="24"/>
        </w:rPr>
      </w:r>
    </w:p>
    <w:p w14:paraId="376B9CB4" w14:textId="53B26FFC">
      <w:pPr>
        <w:pBdr/>
        <w:spacing/>
        <w:ind/>
        <w:jc w:val="both"/>
        <w:rPr>
          <w:sz w:val="24"/>
        </w:rPr>
      </w:pPr>
      <w:r>
        <w:rPr>
          <w:sz w:val="24"/>
        </w:rPr>
        <w:t xml:space="preserve">l’élaboration</w:t>
      </w:r>
      <w:r>
        <w:rPr>
          <w:sz w:val="24"/>
        </w:rPr>
        <w:t xml:space="preserve"> d’une bibliothèque numérique se heurte, de manière récurrente, à l’insuffisance de compétence technique appropriée au sein des établissements et d’équipement puissant.</w:t>
      </w:r>
      <w:r>
        <w:rPr>
          <w:sz w:val="24"/>
        </w:rPr>
      </w:r>
    </w:p>
    <w:p w14:paraId="6D26B6A8" w14:textId="5F727C67">
      <w:pPr>
        <w:pStyle w:val="677"/>
        <w:pBdr/>
        <w:spacing/>
        <w:ind/>
        <w:jc w:val="both"/>
        <w:rPr>
          <w:rFonts w:asciiTheme="minorHAnsi" w:hAnsiTheme="minorHAnsi" w:cstheme="minorHAnsi"/>
          <w:b/>
          <w:color w:val="auto"/>
          <w:sz w:val="28"/>
          <w:szCs w:val="28"/>
        </w:rPr>
      </w:pPr>
      <w:r>
        <w:rPr>
          <w:rFonts w:asciiTheme="minorHAnsi" w:hAnsiTheme="minorHAnsi" w:cstheme="minorHAnsi"/>
          <w:b/>
          <w:color w:val="auto"/>
          <w:sz w:val="28"/>
          <w:szCs w:val="28"/>
        </w:rPr>
        <w:t xml:space="preserve">Thomas Chaineux. L’entrée dans le Web de données : enjeux, principes et contraintes. Les cas de l’Association des Amis de la Fondation Seguin et du logiciel </w:t>
      </w:r>
      <w:r>
        <w:rPr>
          <w:rFonts w:asciiTheme="minorHAnsi" w:hAnsiTheme="minorHAnsi" w:cstheme="minorHAnsi"/>
          <w:b/>
          <w:color w:val="auto"/>
          <w:sz w:val="28"/>
          <w:szCs w:val="28"/>
        </w:rPr>
        <w:t xml:space="preserve">Omeka</w:t>
      </w:r>
      <w:r>
        <w:rPr>
          <w:rFonts w:asciiTheme="minorHAnsi" w:hAnsiTheme="minorHAnsi" w:cstheme="minorHAnsi"/>
          <w:b/>
          <w:color w:val="auto"/>
          <w:sz w:val="28"/>
          <w:szCs w:val="28"/>
        </w:rPr>
        <w:t xml:space="preserve">-S. Sciences de l’Homme et Société. 2023. </w:t>
      </w:r>
      <w:r>
        <w:rPr>
          <w:rFonts w:asciiTheme="minorHAnsi" w:hAnsiTheme="minorHAnsi" w:cstheme="minorHAnsi"/>
          <w:b/>
          <w:color w:val="auto"/>
          <w:sz w:val="28"/>
          <w:szCs w:val="28"/>
        </w:rPr>
      </w:r>
    </w:p>
    <w:p w14:paraId="461B6571" w14:textId="240F7AB7">
      <w:pPr>
        <w:pBdr/>
        <w:spacing/>
        <w:ind/>
        <w:rPr/>
      </w:pPr>
      <w:r/>
      <w:r/>
    </w:p>
    <w:p w14:paraId="00E39015" w14:textId="0D996B6F">
      <w:pPr>
        <w:pBdr/>
        <w:spacing/>
        <w:ind/>
        <w:jc w:val="both"/>
        <w:rPr>
          <w:sz w:val="24"/>
        </w:rPr>
      </w:pPr>
      <w:r>
        <w:rPr>
          <w:sz w:val="24"/>
        </w:rPr>
        <w:t xml:space="preserve">p.xiii : citation issue de </w:t>
      </w:r>
      <w:r>
        <w:rPr>
          <w:sz w:val="24"/>
        </w:rPr>
        <w:t xml:space="preserve">la charte internationale sur les d</w:t>
      </w:r>
      <w:r>
        <w:rPr>
          <w:sz w:val="24"/>
        </w:rPr>
        <w:t xml:space="preserve">onnées ouvertes, open data center, 2015. « Principes : ouvertes par défaut, rapide et complet, accessible et utilisable, comparable et interopérable, pour une gouvernance et un engagement citoyen améliorés, pour un développement inclusif et l’innovation ».</w:t>
      </w:r>
      <w:r>
        <w:rPr>
          <w:sz w:val="24"/>
        </w:rPr>
      </w:r>
    </w:p>
    <w:p w14:paraId="51BB4642" w14:textId="04E671EC">
      <w:pPr>
        <w:pBdr/>
        <w:spacing/>
        <w:ind/>
        <w:jc w:val="both"/>
        <w:rPr>
          <w:sz w:val="24"/>
        </w:rPr>
      </w:pPr>
      <w:r>
        <w:rPr>
          <w:sz w:val="24"/>
        </w:rPr>
        <w:t xml:space="preserve">pour</w:t>
      </w:r>
      <w:r>
        <w:rPr>
          <w:sz w:val="24"/>
        </w:rPr>
        <w:t xml:space="preserve"> Paul </w:t>
      </w:r>
      <w:r>
        <w:rPr>
          <w:sz w:val="24"/>
        </w:rPr>
        <w:t xml:space="preserve">Otlet</w:t>
      </w:r>
      <w:r>
        <w:rPr>
          <w:sz w:val="24"/>
        </w:rPr>
        <w:t xml:space="preserve"> l’accès au savoir est le chemin vers la paix et le progrès de l’Humanité toute entière. </w:t>
      </w:r>
      <w:r>
        <w:rPr>
          <w:sz w:val="24"/>
        </w:rPr>
      </w:r>
    </w:p>
    <w:p w14:paraId="17AD2123" w14:textId="19A31FA5">
      <w:pPr>
        <w:pBdr/>
        <w:spacing/>
        <w:ind/>
        <w:jc w:val="both"/>
        <w:rPr>
          <w:sz w:val="24"/>
        </w:rPr>
      </w:pPr>
      <w:r>
        <w:rPr>
          <w:sz w:val="24"/>
        </w:rPr>
        <w:t xml:space="preserve">p.xiv : aujourd’hui, les catalogueurs ont échangé le crayon contre le clavier, la fiche cartonnée a fait place à la notice bibliographique numérique, et les capacités des ordinateurs ont de loin dépassé ce qu’</w:t>
      </w:r>
      <w:r>
        <w:rPr>
          <w:sz w:val="24"/>
        </w:rPr>
        <w:t xml:space="preserve">Otlet</w:t>
      </w:r>
      <w:r>
        <w:rPr>
          <w:sz w:val="24"/>
        </w:rPr>
        <w:t xml:space="preserve"> dénommait les « substituts du livre, [qui] permettent d’atteindre le résultat que recherche le livre (information communication) » constitués par «</w:t>
      </w:r>
      <w:r>
        <w:rPr>
          <w:sz w:val="24"/>
        </w:rPr>
        <w:t xml:space="preserve"> l’objet dans le musée, le télégraphe et le téléphone, la radio, la télévision, le cinéma, les disques ». Cependant les problèmes de structuration et de mise à disposition de l’information demeurent, et même s’amplifient avec son accroissement exponentiel.</w:t>
      </w:r>
      <w:r>
        <w:rPr>
          <w:sz w:val="24"/>
        </w:rPr>
      </w:r>
    </w:p>
    <w:p w14:paraId="2201CB3E" w14:textId="13766491">
      <w:pPr>
        <w:pBdr/>
        <w:spacing/>
        <w:ind/>
        <w:jc w:val="both"/>
        <w:rPr>
          <w:sz w:val="24"/>
        </w:rPr>
      </w:pPr>
      <w:r>
        <w:rPr>
          <w:sz w:val="24"/>
        </w:rPr>
        <w:t xml:space="preserve">Les technologies du Web sémantique – concept dont le web de données est une émanation- sont apparues à la fin des années 1990, en portant</w:t>
      </w:r>
      <w:r>
        <w:rPr>
          <w:sz w:val="24"/>
        </w:rPr>
        <w:t xml:space="preserve"> un modèle qui devait permettre à la machine d’aider l’homme à organiser l’information non plus selon des documents (tels que des livres ou des pages Web) mais selon les informations qu’ils contiennent (les données) ou qui les décrivent (les métadonnées). </w:t>
      </w:r>
      <w:r>
        <w:rPr>
          <w:sz w:val="24"/>
        </w:rPr>
      </w:r>
    </w:p>
    <w:p w14:paraId="3FFCB890" w14:textId="407A7592">
      <w:pPr>
        <w:pBdr/>
        <w:spacing/>
        <w:ind/>
        <w:jc w:val="both"/>
        <w:rPr>
          <w:sz w:val="24"/>
        </w:rPr>
      </w:pPr>
      <w:r>
        <w:rPr>
          <w:sz w:val="24"/>
        </w:rPr>
        <w:t xml:space="preserve">Le web de données fait reposer sa structure sur la notion de liens entre ces données. </w:t>
      </w:r>
      <w:r>
        <w:rPr>
          <w:sz w:val="24"/>
        </w:rPr>
      </w:r>
    </w:p>
    <w:p w14:paraId="34FD2DCB" w14:textId="0F18FF14">
      <w:pPr>
        <w:pBdr/>
        <w:spacing/>
        <w:ind/>
        <w:jc w:val="both"/>
        <w:rPr>
          <w:sz w:val="24"/>
        </w:rPr>
      </w:pPr>
      <w:r>
        <w:rPr>
          <w:sz w:val="24"/>
        </w:rPr>
        <w:t xml:space="preserve">p.xv : l’AAFS avait choisi </w:t>
      </w:r>
      <w:r>
        <w:rPr>
          <w:sz w:val="24"/>
        </w:rPr>
        <w:t xml:space="preserve">Omeka</w:t>
      </w:r>
      <w:r>
        <w:rPr>
          <w:sz w:val="24"/>
        </w:rPr>
        <w:t xml:space="preserve">-S comme logiciel de travail, car, outre la possibilité d’appliquer les principes du Web de données pour la mise en base, il permet d’</w:t>
      </w:r>
      <w:r>
        <w:rPr>
          <w:sz w:val="24"/>
        </w:rPr>
        <w:t xml:space="preserve">éditorialiser</w:t>
      </w:r>
      <w:r>
        <w:rPr>
          <w:sz w:val="24"/>
        </w:rPr>
        <w:t xml:space="preserve"> chaque ressource sur un site Web lié. Il offre un compromis entre les impératifs du modèle et l’ergonomie ; étant un logiciel </w:t>
      </w:r>
      <w:r>
        <w:rPr>
          <w:i/>
          <w:sz w:val="24"/>
        </w:rPr>
        <w:t xml:space="preserve">open source</w:t>
      </w:r>
      <w:r>
        <w:rPr>
          <w:sz w:val="24"/>
        </w:rPr>
        <w:t xml:space="preserve">, il est également gratuit.</w:t>
      </w:r>
      <w:r>
        <w:rPr>
          <w:sz w:val="24"/>
        </w:rPr>
      </w:r>
    </w:p>
    <w:p w14:paraId="4CFE4D93" w14:textId="38B9F849">
      <w:pPr>
        <w:pBdr/>
        <w:spacing/>
        <w:ind/>
        <w:jc w:val="both"/>
        <w:rPr>
          <w:sz w:val="24"/>
        </w:rPr>
      </w:pPr>
      <w:r>
        <w:rPr>
          <w:sz w:val="24"/>
        </w:rPr>
        <w:t xml:space="preserve">p.3 : les institutions </w:t>
      </w:r>
      <w:r>
        <w:rPr>
          <w:sz w:val="24"/>
        </w:rPr>
        <w:t xml:space="preserve">culturelles,[</w:t>
      </w:r>
      <w:r>
        <w:rPr>
          <w:sz w:val="24"/>
        </w:rPr>
        <w:t xml:space="preserve">…], se sont emparées des mêmes technologies sémantiques pour proposer de nouveaux modèles de données, et pour les mettre à disposition des utilisateurs selon un paradigme nouveau. C’est le Web de données.</w:t>
      </w:r>
      <w:r>
        <w:rPr>
          <w:sz w:val="24"/>
        </w:rPr>
      </w:r>
    </w:p>
    <w:p w14:paraId="5176ED5F" w14:textId="42F5A4F8">
      <w:pPr>
        <w:pBdr/>
        <w:spacing/>
        <w:ind/>
        <w:jc w:val="both"/>
        <w:rPr>
          <w:sz w:val="24"/>
        </w:rPr>
      </w:pPr>
      <w:r>
        <w:rPr>
          <w:sz w:val="24"/>
        </w:rPr>
        <w:t xml:space="preserve">p.9 : 1.3 Les technologies sémantiques</w:t>
      </w:r>
      <w:r>
        <w:rPr>
          <w:sz w:val="24"/>
        </w:rPr>
      </w:r>
    </w:p>
    <w:p w14:paraId="64C687F9" w14:textId="521AAA5F">
      <w:pPr>
        <w:pBdr/>
        <w:spacing/>
        <w:ind/>
        <w:jc w:val="both"/>
        <w:rPr>
          <w:sz w:val="24"/>
        </w:rPr>
      </w:pPr>
      <w:r>
        <w:rPr>
          <w:sz w:val="24"/>
        </w:rPr>
        <w:t xml:space="preserve">l’une</w:t>
      </w:r>
      <w:r>
        <w:rPr>
          <w:sz w:val="24"/>
        </w:rPr>
        <w:t xml:space="preserve"> des principales limitations du Web pré-sémantique résidait dans l’absence de </w:t>
      </w:r>
      <w:r>
        <w:rPr>
          <w:sz w:val="24"/>
        </w:rPr>
        <w:t xml:space="preserve">structur</w:t>
      </w:r>
      <w:r>
        <w:rPr>
          <w:sz w:val="24"/>
        </w:rPr>
        <w:t xml:space="preserve"> et de contextualisation des données. </w:t>
      </w:r>
      <w:r>
        <w:rPr>
          <w:sz w:val="24"/>
        </w:rPr>
        <w:t xml:space="preserve">Chaque page était conçue de manière indépendante, en format plein texte. Les informations présentées étaient largement conçues pour être lues et comprises par les humains, et eux seuls. La machine, elle, est incapable d’analyser un </w:t>
      </w:r>
      <w:r>
        <w:rPr>
          <w:sz w:val="24"/>
        </w:rPr>
        <w:t xml:space="preserve">document en ligne, que ce soit du point de vue de son type, de sa structure, ou des termes et concepts qu’il contient.</w:t>
      </w:r>
      <w:r>
        <w:rPr>
          <w:sz w:val="24"/>
        </w:rPr>
      </w:r>
    </w:p>
    <w:p w14:paraId="6406E550" w14:textId="2831CA32">
      <w:pPr>
        <w:pBdr/>
        <w:spacing/>
        <w:ind/>
        <w:jc w:val="both"/>
        <w:rPr>
          <w:sz w:val="24"/>
        </w:rPr>
      </w:pPr>
      <w:r>
        <w:rPr>
          <w:sz w:val="24"/>
        </w:rPr>
        <w:t xml:space="preserve">Certes, des recherches par mots-clés sont possibles, par balayage d’une page à la recherche </w:t>
      </w:r>
      <w:r>
        <w:rPr>
          <w:sz w:val="24"/>
        </w:rPr>
        <w:t xml:space="preserve">d’une suite de caractères ; cependant, elles montrent leurs limites dès qu’il s’agit de gérer le genre et le nombre d’un terme, de désambiguïser deux termes polysémiques, ou, au contraire, de renvoyer des termes synonymes ou relevant du même champ lexical.</w:t>
      </w:r>
      <w:r>
        <w:rPr>
          <w:sz w:val="24"/>
        </w:rPr>
      </w:r>
    </w:p>
    <w:p w14:paraId="1926A0D4" w14:textId="2F947F4E">
      <w:pPr>
        <w:pBdr/>
        <w:spacing/>
        <w:ind/>
        <w:jc w:val="both"/>
        <w:rPr>
          <w:sz w:val="24"/>
        </w:rPr>
      </w:pPr>
      <w:r>
        <w:rPr>
          <w:sz w:val="24"/>
        </w:rPr>
        <w:t xml:space="preserve">La pratique consistant à glisser des mots-clés cachés au sein des pages, afin d’augmenter son référencement, donne de nombreux faux positifs. Mobiliser les ressources de la machine devient nécessaire pour assister l’homme dans sa quête d’information.</w:t>
      </w:r>
      <w:r>
        <w:rPr>
          <w:sz w:val="24"/>
        </w:rPr>
      </w:r>
    </w:p>
    <w:p w14:paraId="6EE4A142" w14:textId="13430261">
      <w:pPr>
        <w:pBdr/>
        <w:spacing/>
        <w:ind/>
        <w:jc w:val="both"/>
        <w:rPr>
          <w:sz w:val="24"/>
        </w:rPr>
      </w:pPr>
      <w:r>
        <w:rPr>
          <w:sz w:val="24"/>
        </w:rPr>
        <w:t xml:space="preserve">p.10 : « Le Web sémantique n’est pas un Web à part, mais une extension du Web actuel, dans lequel l’information est dotée d’une signification bien définie, ce qui permet aux ordinateurs et aux personnes de mieux travailler en coopération ».</w:t>
      </w:r>
      <w:r>
        <w:rPr>
          <w:sz w:val="24"/>
        </w:rPr>
      </w:r>
    </w:p>
    <w:p w14:paraId="5F21F8FB" w14:textId="5DBD41AA">
      <w:pPr>
        <w:pBdr/>
        <w:spacing/>
        <w:ind/>
        <w:jc w:val="both"/>
        <w:rPr>
          <w:sz w:val="24"/>
        </w:rPr>
      </w:pPr>
      <w:r>
        <w:rPr>
          <w:sz w:val="24"/>
        </w:rPr>
        <w:t xml:space="preserve">les</w:t>
      </w:r>
      <w:r>
        <w:rPr>
          <w:sz w:val="24"/>
        </w:rPr>
        <w:t xml:space="preserve"> technologies sémantiques ont pour objectif de mettre en lumière l’information au sein des documents du Web. Ceux-ci sont alors découpés en une série d’éléments dont le contenu est balisé par un marquage signifiant : ce sont les </w:t>
      </w:r>
      <w:r>
        <w:rPr>
          <w:sz w:val="24"/>
        </w:rPr>
        <w:t xml:space="preserve">microdonnées</w:t>
      </w:r>
      <w:r>
        <w:rPr>
          <w:sz w:val="24"/>
        </w:rPr>
        <w:t xml:space="preserve">. Elles permettent « d’identifier qu’une page Web concerne un livre, et d’opérer une distinction entre les informations relatives à son titre, à son auteur, à son genre, à son résumé, les œuvres similaires, etc. ».</w:t>
      </w:r>
      <w:r>
        <w:rPr>
          <w:sz w:val="24"/>
        </w:rPr>
      </w:r>
    </w:p>
    <w:p w14:paraId="408CEE20" w14:textId="427F6D31">
      <w:pPr>
        <w:pBdr/>
        <w:spacing/>
        <w:ind/>
        <w:jc w:val="both"/>
        <w:rPr>
          <w:sz w:val="24"/>
        </w:rPr>
      </w:pPr>
      <w:r>
        <w:rPr>
          <w:sz w:val="24"/>
        </w:rPr>
        <w:t xml:space="preserve">le</w:t>
      </w:r>
      <w:r>
        <w:rPr>
          <w:sz w:val="24"/>
        </w:rPr>
        <w:t xml:space="preserve"> terme Web sémantique : l’absence de consensus terminologique peut être révélateur de conceptions différentes.</w:t>
      </w:r>
      <w:r>
        <w:rPr>
          <w:sz w:val="24"/>
        </w:rPr>
      </w:r>
    </w:p>
    <w:p w14:paraId="2D8CD2BC" w14:textId="4C3344B6">
      <w:pPr>
        <w:pBdr/>
        <w:spacing/>
        <w:ind/>
        <w:jc w:val="both"/>
        <w:rPr>
          <w:sz w:val="24"/>
        </w:rPr>
      </w:pPr>
      <w:r>
        <w:rPr>
          <w:sz w:val="24"/>
        </w:rPr>
        <w:t xml:space="preserve">p.11 : Tim Berners-Lee a lui-même reco</w:t>
      </w:r>
      <w:r>
        <w:rPr>
          <w:sz w:val="24"/>
        </w:rPr>
        <w:t xml:space="preserve">nnu l’ambiguïté du terme, car « la sémantique [s’intéressant] au sens du langage pour en déduire des constructions logiques […], certains ont pensé qu’il s’agissait d’un Web qui permettrait par exemple d’effectuer des recherches sur Internet en posant des </w:t>
      </w:r>
      <w:r>
        <w:rPr>
          <w:sz w:val="24"/>
        </w:rPr>
        <w:t xml:space="preserve">questions</w:t>
      </w:r>
      <w:r>
        <w:rPr>
          <w:sz w:val="24"/>
        </w:rPr>
        <w:t xml:space="preserve"> sous forme de phrases, en la</w:t>
      </w:r>
      <w:r>
        <w:rPr>
          <w:sz w:val="24"/>
        </w:rPr>
        <w:t xml:space="preserve">n</w:t>
      </w:r>
      <w:r>
        <w:rPr>
          <w:sz w:val="24"/>
        </w:rPr>
        <w:t xml:space="preserve">gage naturel.</w:t>
      </w:r>
      <w:r>
        <w:rPr>
          <w:sz w:val="24"/>
        </w:rPr>
        <w:t xml:space="preserve"> Or ce n’est pas son but ».</w:t>
      </w:r>
      <w:r>
        <w:rPr>
          <w:sz w:val="24"/>
        </w:rPr>
      </w:r>
    </w:p>
    <w:p w14:paraId="65DFD6CD" w14:textId="13C5783B">
      <w:pPr>
        <w:pBdr/>
        <w:spacing/>
        <w:ind/>
        <w:jc w:val="both"/>
        <w:rPr>
          <w:sz w:val="24"/>
        </w:rPr>
      </w:pPr>
      <w:r>
        <w:rPr>
          <w:sz w:val="24"/>
        </w:rPr>
        <w:t xml:space="preserve">p.12 : 1.4 : vers le web de données.</w:t>
      </w:r>
      <w:r>
        <w:rPr>
          <w:sz w:val="24"/>
        </w:rPr>
        <w:t xml:space="preserve"> </w:t>
      </w:r>
      <w:r>
        <w:rPr>
          <w:sz w:val="24"/>
        </w:rPr>
      </w:r>
    </w:p>
    <w:p w14:paraId="7DC003B1" w14:textId="3468C25D">
      <w:pPr>
        <w:pBdr/>
        <w:spacing/>
        <w:ind/>
        <w:jc w:val="both"/>
        <w:rPr>
          <w:sz w:val="24"/>
        </w:rPr>
      </w:pPr>
      <w:r>
        <w:rPr>
          <w:sz w:val="24"/>
        </w:rPr>
        <w:t xml:space="preserve">Le</w:t>
      </w:r>
      <w:r>
        <w:rPr>
          <w:sz w:val="24"/>
        </w:rPr>
        <w:t xml:space="preserve">s institutions scientifiques participent à l’effervescence initiale autour des technologies sémantiques. </w:t>
      </w:r>
      <w:r>
        <w:rPr>
          <w:sz w:val="24"/>
        </w:rPr>
        <w:t xml:space="preserve">Elles </w:t>
      </w:r>
      <w:r>
        <w:rPr>
          <w:sz w:val="24"/>
        </w:rPr>
        <w:t xml:space="preserve">développent leurs propres modèles de connaissances, dont la complexité est à la hauteur de leurs besoins.</w:t>
      </w:r>
      <w:r>
        <w:rPr>
          <w:sz w:val="24"/>
        </w:rPr>
      </w:r>
    </w:p>
    <w:p w14:paraId="253F3031" w14:textId="1EA94BBB">
      <w:pPr>
        <w:pBdr/>
        <w:spacing/>
        <w:ind/>
        <w:jc w:val="both"/>
        <w:rPr>
          <w:sz w:val="24"/>
        </w:rPr>
      </w:pPr>
      <w:r>
        <w:rPr>
          <w:sz w:val="24"/>
        </w:rPr>
        <w:t xml:space="preserve">« </w:t>
      </w:r>
      <w:r>
        <w:rPr>
          <w:sz w:val="24"/>
        </w:rPr>
        <w:t xml:space="preserve">Le web sémantique ne consiste pas seulement à mettre des données sur le web. Il s’agit de créer des liens, afin qu’une personne ou une machine </w:t>
      </w:r>
      <w:r>
        <w:rPr>
          <w:sz w:val="24"/>
        </w:rPr>
        <w:t xml:space="preserve">puisse explorer le web d</w:t>
      </w:r>
      <w:r>
        <w:rPr>
          <w:sz w:val="24"/>
        </w:rPr>
        <w:t xml:space="preserve">e données. Avec les donnée</w:t>
      </w:r>
      <w:r>
        <w:rPr>
          <w:sz w:val="24"/>
        </w:rPr>
        <w:t xml:space="preserve">s liées, lorsque vous en possédez certaines, vous pouvez trouver d’autres données connexes. Comme </w:t>
      </w:r>
      <w:r>
        <w:rPr>
          <w:sz w:val="24"/>
        </w:rPr>
        <w:t xml:space="preserve">le web de l’hypertexte, le web de données est construit à partir de documents sur le web. Toutefois, contrairement au web</w:t>
      </w:r>
      <w:r>
        <w:rPr>
          <w:sz w:val="24"/>
        </w:rPr>
        <w:t xml:space="preserve"> de l’hypertexte, où les liens sont des ancres de relations dans des documents hypertextes écrits en HTML, pour les données</w:t>
      </w:r>
      <w:r>
        <w:rPr>
          <w:sz w:val="24"/>
        </w:rPr>
        <w:t xml:space="preserve">, il s’agit de liens entre des élé</w:t>
      </w:r>
      <w:r>
        <w:rPr>
          <w:sz w:val="24"/>
        </w:rPr>
        <w:t xml:space="preserve">ments arbitraires décrits par RDF ».</w:t>
      </w:r>
      <w:r>
        <w:rPr>
          <w:sz w:val="24"/>
        </w:rPr>
      </w:r>
    </w:p>
    <w:p w14:paraId="18FB4348" w14:textId="745332A2">
      <w:pPr>
        <w:pBdr/>
        <w:spacing/>
        <w:ind/>
        <w:jc w:val="both"/>
        <w:rPr>
          <w:sz w:val="24"/>
        </w:rPr>
      </w:pPr>
      <w:r>
        <w:rPr>
          <w:sz w:val="24"/>
        </w:rPr>
        <w:t xml:space="preserve">P.13 : </w:t>
      </w:r>
      <w:r>
        <w:rPr>
          <w:sz w:val="24"/>
        </w:rPr>
        <w:t xml:space="preserve">dans </w:t>
      </w:r>
      <w:r>
        <w:rPr>
          <w:i/>
          <w:iCs/>
          <w:sz w:val="24"/>
        </w:rPr>
        <w:t xml:space="preserve">Linked</w:t>
      </w:r>
      <w:r>
        <w:rPr>
          <w:i/>
          <w:iCs/>
          <w:sz w:val="24"/>
        </w:rPr>
        <w:t xml:space="preserve"> Data</w:t>
      </w:r>
      <w:r>
        <w:rPr>
          <w:sz w:val="24"/>
        </w:rPr>
        <w:t xml:space="preserve">, </w:t>
      </w:r>
      <w:r>
        <w:rPr>
          <w:sz w:val="24"/>
        </w:rPr>
        <w:t xml:space="preserve">Berners</w:t>
      </w:r>
      <w:r>
        <w:rPr>
          <w:sz w:val="24"/>
        </w:rPr>
        <w:t xml:space="preserve">-Lee pose les quatre principes fondateurs du Web de données : </w:t>
      </w:r>
      <w:r>
        <w:rPr>
          <w:sz w:val="24"/>
        </w:rPr>
        <w:t xml:space="preserve">l’usage des URI comme identifiants de ressources, l’usage du protocole</w:t>
      </w:r>
      <w:r>
        <w:rPr>
          <w:sz w:val="24"/>
        </w:rPr>
        <w:t xml:space="preserve"> </w:t>
      </w:r>
      <w:r>
        <w:rPr>
          <w:sz w:val="24"/>
        </w:rPr>
        <w:t xml:space="preserve">http pour les formuler, l’utilisation de formats spécifiques et de SPARQL, et l’agencement des URI entre eux selon </w:t>
      </w:r>
      <w:r>
        <w:rPr>
          <w:sz w:val="24"/>
        </w:rPr>
        <w:t xml:space="preserve">des liens sémantiques.</w:t>
      </w:r>
      <w:r>
        <w:rPr>
          <w:sz w:val="24"/>
        </w:rPr>
      </w:r>
    </w:p>
    <w:p w14:paraId="0BF8FEF2" w14:textId="46B15B72">
      <w:pPr>
        <w:pBdr/>
        <w:spacing/>
        <w:ind/>
        <w:jc w:val="both"/>
        <w:rPr>
          <w:sz w:val="24"/>
        </w:rPr>
      </w:pPr>
      <w:r>
        <w:rPr>
          <w:sz w:val="24"/>
        </w:rPr>
        <w:t xml:space="preserve">Le Web de données se présente donc avant tout comme la définition d’un nouveau rés</w:t>
      </w:r>
      <w:r>
        <w:rPr>
          <w:sz w:val="24"/>
        </w:rPr>
        <w:t xml:space="preserve">eau : non plus de document en document, mais bien entre données, </w:t>
      </w:r>
      <w:r>
        <w:rPr>
          <w:sz w:val="24"/>
        </w:rPr>
        <w:t xml:space="preserve">les </w:t>
      </w:r>
      <w:r>
        <w:rPr>
          <w:i/>
          <w:iCs/>
          <w:sz w:val="24"/>
        </w:rPr>
        <w:t xml:space="preserve">Linked</w:t>
      </w:r>
      <w:r>
        <w:rPr>
          <w:i/>
          <w:iCs/>
          <w:sz w:val="24"/>
        </w:rPr>
        <w:t xml:space="preserve"> Data</w:t>
      </w:r>
      <w:r>
        <w:rPr>
          <w:sz w:val="24"/>
        </w:rPr>
        <w:t xml:space="preserve">.</w:t>
      </w:r>
      <w:r>
        <w:rPr>
          <w:sz w:val="24"/>
        </w:rPr>
      </w:r>
    </w:p>
    <w:p w14:paraId="68FEA98D" w14:textId="729AEB8A">
      <w:pPr>
        <w:pBdr/>
        <w:spacing/>
        <w:ind/>
        <w:jc w:val="both"/>
        <w:rPr>
          <w:sz w:val="24"/>
        </w:rPr>
      </w:pPr>
      <w:r>
        <w:rPr>
          <w:sz w:val="24"/>
        </w:rPr>
        <w:t xml:space="preserve">« </w:t>
      </w:r>
      <w:r>
        <w:rPr>
          <w:sz w:val="24"/>
        </w:rPr>
        <w:t xml:space="preserve">Créer un lien automatique pour relier les données qui sont stockées dans les différents fichiers et bases de données de nos ordina</w:t>
      </w:r>
      <w:r>
        <w:rPr>
          <w:sz w:val="24"/>
        </w:rPr>
        <w:t xml:space="preserve">teurs », et s’affranchir ainsi du cloisonnement que constituent les activités propres à chaque institution</w:t>
      </w:r>
      <w:r>
        <w:rPr>
          <w:sz w:val="24"/>
        </w:rPr>
        <w:t xml:space="preserve">.</w:t>
      </w:r>
      <w:r>
        <w:rPr>
          <w:sz w:val="24"/>
        </w:rPr>
        <w:t xml:space="preserve"> </w:t>
      </w:r>
      <w:r>
        <w:rPr>
          <w:sz w:val="24"/>
        </w:rPr>
      </w:r>
    </w:p>
    <w:p w14:paraId="3C4AFDD3" w14:textId="7947F58B">
      <w:pPr>
        <w:pBdr/>
        <w:spacing/>
        <w:ind/>
        <w:jc w:val="both"/>
        <w:rPr>
          <w:sz w:val="24"/>
        </w:rPr>
      </w:pPr>
      <w:r>
        <w:rPr>
          <w:sz w:val="24"/>
        </w:rPr>
        <w:t xml:space="preserve">p.14 : les </w:t>
      </w:r>
      <w:r>
        <w:rPr>
          <w:sz w:val="24"/>
        </w:rPr>
        <w:t xml:space="preserve">linked</w:t>
      </w:r>
      <w:r>
        <w:rPr>
          <w:sz w:val="24"/>
        </w:rPr>
        <w:t xml:space="preserve"> open data </w:t>
      </w:r>
      <w:r>
        <w:rPr>
          <w:sz w:val="24"/>
        </w:rPr>
      </w:r>
    </w:p>
    <w:p w14:paraId="58A3C49D" w14:textId="45C0B6AB">
      <w:pPr>
        <w:pBdr/>
        <w:spacing/>
        <w:ind/>
        <w:jc w:val="both"/>
        <w:rPr>
          <w:sz w:val="24"/>
        </w:rPr>
      </w:pPr>
      <w:r>
        <w:rPr>
          <w:sz w:val="24"/>
        </w:rPr>
        <w:t xml:space="preserve">créer</w:t>
      </w:r>
      <w:r>
        <w:rPr>
          <w:sz w:val="24"/>
        </w:rPr>
        <w:t xml:space="preserve"> du lien entre données nécessite </w:t>
      </w:r>
      <w:r>
        <w:rPr>
          <w:sz w:val="24"/>
        </w:rPr>
        <w:t xml:space="preserve">cpdt</w:t>
      </w:r>
      <w:r>
        <w:rPr>
          <w:sz w:val="24"/>
        </w:rPr>
        <w:t xml:space="preserve"> que les données soient partagées, et rendues consultables sur le web. </w:t>
      </w:r>
      <w:r>
        <w:rPr>
          <w:sz w:val="24"/>
        </w:rPr>
      </w:r>
    </w:p>
    <w:p w14:paraId="0D2CA0BB" w14:textId="4846E193">
      <w:pPr>
        <w:pBdr/>
        <w:spacing/>
        <w:ind/>
        <w:jc w:val="both"/>
        <w:rPr>
          <w:sz w:val="24"/>
        </w:rPr>
      </w:pPr>
      <w:r>
        <w:rPr>
          <w:sz w:val="24"/>
        </w:rPr>
        <w:t xml:space="preserve">Dans le but d’à la fois en préciser la portée et de créer de l’effervescence autour de lui, </w:t>
      </w:r>
      <w:r>
        <w:rPr>
          <w:sz w:val="24"/>
        </w:rPr>
        <w:t xml:space="preserve">Berners</w:t>
      </w:r>
      <w:r>
        <w:rPr>
          <w:sz w:val="24"/>
        </w:rPr>
        <w:t xml:space="preserve">-Lee en définit une échelle de qualité. La notation est comprise entre une et cinq étoiles : </w:t>
      </w:r>
      <w:r>
        <w:rPr>
          <w:sz w:val="24"/>
        </w:rPr>
      </w:r>
    </w:p>
    <w:p w14:paraId="624892A0" w14:textId="5369BC02">
      <w:pPr>
        <w:pStyle w:val="683"/>
        <w:numPr>
          <w:ilvl w:val="0"/>
          <w:numId w:val="3"/>
        </w:numPr>
        <w:pBdr/>
        <w:spacing/>
        <w:ind/>
        <w:rPr>
          <w:sz w:val="24"/>
        </w:rPr>
      </w:pPr>
      <w:r>
        <w:rPr>
          <w:sz w:val="24"/>
        </w:rPr>
        <w:t xml:space="preserve">1 étoile : les données sont rendues disponibles sur le Web, peu importe le format tant que leur réemploi est autorisé (ce qui leur permet d’être catégorisées comme </w:t>
      </w:r>
      <w:r>
        <w:rPr>
          <w:i/>
          <w:sz w:val="24"/>
        </w:rPr>
        <w:t xml:space="preserve">Open data</w:t>
      </w:r>
      <w:r>
        <w:rPr>
          <w:sz w:val="24"/>
        </w:rPr>
        <w:t xml:space="preserve">) ;</w:t>
      </w:r>
      <w:r>
        <w:rPr>
          <w:sz w:val="24"/>
        </w:rPr>
      </w:r>
    </w:p>
    <w:p w14:paraId="1A5E8CA5" w14:textId="3C70615D">
      <w:pPr>
        <w:pStyle w:val="683"/>
        <w:numPr>
          <w:ilvl w:val="0"/>
          <w:numId w:val="3"/>
        </w:numPr>
        <w:pBdr/>
        <w:spacing/>
        <w:ind/>
        <w:rPr>
          <w:sz w:val="24"/>
        </w:rPr>
      </w:pPr>
      <w:r>
        <w:rPr>
          <w:sz w:val="24"/>
        </w:rPr>
        <w:t xml:space="preserve">2 étoiles : les données sont rendues disponibles dans un format structuré et non-propriétaire (tel qu’un tableur Excel), soit un format lisible par une machine ;</w:t>
      </w:r>
      <w:r>
        <w:rPr>
          <w:sz w:val="24"/>
        </w:rPr>
      </w:r>
    </w:p>
    <w:p w14:paraId="3E53EE46" w14:textId="362A3496">
      <w:pPr>
        <w:pStyle w:val="683"/>
        <w:numPr>
          <w:ilvl w:val="0"/>
          <w:numId w:val="3"/>
        </w:numPr>
        <w:pBdr/>
        <w:spacing/>
        <w:ind/>
        <w:rPr>
          <w:sz w:val="24"/>
        </w:rPr>
      </w:pPr>
      <w:r>
        <w:rPr>
          <w:sz w:val="24"/>
        </w:rPr>
        <w:t xml:space="preserve">3 étoiles : les données sont rendues disponibles dans un format structuré et non-propriétaire (c’est-à-dire dont les spécifications techniques ne sont pas contrôlées par des intérêts privés), tel que CSV à la place d’Excel ;</w:t>
      </w:r>
      <w:r>
        <w:rPr>
          <w:sz w:val="24"/>
        </w:rPr>
      </w:r>
    </w:p>
    <w:p w14:paraId="0C301EDC" w14:textId="3DAD6A3A">
      <w:pPr>
        <w:pStyle w:val="683"/>
        <w:numPr>
          <w:ilvl w:val="0"/>
          <w:numId w:val="3"/>
        </w:numPr>
        <w:pBdr/>
        <w:spacing/>
        <w:ind/>
        <w:rPr>
          <w:sz w:val="24"/>
        </w:rPr>
      </w:pPr>
      <w:r>
        <w:rPr>
          <w:sz w:val="24"/>
        </w:rPr>
        <w:t xml:space="preserve">4 étoiles : les données sont rendues disponibles dans un format structuré et non-propriétaire, et utilisent les standards du W3C (RDF et SPARQL) pour identifier les données ;</w:t>
      </w:r>
      <w:r>
        <w:rPr>
          <w:sz w:val="24"/>
        </w:rPr>
      </w:r>
    </w:p>
    <w:p w14:paraId="40D10AE3" w14:textId="2CEEA883">
      <w:pPr>
        <w:pStyle w:val="683"/>
        <w:numPr>
          <w:ilvl w:val="0"/>
          <w:numId w:val="3"/>
        </w:numPr>
        <w:pBdr/>
        <w:spacing/>
        <w:ind/>
        <w:rPr>
          <w:sz w:val="24"/>
        </w:rPr>
      </w:pPr>
      <w:r>
        <w:rPr>
          <w:sz w:val="24"/>
        </w:rPr>
        <w:t xml:space="preserve">5 étoiles : les données sont rendues disponibles dans un format structuré et non-propriétaire, utilisent les standards du W3C susmentionnés et lient leurs données à des données extérieures pour fournir du contexte.</w:t>
      </w:r>
      <w:r>
        <w:rPr>
          <w:sz w:val="24"/>
        </w:rPr>
      </w:r>
    </w:p>
    <w:p w14:paraId="5AC38646" w14:textId="615F68CD">
      <w:pPr>
        <w:pBdr/>
        <w:spacing/>
        <w:ind/>
        <w:jc w:val="both"/>
        <w:rPr>
          <w:sz w:val="24"/>
        </w:rPr>
      </w:pPr>
      <w:r>
        <w:rPr>
          <w:sz w:val="24"/>
        </w:rPr>
        <w:t xml:space="preserve">p.17 : chapitre 2 : les principes du web de données</w:t>
      </w:r>
      <w:r>
        <w:rPr>
          <w:sz w:val="24"/>
        </w:rPr>
      </w:r>
    </w:p>
    <w:p w14:paraId="24447118" w14:textId="4A877912">
      <w:pPr>
        <w:pBdr/>
        <w:spacing/>
        <w:ind/>
        <w:jc w:val="both"/>
        <w:rPr>
          <w:sz w:val="24"/>
        </w:rPr>
      </w:pPr>
      <w:r>
        <w:rPr>
          <w:sz w:val="24"/>
        </w:rPr>
        <w:t xml:space="preserve">Web de données : stockage dans une base de connaissances ouvertes au réemploi, depuis laquelle des entités seront extraites pour être </w:t>
      </w:r>
      <w:r>
        <w:rPr>
          <w:sz w:val="24"/>
        </w:rPr>
        <w:t xml:space="preserve">éditorialisées</w:t>
      </w:r>
      <w:r>
        <w:rPr>
          <w:sz w:val="24"/>
        </w:rPr>
        <w:t xml:space="preserve">.</w:t>
      </w:r>
      <w:r>
        <w:rPr>
          <w:sz w:val="24"/>
        </w:rPr>
      </w:r>
    </w:p>
    <w:p w14:paraId="4A3C746A" w14:textId="07E4868E">
      <w:pPr>
        <w:pBdr/>
        <w:spacing/>
        <w:ind/>
        <w:jc w:val="both"/>
        <w:rPr>
          <w:sz w:val="24"/>
        </w:rPr>
      </w:pPr>
      <w:r>
        <w:rPr>
          <w:sz w:val="24"/>
        </w:rPr>
        <w:t xml:space="preserve">Bases : modélisées en graphe de connaissances, suivent le modèle RDF, et disposent de leur propre langage de requête : SPARQL.</w:t>
      </w:r>
      <w:r>
        <w:rPr>
          <w:sz w:val="24"/>
        </w:rPr>
      </w:r>
    </w:p>
    <w:p w14:paraId="69DF809F" w14:textId="01DE2201">
      <w:pPr>
        <w:pBdr/>
        <w:spacing/>
        <w:ind/>
        <w:jc w:val="both"/>
        <w:rPr>
          <w:sz w:val="24"/>
        </w:rPr>
      </w:pPr>
      <w:r>
        <w:rPr>
          <w:sz w:val="24"/>
        </w:rPr>
        <w:t xml:space="preserve">Modélisation des données : étape essentielle dans le processus de gestion de l’information. Dans le cas des technologies sémantiques, la modélisation prend la forme du graphe de </w:t>
      </w:r>
      <w:r>
        <w:rPr>
          <w:sz w:val="24"/>
        </w:rPr>
        <w:t xml:space="preserve">c</w:t>
      </w:r>
      <w:r>
        <w:rPr>
          <w:sz w:val="24"/>
        </w:rPr>
        <w:t xml:space="preserve">onnaissance, qui consiste à structurer l’information par la définition de relations entre entités – des personnes, lieux, documents, concepts, etc. Celles-ci vont être représentées par des « nœuds », connectés par des « arêtes » qui représentent ces liens.</w:t>
      </w:r>
      <w:r>
        <w:rPr>
          <w:sz w:val="24"/>
        </w:rPr>
      </w:r>
    </w:p>
    <w:p w14:paraId="7FDEDC24" w14:textId="77777777">
      <w:pPr>
        <w:pBdr/>
        <w:spacing/>
        <w:ind/>
        <w:rPr>
          <w:sz w:val="24"/>
        </w:rPr>
      </w:pPr>
      <w:r>
        <w:rPr>
          <w:sz w:val="24"/>
        </w:rPr>
        <w:t xml:space="preserve">p.19 : Le RDF</w:t>
      </w:r>
      <w:r>
        <w:rPr>
          <w:sz w:val="24"/>
        </w:rPr>
      </w:r>
    </w:p>
    <w:p w14:paraId="302DAF0E" w14:textId="127A7B74">
      <w:pPr>
        <w:pBdr/>
        <w:spacing/>
        <w:ind/>
        <w:jc w:val="both"/>
        <w:rPr>
          <w:sz w:val="24"/>
        </w:rPr>
      </w:pPr>
      <w:r>
        <w:rPr>
          <w:sz w:val="24"/>
        </w:rPr>
        <w:br/>
        <w:t xml:space="preserve">RDF : développé par le W3C pour répondre aux besoins croissants de gestion et de représentation d</w:t>
      </w:r>
      <w:r>
        <w:rPr>
          <w:sz w:val="24"/>
        </w:rPr>
        <w:t xml:space="preserve">es données sur le Web. Considéré comme une façon de représenter des données préalablement modélisées sous forme de graphe. Donne une signification à un lien standardisé entre deux ressources. Ce lien est le vecteur d’interopérabilité entre jeux de données.</w:t>
      </w:r>
      <w:r>
        <w:rPr>
          <w:sz w:val="24"/>
        </w:rPr>
      </w:r>
    </w:p>
    <w:p w14:paraId="75BA109F" w14:textId="21895B74">
      <w:pPr>
        <w:pBdr/>
        <w:spacing/>
        <w:ind/>
        <w:jc w:val="both"/>
        <w:rPr>
          <w:sz w:val="24"/>
        </w:rPr>
      </w:pPr>
      <w:r>
        <w:rPr>
          <w:sz w:val="24"/>
        </w:rPr>
        <w:t xml:space="preserve">Principes du RDF : le principe fondateur du RDF consiste à « découper » un graphe en une série d’assertions basiques, de la même manière qu’une phrase simple est composée d’un verbe, d’un sujet et d’un complément. Ces phrases sont appelées des triplets. </w:t>
      </w:r>
      <w:r>
        <w:rPr>
          <w:sz w:val="24"/>
        </w:rPr>
      </w:r>
    </w:p>
    <w:p w14:paraId="2D863793" w14:textId="34FFA03A">
      <w:pPr>
        <w:pBdr/>
        <w:spacing/>
        <w:ind/>
        <w:jc w:val="both"/>
        <w:rPr>
          <w:sz w:val="24"/>
        </w:rPr>
      </w:pPr>
      <w:r>
        <w:rPr>
          <w:sz w:val="24"/>
        </w:rPr>
        <w:t xml:space="preserve">Chacun d’eux est composé de trois éléments : le sujet, le prédicat et l’objet.</w:t>
      </w:r>
      <w:r>
        <w:rPr>
          <w:sz w:val="24"/>
        </w:rPr>
      </w:r>
    </w:p>
    <w:p w14:paraId="4DB2AAD5" w14:textId="52A2FFCB">
      <w:pPr>
        <w:pBdr/>
        <w:spacing/>
        <w:ind/>
        <w:jc w:val="both"/>
        <w:rPr>
          <w:sz w:val="24"/>
        </w:rPr>
      </w:pPr>
      <w:r>
        <w:rPr>
          <w:sz w:val="24"/>
        </w:rPr>
        <w:t xml:space="preserve">Le sujet représente l’entité principale dont les </w:t>
      </w:r>
      <w:r>
        <w:rPr>
          <w:sz w:val="24"/>
        </w:rPr>
        <w:t xml:space="preserve">i</w:t>
      </w:r>
      <w:r>
        <w:rPr>
          <w:sz w:val="24"/>
        </w:rPr>
        <w:t xml:space="preserve">nformations sont fournies ;</w:t>
      </w:r>
      <w:r>
        <w:rPr>
          <w:sz w:val="24"/>
        </w:rPr>
      </w:r>
    </w:p>
    <w:p w14:paraId="3ED8313D" w14:textId="7B25DBED">
      <w:pPr>
        <w:pBdr/>
        <w:spacing/>
        <w:ind/>
        <w:jc w:val="both"/>
        <w:rPr>
          <w:sz w:val="24"/>
        </w:rPr>
      </w:pPr>
      <w:r>
        <w:rPr>
          <w:sz w:val="24"/>
        </w:rPr>
        <w:t xml:space="preserve">Le prédicat indique la nature de la relation entre un sujet et un objet</w:t>
      </w:r>
      <w:r>
        <w:rPr>
          <w:sz w:val="24"/>
        </w:rPr>
        <w:t xml:space="preserve"> ;</w:t>
      </w:r>
      <w:r>
        <w:rPr>
          <w:sz w:val="24"/>
        </w:rPr>
      </w:r>
    </w:p>
    <w:p w14:paraId="7672FBD8" w14:textId="1C5315AF">
      <w:pPr>
        <w:pBdr/>
        <w:spacing/>
        <w:ind/>
        <w:jc w:val="both"/>
        <w:rPr>
          <w:sz w:val="24"/>
        </w:rPr>
      </w:pPr>
      <w:r>
        <w:rPr>
          <w:sz w:val="24"/>
        </w:rPr>
        <w:t xml:space="preserve">L’objet représente la valeur ou l’entité liée au sujet par le prédicat.</w:t>
      </w:r>
      <w:r>
        <w:rPr>
          <w:sz w:val="24"/>
        </w:rPr>
      </w:r>
    </w:p>
    <w:p w14:paraId="4460FE45" w14:textId="41755909">
      <w:pPr>
        <w:pBdr/>
        <w:spacing/>
        <w:ind/>
        <w:jc w:val="both"/>
        <w:rPr>
          <w:sz w:val="24"/>
        </w:rPr>
      </w:pPr>
      <w:r>
        <w:rPr>
          <w:sz w:val="24"/>
        </w:rPr>
        <w:t xml:space="preserve">p.20 : système RDF : profondément décentralisé : chaque entité occupe une place dans le réseau, sans notion de préséance ou de hiérarchie.</w:t>
      </w:r>
      <w:r>
        <w:rPr>
          <w:sz w:val="24"/>
        </w:rPr>
      </w:r>
    </w:p>
    <w:p w14:paraId="69684445" w14:textId="23B04A77">
      <w:pPr>
        <w:pBdr/>
        <w:spacing/>
        <w:ind/>
        <w:jc w:val="both"/>
        <w:rPr>
          <w:sz w:val="24"/>
        </w:rPr>
      </w:pPr>
      <w:r>
        <w:rPr>
          <w:sz w:val="24"/>
        </w:rPr>
        <w:t xml:space="preserve">p.21 : structuration des données par assertions successives supporte particulièrement bien les changements et ajouts, comparé à d’autres structures de </w:t>
      </w:r>
      <w:r>
        <w:rPr>
          <w:sz w:val="24"/>
        </w:rPr>
        <w:t xml:space="preserve">bdd</w:t>
      </w:r>
      <w:r>
        <w:rPr>
          <w:sz w:val="24"/>
        </w:rPr>
        <w:t xml:space="preserve"> dont la portée est locale : ajouter un type d’information </w:t>
      </w:r>
      <w:r>
        <w:rPr>
          <w:sz w:val="24"/>
        </w:rPr>
        <w:t xml:space="preserve">nv</w:t>
      </w:r>
      <w:r>
        <w:rPr>
          <w:sz w:val="24"/>
        </w:rPr>
        <w:t xml:space="preserve"> dans une </w:t>
      </w:r>
      <w:r>
        <w:rPr>
          <w:sz w:val="24"/>
        </w:rPr>
        <w:t xml:space="preserve">bddr</w:t>
      </w:r>
      <w:r>
        <w:rPr>
          <w:sz w:val="24"/>
        </w:rPr>
        <w:t xml:space="preserve"> impose de comprendre la structure des tables, éventuellement de la revoir, et de s’assurer que les modifications ne créent pas de conflits ou de redondance avec les autres tables, une modification de la structure en XML des fichiers d’une </w:t>
      </w:r>
      <w:r>
        <w:rPr>
          <w:sz w:val="24"/>
        </w:rPr>
        <w:t xml:space="preserve">bdd</w:t>
      </w:r>
      <w:r>
        <w:rPr>
          <w:sz w:val="24"/>
        </w:rPr>
        <w:t xml:space="preserve"> de documents peut être délicate. Si l’ajout d’un élément optionnel ne pose de problème majeur, la modification du nom d’une balise ou la transposition d’un attribut en une balise peut créer de la nouveauté ou des incohérences </w:t>
      </w:r>
      <w:r>
        <w:rPr>
          <w:sz w:val="24"/>
        </w:rPr>
        <w:t xml:space="preserve">qu</w:t>
      </w:r>
      <w:r>
        <w:rPr>
          <w:sz w:val="24"/>
        </w:rPr>
        <w:t xml:space="preserve"> le parseur (qui parcourt le document) aura du mal à interpréter sans modifications. En revanche, une </w:t>
      </w:r>
      <w:r>
        <w:rPr>
          <w:sz w:val="24"/>
        </w:rPr>
        <w:t xml:space="preserve">bdd</w:t>
      </w:r>
      <w:r>
        <w:rPr>
          <w:sz w:val="24"/>
        </w:rPr>
        <w:t xml:space="preserve"> en RDF est complètement décentralisée et n’est, en somme, qu’une succession de triplets. Les modifications se font simplement en ajoutant/supprimant/modifiant autant de triplets que nécessaire. </w:t>
      </w:r>
      <w:r>
        <w:rPr>
          <w:sz w:val="24"/>
        </w:rPr>
      </w:r>
    </w:p>
    <w:p w14:paraId="3D257499" w14:textId="454A5B4F">
      <w:pPr>
        <w:pBdr/>
        <w:spacing/>
        <w:ind/>
        <w:jc w:val="both"/>
        <w:rPr>
          <w:sz w:val="24"/>
        </w:rPr>
      </w:pPr>
      <w:r>
        <w:rPr>
          <w:sz w:val="24"/>
        </w:rPr>
        <w:t xml:space="preserve">Un URI est un lien renvoyant vers une page Web. Il est similaire à un URL classique, mais se double d’une exigence de pérennité –</w:t>
      </w:r>
      <w:r>
        <w:rPr>
          <w:sz w:val="24"/>
        </w:rPr>
        <w:t xml:space="preserve"> indispensable, dans la mesure où l’architecture du Web de données repose sur eux.</w:t>
      </w:r>
      <w:r>
        <w:rPr>
          <w:sz w:val="24"/>
        </w:rPr>
      </w:r>
    </w:p>
    <w:p w14:paraId="509DCB87" w14:textId="21EB9705">
      <w:pPr>
        <w:pBdr/>
        <w:spacing/>
        <w:ind/>
        <w:jc w:val="both"/>
        <w:rPr>
          <w:sz w:val="24"/>
        </w:rPr>
      </w:pPr>
      <w:r>
        <w:rPr>
          <w:sz w:val="24"/>
        </w:rPr>
        <w:t xml:space="preserve">p.22 : l’identifiant ARK est constitué de plusieurs parties. La première est le type d’identifiant, soit ARK dans ce cas-ci. La seconde est le Numéro d’Entité </w:t>
      </w:r>
      <w:r>
        <w:rPr>
          <w:sz w:val="24"/>
        </w:rPr>
        <w:t xml:space="preserve">Nommante</w:t>
      </w:r>
      <w:r>
        <w:rPr>
          <w:sz w:val="24"/>
        </w:rPr>
        <w:t xml:space="preserve"> (NAAN, pour Name </w:t>
      </w:r>
      <w:r>
        <w:rPr>
          <w:sz w:val="24"/>
        </w:rPr>
        <w:t xml:space="preserve">Assigning</w:t>
      </w:r>
      <w:r>
        <w:rPr>
          <w:sz w:val="24"/>
        </w:rPr>
        <w:t xml:space="preserve"> </w:t>
      </w:r>
      <w:r>
        <w:rPr>
          <w:sz w:val="24"/>
        </w:rPr>
        <w:t xml:space="preserve">Authority</w:t>
      </w:r>
      <w:r>
        <w:rPr>
          <w:sz w:val="24"/>
        </w:rPr>
        <w:t xml:space="preserve"> </w:t>
      </w:r>
      <w:r>
        <w:rPr>
          <w:sz w:val="24"/>
        </w:rPr>
        <w:t xml:space="preserve">Number</w:t>
      </w:r>
      <w:r>
        <w:rPr>
          <w:sz w:val="24"/>
        </w:rPr>
        <w:t xml:space="preserve">), attribué par la </w:t>
      </w:r>
      <w:r>
        <w:rPr>
          <w:sz w:val="24"/>
        </w:rPr>
        <w:t xml:space="preserve">California</w:t>
      </w:r>
      <w:r>
        <w:rPr>
          <w:sz w:val="24"/>
        </w:rPr>
        <w:t xml:space="preserve"> Digital Library (qui maintient le système ARK). Ainsi, 12148 sera un numéro commun à tous les URI émis selon le format ARK </w:t>
      </w:r>
      <w:r>
        <w:rPr>
          <w:sz w:val="24"/>
        </w:rPr>
        <w:t xml:space="preserve">par la </w:t>
      </w:r>
      <w:r>
        <w:rPr>
          <w:sz w:val="24"/>
        </w:rPr>
        <w:t xml:space="preserve">BnF</w:t>
      </w:r>
      <w:r>
        <w:rPr>
          <w:sz w:val="24"/>
        </w:rPr>
        <w:t xml:space="preserve">, tandis que 67717 concerna ceux émis par le Ministère de la Culture ; le troisième, l’identifiant proprement dit, est attribué de manière opaque par la BNF à cette ressource, avec des garanties d’unicité et de pérennité.</w:t>
      </w:r>
      <w:r>
        <w:rPr>
          <w:sz w:val="24"/>
        </w:rPr>
      </w:r>
    </w:p>
    <w:p w14:paraId="1A79AF53" w14:textId="7DDDC238">
      <w:pPr>
        <w:pBdr/>
        <w:spacing w:after="0" w:line="240" w:lineRule="auto"/>
        <w:ind/>
        <w:jc w:val="both"/>
        <w:rPr>
          <w:rFonts w:eastAsia="CMR12" w:cstheme="minorHAnsi"/>
          <w:sz w:val="24"/>
          <w:szCs w:val="24"/>
        </w:rPr>
      </w:pPr>
      <w:r>
        <w:rPr>
          <w:sz w:val="24"/>
        </w:rPr>
        <w:t xml:space="preserve">p.23 : Les URI constituent un des piliers de la réutilisation des données</w:t>
      </w:r>
      <w:r>
        <w:rPr>
          <w:rFonts w:cstheme="minorHAnsi"/>
          <w:sz w:val="24"/>
        </w:rPr>
        <w:t xml:space="preserve">. </w:t>
      </w:r>
      <w:r>
        <w:rPr>
          <w:rFonts w:eastAsia="CMR12" w:cstheme="minorHAnsi"/>
          <w:sz w:val="24"/>
          <w:szCs w:val="24"/>
        </w:rPr>
        <w:t xml:space="preserve">Une entit</w:t>
      </w:r>
      <w:r>
        <w:rPr>
          <w:rFonts w:eastAsia="CMR12" w:cstheme="minorHAnsi"/>
          <w:sz w:val="24"/>
          <w:szCs w:val="24"/>
        </w:rPr>
        <w:t xml:space="preserve">é ne peut se dé</w:t>
      </w:r>
      <w:r>
        <w:rPr>
          <w:rFonts w:eastAsia="CMR12" w:cstheme="minorHAnsi"/>
          <w:sz w:val="24"/>
          <w:szCs w:val="24"/>
        </w:rPr>
        <w:t xml:space="preserve">crire</w:t>
      </w:r>
      <w:r>
        <w:rPr>
          <w:rFonts w:eastAsia="CMR12" w:cstheme="minorHAnsi"/>
          <w:sz w:val="24"/>
          <w:szCs w:val="24"/>
        </w:rPr>
        <w:t xml:space="preserve"> </w:t>
      </w:r>
      <w:r>
        <w:rPr>
          <w:rFonts w:eastAsia="CMR12" w:cstheme="minorHAnsi"/>
          <w:sz w:val="24"/>
          <w:szCs w:val="24"/>
        </w:rPr>
        <w:t xml:space="preserve">uniquement </w:t>
      </w:r>
      <w:r>
        <w:rPr>
          <w:rFonts w:eastAsia="CMR12" w:cstheme="minorHAnsi"/>
          <w:sz w:val="24"/>
          <w:szCs w:val="24"/>
        </w:rPr>
        <w:t xml:space="preserve">à</w:t>
      </w:r>
      <w:r>
        <w:rPr>
          <w:rFonts w:eastAsia="CMR12" w:cstheme="minorHAnsi"/>
          <w:sz w:val="24"/>
          <w:szCs w:val="24"/>
        </w:rPr>
        <w:t xml:space="preserve"> travers des relations avec d’autres entit</w:t>
      </w:r>
      <w:r>
        <w:rPr>
          <w:rFonts w:eastAsia="CMR12" w:cstheme="minorHAnsi"/>
          <w:sz w:val="24"/>
          <w:szCs w:val="24"/>
        </w:rPr>
        <w:t xml:space="preserve">és</w:t>
      </w:r>
      <w:r>
        <w:rPr>
          <w:rFonts w:eastAsia="CMR12" w:cstheme="minorHAnsi"/>
          <w:sz w:val="24"/>
          <w:szCs w:val="24"/>
        </w:rPr>
        <w:t xml:space="preserve">. Ainsi, le </w:t>
      </w:r>
      <w:r>
        <w:rPr>
          <w:rFonts w:eastAsia="CMR12" w:cstheme="minorHAnsi"/>
          <w:sz w:val="24"/>
          <w:szCs w:val="24"/>
        </w:rPr>
        <w:t xml:space="preserve">résumé</w:t>
      </w:r>
      <w:r>
        <w:rPr>
          <w:rFonts w:eastAsia="CMR12" w:cstheme="minorHAnsi"/>
          <w:sz w:val="24"/>
          <w:szCs w:val="24"/>
        </w:rPr>
        <w:t xml:space="preserve"> ou le titre d’un</w:t>
      </w:r>
      <w:r>
        <w:rPr>
          <w:rFonts w:eastAsia="CMR12" w:cstheme="minorHAnsi"/>
          <w:sz w:val="24"/>
          <w:szCs w:val="24"/>
        </w:rPr>
        <w:t xml:space="preserve"> </w:t>
      </w:r>
      <w:r>
        <w:rPr>
          <w:rFonts w:eastAsia="CMR12" w:cstheme="minorHAnsi"/>
          <w:sz w:val="24"/>
          <w:szCs w:val="24"/>
        </w:rPr>
        <w:t xml:space="preserve">ouvrage, le numéro d’inventaire d’une œuvre, la description physique d’un document,</w:t>
      </w:r>
      <w:r>
        <w:rPr>
          <w:rFonts w:eastAsia="CMR12" w:cstheme="minorHAnsi"/>
          <w:sz w:val="24"/>
          <w:szCs w:val="24"/>
        </w:rPr>
        <w:t xml:space="preserve"> </w:t>
      </w:r>
      <w:r>
        <w:rPr>
          <w:rFonts w:eastAsia="CMR12" w:cstheme="minorHAnsi"/>
          <w:sz w:val="24"/>
          <w:szCs w:val="24"/>
        </w:rPr>
        <w:t xml:space="preserve">sont autant de cas où le type de donnée textuel sera adoptée.</w:t>
      </w:r>
      <w:r>
        <w:rPr>
          <w:rFonts w:eastAsia="CMR12" w:cstheme="minorHAnsi"/>
          <w:sz w:val="24"/>
          <w:szCs w:val="24"/>
        </w:rPr>
        <w:t xml:space="preserve"> </w:t>
      </w:r>
      <w:r>
        <w:rPr>
          <w:rFonts w:eastAsia="CMR12" w:cstheme="minorHAnsi"/>
          <w:sz w:val="24"/>
          <w:szCs w:val="24"/>
        </w:rPr>
      </w:r>
    </w:p>
    <w:p w14:paraId="660D600C" w14:textId="69E01DDD">
      <w:pPr>
        <w:pBdr/>
        <w:spacing w:after="0" w:line="240" w:lineRule="auto"/>
        <w:ind/>
        <w:jc w:val="both"/>
        <w:rPr>
          <w:rFonts w:eastAsia="CMR12" w:cstheme="minorHAnsi"/>
          <w:sz w:val="24"/>
          <w:szCs w:val="24"/>
        </w:rPr>
      </w:pPr>
      <w:r>
        <w:rPr>
          <w:rFonts w:eastAsia="CMR12" w:cstheme="minorHAnsi"/>
          <w:sz w:val="24"/>
          <w:szCs w:val="24"/>
        </w:rPr>
        <w:t xml:space="preserve">Techniquement, rien n’empêche cependant de renseigner une valeur textuelle l</w:t>
      </w:r>
      <w:r>
        <w:rPr>
          <w:rFonts w:eastAsia="CMR12" w:cstheme="minorHAnsi"/>
          <w:sz w:val="24"/>
          <w:szCs w:val="24"/>
        </w:rPr>
        <w:t xml:space="preserve">à</w:t>
      </w:r>
      <w:r>
        <w:rPr>
          <w:rFonts w:eastAsia="CMR12" w:cstheme="minorHAnsi"/>
          <w:sz w:val="24"/>
          <w:szCs w:val="24"/>
        </w:rPr>
        <w:t xml:space="preserve"> où</w:t>
      </w:r>
      <w:r>
        <w:rPr>
          <w:rFonts w:eastAsia="CMR12" w:cstheme="minorHAnsi"/>
          <w:sz w:val="24"/>
          <w:szCs w:val="24"/>
        </w:rPr>
        <w:t xml:space="preserve"> </w:t>
      </w:r>
      <w:r>
        <w:rPr>
          <w:rFonts w:eastAsia="CMR12" w:cstheme="minorHAnsi"/>
          <w:sz w:val="24"/>
          <w:szCs w:val="24"/>
        </w:rPr>
        <w:t xml:space="preserve">un URI aurait été possible ou souhaitable.</w:t>
      </w:r>
      <w:r>
        <w:rPr>
          <w:rFonts w:eastAsia="CMR12" w:cstheme="minorHAnsi"/>
          <w:sz w:val="24"/>
          <w:szCs w:val="24"/>
        </w:rPr>
        <w:t xml:space="preserve"> </w:t>
      </w:r>
      <w:r>
        <w:rPr>
          <w:rFonts w:eastAsia="CMR12" w:cstheme="minorHAnsi"/>
          <w:sz w:val="24"/>
          <w:szCs w:val="24"/>
        </w:rPr>
      </w:r>
    </w:p>
    <w:p w14:paraId="55E68A90" w14:textId="38DD8466">
      <w:pPr>
        <w:pBdr/>
        <w:spacing w:after="0" w:line="240" w:lineRule="auto"/>
        <w:ind/>
        <w:jc w:val="both"/>
        <w:rPr>
          <w:rFonts w:eastAsia="CMR12" w:cstheme="minorHAnsi"/>
          <w:sz w:val="24"/>
          <w:szCs w:val="24"/>
        </w:rPr>
      </w:pPr>
      <w:r>
        <w:rPr>
          <w:rFonts w:eastAsia="CMR12" w:cstheme="minorHAnsi"/>
          <w:sz w:val="24"/>
          <w:szCs w:val="24"/>
        </w:rPr>
        <w:t xml:space="preserve">2 problèmes : cela matérialise des questions d’ambiguïtés, puisqu’un traitement automatique d’une chaîne de caractère ne pourra faire la différence entre plusieurs objets ayant le même nom (l’homonymie), ou un seul objet ayant plusieurs noms (synonymie). </w:t>
      </w:r>
      <w:r>
        <w:rPr>
          <w:rFonts w:eastAsia="CMR12" w:cstheme="minorHAnsi"/>
          <w:sz w:val="24"/>
          <w:szCs w:val="24"/>
        </w:rPr>
      </w:r>
    </w:p>
    <w:p w14:paraId="252D2043" w14:textId="2528A8A1">
      <w:pPr>
        <w:pBdr/>
        <w:spacing w:after="0" w:line="240" w:lineRule="auto"/>
        <w:ind/>
        <w:jc w:val="both"/>
        <w:rPr>
          <w:rFonts w:eastAsia="CMR12" w:cstheme="minorHAnsi"/>
          <w:sz w:val="24"/>
          <w:szCs w:val="24"/>
        </w:rPr>
      </w:pPr>
      <w:r>
        <w:rPr>
          <w:rFonts w:eastAsia="CMR12" w:cstheme="minorHAnsi"/>
          <w:sz w:val="24"/>
          <w:szCs w:val="24"/>
        </w:rPr>
        <w:t xml:space="preserve">Cet objet ne constitue dès lors plus une entité que nous pouvons réemployer pour émettre de nouvelles assertions à son sujet.</w:t>
      </w:r>
      <w:r>
        <w:rPr>
          <w:rFonts w:eastAsia="CMR12" w:cstheme="minorHAnsi"/>
          <w:sz w:val="24"/>
          <w:szCs w:val="24"/>
        </w:rPr>
      </w:r>
    </w:p>
    <w:p w14:paraId="23D9EB8D" w14:textId="7A2E4980">
      <w:pPr>
        <w:pBdr/>
        <w:spacing w:after="0" w:line="240" w:lineRule="auto"/>
        <w:ind/>
        <w:jc w:val="both"/>
        <w:rPr>
          <w:rFonts w:eastAsia="CMR12" w:cstheme="minorHAnsi"/>
          <w:sz w:val="24"/>
          <w:szCs w:val="24"/>
        </w:rPr>
      </w:pPr>
      <w:r>
        <w:rPr>
          <w:rFonts w:eastAsia="CMR12" w:cstheme="minorHAnsi"/>
          <w:sz w:val="24"/>
          <w:szCs w:val="24"/>
        </w:rPr>
      </w:r>
      <w:r>
        <w:rPr>
          <w:rFonts w:eastAsia="CMR12" w:cstheme="minorHAnsi"/>
          <w:sz w:val="24"/>
          <w:szCs w:val="24"/>
        </w:rPr>
      </w:r>
    </w:p>
    <w:p w14:paraId="5CC6A610" w14:textId="1AC54897">
      <w:pPr>
        <w:pBdr/>
        <w:spacing w:after="0" w:line="240" w:lineRule="auto"/>
        <w:ind/>
        <w:jc w:val="both"/>
        <w:rPr>
          <w:rFonts w:eastAsia="CMR12" w:cstheme="minorHAnsi"/>
          <w:sz w:val="24"/>
          <w:szCs w:val="24"/>
        </w:rPr>
      </w:pPr>
      <w:r>
        <w:rPr>
          <w:rFonts w:eastAsia="CMR12" w:cstheme="minorHAnsi"/>
          <w:sz w:val="24"/>
          <w:szCs w:val="24"/>
        </w:rPr>
        <w:t xml:space="preserve">p.25 : proscrire les dates textuelles car impossible pour les machines de les traiter.</w:t>
      </w:r>
      <w:r>
        <w:rPr>
          <w:rFonts w:eastAsia="CMR12" w:cstheme="minorHAnsi"/>
          <w:sz w:val="24"/>
          <w:szCs w:val="24"/>
        </w:rPr>
      </w:r>
    </w:p>
    <w:p w14:paraId="1D7E9356" w14:textId="6F42FE95">
      <w:pPr>
        <w:pBdr/>
        <w:spacing w:after="0" w:line="240" w:lineRule="auto"/>
        <w:ind/>
        <w:jc w:val="both"/>
        <w:rPr>
          <w:rFonts w:eastAsia="CMR12" w:cstheme="minorHAnsi"/>
          <w:sz w:val="24"/>
          <w:szCs w:val="24"/>
        </w:rPr>
      </w:pPr>
      <w:r>
        <w:rPr>
          <w:rFonts w:eastAsia="CMR12" w:cstheme="minorHAnsi"/>
          <w:sz w:val="24"/>
          <w:szCs w:val="24"/>
        </w:rPr>
        <w:t xml:space="preserve">Deux manières de faire : </w:t>
      </w:r>
      <w:r>
        <w:rPr>
          <w:rFonts w:eastAsia="CMR12" w:cstheme="minorHAnsi"/>
          <w:sz w:val="24"/>
          <w:szCs w:val="24"/>
        </w:rPr>
      </w:r>
    </w:p>
    <w:p w14:paraId="782D8067" w14:textId="36B02F06">
      <w:pPr>
        <w:pStyle w:val="683"/>
        <w:numPr>
          <w:ilvl w:val="0"/>
          <w:numId w:val="3"/>
        </w:numPr>
        <w:pBdr/>
        <w:spacing w:after="0" w:line="240" w:lineRule="auto"/>
        <w:ind/>
        <w:rPr>
          <w:rFonts w:cstheme="minorHAnsi"/>
          <w:sz w:val="24"/>
        </w:rPr>
      </w:pPr>
      <w:r>
        <w:rPr>
          <w:rFonts w:cstheme="minorHAnsi"/>
          <w:sz w:val="24"/>
        </w:rPr>
        <w:t xml:space="preserve">Exprimer les dates en objet sous la forme standardisée ISO 8601. C</w:t>
      </w:r>
      <w:r>
        <w:rPr>
          <w:rFonts w:cstheme="minorHAnsi"/>
          <w:sz w:val="24"/>
        </w:rPr>
        <w:t xml:space="preserve">e standard permet de régler la précision des dates en ajoutant des éléments de temps optionnels (par exemple, « 2023-08 », et « 2023-08-14T15 :30 :00 »). Ce formatage permet aux machines de décomposer les différents éléments d’une date et de les restituer.</w:t>
      </w:r>
      <w:r>
        <w:rPr>
          <w:rFonts w:cstheme="minorHAnsi"/>
          <w:sz w:val="24"/>
        </w:rPr>
      </w:r>
    </w:p>
    <w:p w14:paraId="2008CD54" w14:textId="7A5A0281">
      <w:pPr>
        <w:pStyle w:val="683"/>
        <w:numPr>
          <w:ilvl w:val="0"/>
          <w:numId w:val="3"/>
        </w:numPr>
        <w:pBdr/>
        <w:spacing w:after="0" w:line="240" w:lineRule="auto"/>
        <w:ind/>
        <w:rPr>
          <w:rFonts w:cstheme="minorHAnsi"/>
          <w:sz w:val="24"/>
        </w:rPr>
      </w:pPr>
      <w:r>
        <w:rPr>
          <w:rFonts w:cstheme="minorHAnsi"/>
          <w:sz w:val="24"/>
        </w:rPr>
        <w:t xml:space="preserve">Traiter les dates (ou certains éléments) comme des entités, c’est-à-dire comme des nœuds du graphe qui peuvent documenter et être documentés. Data </w:t>
      </w:r>
      <w:r>
        <w:rPr>
          <w:rFonts w:cstheme="minorHAnsi"/>
          <w:sz w:val="24"/>
        </w:rPr>
        <w:t xml:space="preserve">BnF</w:t>
      </w:r>
      <w:r>
        <w:rPr>
          <w:rFonts w:cstheme="minorHAnsi"/>
          <w:sz w:val="24"/>
        </w:rPr>
        <w:t xml:space="preserve"> propose par exemple une indexation-date, où chaque année et chaque siècle constitue une entité identifiée par un URI.</w:t>
      </w:r>
      <w:r>
        <w:rPr>
          <w:rFonts w:cstheme="minorHAnsi"/>
          <w:sz w:val="24"/>
        </w:rPr>
      </w:r>
    </w:p>
    <w:p w14:paraId="6A1F11B0" w14:textId="221B0062">
      <w:pPr>
        <w:pBdr/>
        <w:spacing w:after="0" w:line="240" w:lineRule="auto"/>
        <w:ind/>
        <w:rPr>
          <w:rFonts w:cstheme="minorHAnsi"/>
          <w:sz w:val="24"/>
        </w:rPr>
      </w:pPr>
      <w:r>
        <w:rPr>
          <w:rFonts w:cstheme="minorHAnsi"/>
          <w:sz w:val="24"/>
        </w:rPr>
      </w:r>
      <w:r>
        <w:rPr>
          <w:rFonts w:cstheme="minorHAnsi"/>
          <w:sz w:val="24"/>
        </w:rPr>
      </w:r>
    </w:p>
    <w:p w14:paraId="00EA72AB" w14:textId="4B38AEEC">
      <w:pPr>
        <w:pBdr/>
        <w:spacing w:after="0" w:line="240" w:lineRule="auto"/>
        <w:ind/>
        <w:rPr>
          <w:rFonts w:cstheme="minorHAnsi"/>
          <w:sz w:val="24"/>
        </w:rPr>
      </w:pPr>
      <w:r>
        <w:rPr>
          <w:rFonts w:cstheme="minorHAnsi"/>
          <w:sz w:val="24"/>
        </w:rPr>
        <w:t xml:space="preserve">Les prédicats revêtent une</w:t>
      </w:r>
      <w:r>
        <w:rPr>
          <w:rFonts w:cstheme="minorHAnsi"/>
          <w:sz w:val="24"/>
        </w:rPr>
        <w:t xml:space="preserve"> importance capitale dans les technologies sémantiques. Ce sont eux qui ajoutent cette couche signifiante aux assertions RDF. Ils indiquent en quoi le sujet est relié à l’objet, ce qui permet aux machines de « comprendre » les relations entre les entités. </w:t>
      </w:r>
      <w:r>
        <w:rPr>
          <w:rFonts w:cstheme="minorHAnsi"/>
          <w:sz w:val="24"/>
        </w:rPr>
      </w:r>
    </w:p>
    <w:p w14:paraId="589B7238" w14:textId="3B8096E4">
      <w:pPr>
        <w:pBdr/>
        <w:spacing w:after="0" w:line="240" w:lineRule="auto"/>
        <w:ind/>
        <w:rPr>
          <w:rFonts w:cstheme="minorHAnsi"/>
          <w:sz w:val="24"/>
        </w:rPr>
      </w:pPr>
      <w:r>
        <w:rPr>
          <w:rFonts w:cstheme="minorHAnsi"/>
          <w:sz w:val="24"/>
        </w:rPr>
        <w:t xml:space="preserve">Les prédicats</w:t>
      </w:r>
      <w:r>
        <w:rPr>
          <w:rFonts w:cstheme="minorHAnsi"/>
          <w:sz w:val="24"/>
        </w:rPr>
        <w:t xml:space="preserve"> se réunissent donc en « ontologies », afin de former des schémas de description sémantiques cohérents. Les ontologies sont composées d’une liste de prédicats spécifiques – que l’on appelle un « vocabulaire » - et de règles qui organisent leur utilisation.</w:t>
      </w:r>
      <w:r>
        <w:rPr>
          <w:rFonts w:cstheme="minorHAnsi"/>
          <w:sz w:val="24"/>
        </w:rPr>
      </w:r>
    </w:p>
    <w:p w14:paraId="4F296B70" w14:textId="3599D47C">
      <w:pPr>
        <w:pBdr/>
        <w:spacing w:after="0" w:line="240" w:lineRule="auto"/>
        <w:ind/>
        <w:rPr>
          <w:rFonts w:cstheme="minorHAnsi"/>
          <w:sz w:val="24"/>
        </w:rPr>
      </w:pPr>
      <w:r>
        <w:rPr>
          <w:rFonts w:cstheme="minorHAnsi"/>
          <w:sz w:val="24"/>
        </w:rPr>
      </w:r>
      <w:r>
        <w:rPr>
          <w:rFonts w:cstheme="minorHAnsi"/>
          <w:sz w:val="24"/>
        </w:rPr>
      </w:r>
    </w:p>
    <w:p w14:paraId="69797163" w14:textId="30DDD100">
      <w:pPr>
        <w:pBdr/>
        <w:spacing w:after="0" w:line="240" w:lineRule="auto"/>
        <w:ind/>
        <w:rPr>
          <w:rFonts w:cstheme="minorHAnsi"/>
          <w:sz w:val="24"/>
        </w:rPr>
      </w:pPr>
      <w:r>
        <w:rPr>
          <w:rFonts w:cstheme="minorHAnsi"/>
          <w:sz w:val="24"/>
        </w:rPr>
        <w:t xml:space="preserve">p.29 : schema.org</w:t>
      </w:r>
      <w:r>
        <w:rPr>
          <w:rFonts w:cstheme="minorHAnsi"/>
          <w:sz w:val="24"/>
        </w:rPr>
      </w:r>
    </w:p>
    <w:p w14:paraId="48A7BCA6" w14:textId="5C0A0872">
      <w:pPr>
        <w:pBdr/>
        <w:spacing w:after="0" w:line="240" w:lineRule="auto"/>
        <w:ind/>
        <w:rPr>
          <w:rFonts w:cstheme="minorHAnsi"/>
          <w:sz w:val="24"/>
        </w:rPr>
      </w:pPr>
      <w:r>
        <w:rPr>
          <w:rFonts w:cstheme="minorHAnsi"/>
          <w:sz w:val="24"/>
        </w:rPr>
        <w:t xml:space="preserve">schema.org est un cas à part. il ne s’ag</w:t>
      </w:r>
      <w:r>
        <w:rPr>
          <w:rFonts w:cstheme="minorHAnsi"/>
          <w:sz w:val="24"/>
        </w:rPr>
        <w:t xml:space="preserve">it pas à proprement parler d’une ontologie, mais plutôt d’un vocabulaire organisé de propriétés. Le vocabulaire est mis en place suite à la collaboration de quatre des principaux fournisseurs de moteurs de recherche, à savoir Google, Microsoft, Yahoo ! et </w:t>
      </w:r>
      <w:r>
        <w:rPr>
          <w:rFonts w:cstheme="minorHAnsi"/>
          <w:sz w:val="24"/>
        </w:rPr>
        <w:t xml:space="preserve">Yandex</w:t>
      </w:r>
      <w:r>
        <w:rPr>
          <w:rFonts w:cstheme="minorHAnsi"/>
          <w:sz w:val="24"/>
        </w:rPr>
        <w:t xml:space="preserve">. Difficilement contournable en termes d’optimisation de la visibilité sur le Web, il en devient également très générique, étant en mesure de </w:t>
      </w:r>
      <w:r>
        <w:rPr>
          <w:rFonts w:cstheme="minorHAnsi"/>
          <w:sz w:val="24"/>
        </w:rPr>
        <w:t xml:space="preserve">sémantiser</w:t>
      </w:r>
      <w:r>
        <w:rPr>
          <w:rFonts w:cstheme="minorHAnsi"/>
          <w:sz w:val="24"/>
        </w:rPr>
        <w:t xml:space="preserve"> aussi bien des données relatives à la structure d’une entreprise qu’à celles d’une recette de cuisine. </w:t>
      </w:r>
      <w:r>
        <w:rPr>
          <w:rFonts w:cstheme="minorHAnsi"/>
          <w:sz w:val="24"/>
        </w:rPr>
      </w:r>
    </w:p>
    <w:p w14:paraId="07F2F2FB" w14:textId="0E603A70">
      <w:pPr>
        <w:pBdr/>
        <w:spacing w:after="0" w:line="240" w:lineRule="auto"/>
        <w:ind/>
        <w:rPr>
          <w:rFonts w:cstheme="minorHAnsi"/>
          <w:sz w:val="24"/>
        </w:rPr>
      </w:pPr>
      <w:r>
        <w:rPr>
          <w:rFonts w:cstheme="minorHAnsi"/>
          <w:sz w:val="24"/>
        </w:rPr>
      </w:r>
      <w:r>
        <w:rPr>
          <w:rFonts w:cstheme="minorHAnsi"/>
          <w:sz w:val="24"/>
        </w:rPr>
      </w:r>
    </w:p>
    <w:p w14:paraId="1CAE9775" w14:textId="16FA326D">
      <w:pPr>
        <w:pBdr/>
        <w:spacing w:after="0" w:line="240" w:lineRule="auto"/>
        <w:ind/>
        <w:rPr>
          <w:rFonts w:cstheme="minorHAnsi"/>
          <w:sz w:val="24"/>
        </w:rPr>
      </w:pPr>
      <w:r>
        <w:rPr>
          <w:rFonts w:cstheme="minorHAnsi"/>
          <w:sz w:val="24"/>
        </w:rPr>
        <w:t xml:space="preserve">p.31 : la sérialisation</w:t>
      </w:r>
      <w:r>
        <w:rPr>
          <w:rFonts w:cstheme="minorHAnsi"/>
          <w:sz w:val="24"/>
        </w:rPr>
      </w:r>
    </w:p>
    <w:p w14:paraId="176D46DB" w14:textId="5CB422B3">
      <w:pPr>
        <w:pBdr/>
        <w:spacing w:after="0" w:line="240" w:lineRule="auto"/>
        <w:ind/>
        <w:rPr>
          <w:rFonts w:cstheme="minorHAnsi"/>
          <w:sz w:val="24"/>
        </w:rPr>
      </w:pPr>
      <w:r>
        <w:rPr>
          <w:rFonts w:cstheme="minorHAnsi"/>
          <w:sz w:val="24"/>
        </w:rPr>
        <w:t xml:space="preserve">le</w:t>
      </w:r>
      <w:r>
        <w:rPr>
          <w:rFonts w:cstheme="minorHAnsi"/>
          <w:sz w:val="24"/>
        </w:rPr>
        <w:t xml:space="preserve"> RDF n’est pas considéré comme un format. Il s’agit plutôt d’un cadre ou une méthodologie pour structurer et représenter des données. </w:t>
      </w:r>
      <w:r>
        <w:rPr>
          <w:rFonts w:cstheme="minorHAnsi"/>
          <w:sz w:val="24"/>
        </w:rPr>
      </w:r>
    </w:p>
    <w:p w14:paraId="05A41AA7" w14:textId="4664DCFD">
      <w:pPr>
        <w:pBdr/>
        <w:spacing w:after="0" w:line="240" w:lineRule="auto"/>
        <w:ind/>
        <w:rPr>
          <w:rFonts w:cstheme="minorHAnsi"/>
          <w:sz w:val="24"/>
        </w:rPr>
      </w:pPr>
      <w:r>
        <w:rPr>
          <w:rFonts w:cstheme="minorHAnsi"/>
          <w:sz w:val="24"/>
        </w:rPr>
        <w:t xml:space="preserve">La sérialisation du RDF peut être exprimée en divers formats, tels que RDF/XML, </w:t>
      </w:r>
      <w:r>
        <w:rPr>
          <w:rFonts w:cstheme="minorHAnsi"/>
          <w:sz w:val="24"/>
        </w:rPr>
        <w:t xml:space="preserve">Turtle</w:t>
      </w:r>
      <w:r>
        <w:rPr>
          <w:rFonts w:cstheme="minorHAnsi"/>
          <w:sz w:val="24"/>
        </w:rPr>
        <w:t xml:space="preserve"> et JSON-LD notamment, qui vont pouvoir être interrogés avec le langage de requête SPARQL. </w:t>
      </w:r>
      <w:r>
        <w:rPr>
          <w:rFonts w:cstheme="minorHAnsi"/>
          <w:sz w:val="24"/>
        </w:rPr>
      </w:r>
    </w:p>
    <w:p w14:paraId="2AE4EBDF" w14:textId="77777777">
      <w:pPr>
        <w:pBdr/>
        <w:spacing w:after="0" w:line="240" w:lineRule="auto"/>
        <w:ind/>
        <w:rPr>
          <w:rFonts w:cstheme="minorHAnsi"/>
          <w:sz w:val="24"/>
        </w:rPr>
      </w:pPr>
      <w:r>
        <w:rPr>
          <w:rFonts w:cstheme="minorHAnsi"/>
          <w:sz w:val="24"/>
        </w:rPr>
        <w:t xml:space="preserve">Le format RDF/XML a été le premier à être utilisé pour exprimer des données en RDF. Ce choix s’est initialement imposé de par la notoriété du XML lors de l’apparition de la notion de Web sémantique. </w:t>
      </w:r>
      <w:r>
        <w:rPr>
          <w:rFonts w:cstheme="minorHAnsi"/>
          <w:sz w:val="24"/>
        </w:rPr>
        <w:t xml:space="preserve">Cpdt</w:t>
      </w:r>
      <w:r>
        <w:rPr>
          <w:rFonts w:cstheme="minorHAnsi"/>
          <w:sz w:val="24"/>
        </w:rPr>
        <w:t xml:space="preserve">, il a la particularité d’être assez verbeux, et de souffrir d’un encodage chronophage et complexe. Ceci explique sa baisse de popularité, et le développement d’autres formats plus légers.</w:t>
      </w:r>
      <w:r>
        <w:rPr>
          <w:rFonts w:cstheme="minorHAnsi"/>
          <w:sz w:val="24"/>
        </w:rPr>
      </w:r>
    </w:p>
    <w:p w14:paraId="267EB7B2" w14:textId="17A3DCFB">
      <w:pPr>
        <w:pBdr/>
        <w:spacing w:after="0" w:line="240" w:lineRule="auto"/>
        <w:ind/>
        <w:rPr>
          <w:rFonts w:cstheme="minorHAnsi"/>
          <w:sz w:val="24"/>
        </w:rPr>
      </w:pPr>
      <w:r>
        <w:rPr>
          <w:rFonts w:cstheme="minorHAnsi"/>
          <w:sz w:val="24"/>
        </w:rPr>
        <w:t xml:space="preserve">Le format </w:t>
      </w:r>
      <w:r>
        <w:rPr>
          <w:rFonts w:cstheme="minorHAnsi"/>
          <w:sz w:val="24"/>
        </w:rPr>
        <w:t xml:space="preserve">Turtle</w:t>
      </w:r>
      <w:r>
        <w:rPr>
          <w:rFonts w:cstheme="minorHAnsi"/>
          <w:sz w:val="24"/>
        </w:rPr>
        <w:t xml:space="preserve"> (Terse RDF Triple </w:t>
      </w:r>
      <w:r>
        <w:rPr>
          <w:rFonts w:cstheme="minorHAnsi"/>
          <w:sz w:val="24"/>
        </w:rPr>
        <w:t xml:space="preserve">Language</w:t>
      </w:r>
      <w:r>
        <w:rPr>
          <w:rFonts w:cstheme="minorHAnsi"/>
          <w:sz w:val="24"/>
        </w:rPr>
        <w:t xml:space="preserve">) a été développé pour répondre à la lourdeur de RDF/XML. La syntaxe est semblable au langage de requête </w:t>
      </w:r>
      <w:r>
        <w:rPr>
          <w:rFonts w:cstheme="minorHAnsi"/>
          <w:sz w:val="24"/>
        </w:rPr>
        <w:t xml:space="preserve">SPARQL, ce qui renforce son appropriation par les utilisateurs. Elle a été normalisée par le W3C, qui l’inclut dans le </w:t>
      </w:r>
      <w:r>
        <w:rPr>
          <w:rFonts w:cstheme="minorHAnsi"/>
          <w:sz w:val="24"/>
        </w:rPr>
        <w:t xml:space="preserve">dvlpt</w:t>
      </w:r>
      <w:r>
        <w:rPr>
          <w:rFonts w:cstheme="minorHAnsi"/>
          <w:sz w:val="24"/>
        </w:rPr>
        <w:t xml:space="preserve"> de RDF 1.1. </w:t>
      </w:r>
      <w:r>
        <w:rPr>
          <w:rFonts w:cstheme="minorHAnsi"/>
          <w:sz w:val="24"/>
        </w:rPr>
        <w:t xml:space="preserve">Turtle</w:t>
      </w:r>
      <w:r>
        <w:rPr>
          <w:rFonts w:cstheme="minorHAnsi"/>
          <w:sz w:val="24"/>
        </w:rPr>
        <w:t xml:space="preserve"> a également été décliné en N-Triples, qui en est une version plus simple mais moins profonde.</w:t>
      </w:r>
      <w:r>
        <w:rPr>
          <w:rFonts w:cstheme="minorHAnsi"/>
          <w:sz w:val="24"/>
        </w:rPr>
      </w:r>
    </w:p>
    <w:p w14:paraId="04615803" w14:textId="59B8116E">
      <w:pPr>
        <w:pBdr/>
        <w:spacing w:after="0" w:line="240" w:lineRule="auto"/>
        <w:ind/>
        <w:rPr>
          <w:rFonts w:cstheme="minorHAnsi"/>
          <w:sz w:val="24"/>
        </w:rPr>
      </w:pPr>
      <w:r>
        <w:rPr>
          <w:rFonts w:cstheme="minorHAnsi"/>
          <w:sz w:val="24"/>
        </w:rPr>
        <w:t xml:space="preserve">Le format JSON-LD (JavaScript Object Notation for </w:t>
      </w:r>
      <w:r>
        <w:rPr>
          <w:rFonts w:cstheme="minorHAnsi"/>
          <w:sz w:val="24"/>
        </w:rPr>
        <w:t xml:space="preserve">Linked</w:t>
      </w:r>
      <w:r>
        <w:rPr>
          <w:rFonts w:cstheme="minorHAnsi"/>
          <w:sz w:val="24"/>
        </w:rPr>
        <w:t xml:space="preserve"> Data) est un format très répandu. Il a l’avantage d’utiliser le format JSON déjà bien implanté dans le milieu du développement informatique, ce qui le rend familier auprès de nombre d’informaticiens.</w:t>
      </w:r>
      <w:r>
        <w:rPr>
          <w:rFonts w:cstheme="minorHAnsi"/>
          <w:sz w:val="24"/>
        </w:rPr>
      </w:r>
    </w:p>
    <w:p w14:paraId="0581A040" w14:textId="58ED7151">
      <w:pPr>
        <w:pBdr/>
        <w:spacing w:after="0" w:line="240" w:lineRule="auto"/>
        <w:ind/>
        <w:rPr>
          <w:rFonts w:cstheme="minorHAnsi"/>
          <w:sz w:val="24"/>
        </w:rPr>
      </w:pPr>
      <w:r>
        <w:rPr>
          <w:rFonts w:cstheme="minorHAnsi"/>
          <w:sz w:val="24"/>
        </w:rPr>
      </w:r>
      <w:r>
        <w:rPr>
          <w:rFonts w:cstheme="minorHAnsi"/>
          <w:sz w:val="24"/>
        </w:rPr>
      </w:r>
    </w:p>
    <w:p w14:paraId="282127DD" w14:textId="0F86364C">
      <w:pPr>
        <w:pBdr/>
        <w:spacing w:after="0" w:line="240" w:lineRule="auto"/>
        <w:ind/>
        <w:rPr>
          <w:rFonts w:cstheme="minorHAnsi"/>
          <w:sz w:val="24"/>
        </w:rPr>
      </w:pPr>
      <w:r>
        <w:rPr>
          <w:rFonts w:cstheme="minorHAnsi"/>
          <w:sz w:val="24"/>
        </w:rPr>
        <w:t xml:space="preserve">p.32 : SPARQ Lest le langage de requête spécifique au RDF, et qui fait d’ailleurs partie du troisième principe énoncé par Tim </w:t>
      </w:r>
      <w:r>
        <w:rPr>
          <w:rFonts w:cstheme="minorHAnsi"/>
          <w:sz w:val="24"/>
        </w:rPr>
        <w:t xml:space="preserve">Berners</w:t>
      </w:r>
      <w:r>
        <w:rPr>
          <w:rFonts w:cstheme="minorHAnsi"/>
          <w:sz w:val="24"/>
        </w:rPr>
        <w:t xml:space="preserve">-Lee pour un Web de données. Le langage permet d’interroger l’ensemble des triplets constituant une base de connaissances en RDF, selon ne syntaxe logique. L’interrogation va porter sur la place que chaque ressource occupe dans le triplet. </w:t>
      </w:r>
      <w:r>
        <w:rPr>
          <w:rFonts w:cstheme="minorHAnsi"/>
          <w:sz w:val="24"/>
        </w:rPr>
      </w:r>
    </w:p>
    <w:p w14:paraId="2ADDCD83" w14:textId="4AB8B755">
      <w:pPr>
        <w:pBdr/>
        <w:spacing w:after="0" w:line="240" w:lineRule="auto"/>
        <w:ind/>
        <w:rPr>
          <w:rFonts w:cstheme="minorHAnsi"/>
          <w:sz w:val="24"/>
        </w:rPr>
      </w:pPr>
      <w:r>
        <w:rPr>
          <w:rFonts w:cstheme="minorHAnsi"/>
          <w:sz w:val="24"/>
        </w:rPr>
        <w:t xml:space="preserve">Le </w:t>
      </w:r>
      <w:r>
        <w:rPr>
          <w:rFonts w:cstheme="minorHAnsi"/>
          <w:i/>
          <w:sz w:val="24"/>
        </w:rPr>
        <w:t xml:space="preserve">Wikidata</w:t>
      </w:r>
      <w:r>
        <w:rPr>
          <w:rFonts w:cstheme="minorHAnsi"/>
          <w:i/>
          <w:sz w:val="24"/>
        </w:rPr>
        <w:t xml:space="preserve"> </w:t>
      </w:r>
      <w:r>
        <w:rPr>
          <w:rFonts w:cstheme="minorHAnsi"/>
          <w:i/>
          <w:sz w:val="24"/>
        </w:rPr>
        <w:t xml:space="preserve">Query</w:t>
      </w:r>
      <w:r>
        <w:rPr>
          <w:rFonts w:cstheme="minorHAnsi"/>
          <w:i/>
          <w:sz w:val="24"/>
        </w:rPr>
        <w:t xml:space="preserve"> Service </w:t>
      </w:r>
      <w:r>
        <w:rPr>
          <w:rFonts w:cstheme="minorHAnsi"/>
          <w:sz w:val="24"/>
        </w:rPr>
        <w:t xml:space="preserve">offre des exemples et des ra</w:t>
      </w:r>
      <w:r>
        <w:rPr>
          <w:rFonts w:cstheme="minorHAnsi"/>
          <w:sz w:val="24"/>
        </w:rPr>
        <w:t xml:space="preserve">ccourcis intégrés à la console d’interrogation, ce qui lui permet d’être plus facilement accessible à un non-initié. Il est loin d’être le plus représentatif de la complexité de la syntaxe SPARQL, qui n’est d’ailleurs pas sans soulever quelques problèmes. </w:t>
      </w:r>
      <w:r>
        <w:rPr>
          <w:rFonts w:cstheme="minorHAnsi"/>
          <w:sz w:val="24"/>
        </w:rPr>
      </w:r>
    </w:p>
    <w:p w14:paraId="2B5E1FBB" w14:textId="54F41955">
      <w:pPr>
        <w:pBdr/>
        <w:spacing w:after="0" w:line="240" w:lineRule="auto"/>
        <w:ind/>
        <w:rPr>
          <w:rFonts w:cstheme="minorHAnsi"/>
          <w:sz w:val="24"/>
        </w:rPr>
      </w:pPr>
      <w:r>
        <w:rPr>
          <w:rFonts w:cstheme="minorHAnsi"/>
          <w:sz w:val="24"/>
        </w:rPr>
      </w:r>
      <w:r>
        <w:rPr>
          <w:rFonts w:cstheme="minorHAnsi"/>
          <w:sz w:val="24"/>
        </w:rPr>
      </w:r>
    </w:p>
    <w:p w14:paraId="337CA7E6" w14:textId="42E4D3D3">
      <w:pPr>
        <w:pBdr/>
        <w:spacing w:after="0" w:line="240" w:lineRule="auto"/>
        <w:ind/>
        <w:rPr>
          <w:rFonts w:cstheme="minorHAnsi"/>
          <w:sz w:val="24"/>
        </w:rPr>
      </w:pPr>
      <w:r>
        <w:rPr>
          <w:rFonts w:cstheme="minorHAnsi"/>
          <w:sz w:val="24"/>
        </w:rPr>
        <w:t xml:space="preserve">p.37 : Chapitre 3 : le référentiel à l’heure du web de données</w:t>
      </w:r>
      <w:r>
        <w:rPr>
          <w:rFonts w:cstheme="minorHAnsi"/>
          <w:sz w:val="24"/>
        </w:rPr>
      </w:r>
    </w:p>
    <w:p w14:paraId="5F9F2EC6" w14:textId="79D6D60E">
      <w:pPr>
        <w:pBdr/>
        <w:spacing w:after="0" w:line="240" w:lineRule="auto"/>
        <w:ind/>
        <w:rPr>
          <w:rFonts w:cstheme="minorHAnsi"/>
          <w:sz w:val="24"/>
        </w:rPr>
      </w:pPr>
      <w:r>
        <w:rPr>
          <w:rFonts w:cstheme="minorHAnsi"/>
          <w:sz w:val="24"/>
        </w:rPr>
        <w:t xml:space="preserve">notion</w:t>
      </w:r>
      <w:r>
        <w:rPr>
          <w:rFonts w:cstheme="minorHAnsi"/>
          <w:sz w:val="24"/>
        </w:rPr>
        <w:t xml:space="preserve"> de référentiel : constitué initialement de données d’indexation au sein des institutions, il se retrouve à présent défini par son statut de données, au même titre que d’autres jeux de données.</w:t>
      </w:r>
      <w:r>
        <w:rPr>
          <w:rFonts w:cstheme="minorHAnsi"/>
          <w:sz w:val="24"/>
        </w:rPr>
      </w:r>
    </w:p>
    <w:p w14:paraId="41DEC42F" w14:textId="61FDBADD">
      <w:pPr>
        <w:pBdr/>
        <w:spacing w:after="0" w:line="240" w:lineRule="auto"/>
        <w:ind/>
        <w:rPr>
          <w:rFonts w:cstheme="minorHAnsi"/>
          <w:sz w:val="24"/>
        </w:rPr>
      </w:pPr>
      <w:r>
        <w:rPr>
          <w:rFonts w:cstheme="minorHAnsi"/>
          <w:sz w:val="24"/>
        </w:rPr>
        <w:t xml:space="preserve">Dans le vocabulaire interne d’une institution, un référentiel est constitué de données de réf savamment établi et entretenu</w:t>
      </w:r>
      <w:r>
        <w:rPr>
          <w:rFonts w:cstheme="minorHAnsi"/>
          <w:sz w:val="24"/>
        </w:rPr>
        <w:t xml:space="preserve"> par des professionnels pour les besoins d’autres professionnels. Le référentiel répond à un besoin de rationalisation dans l’emploi des termes utilisés au sein d’une institution (lieux, matières, personnes, etc.).</w:t>
      </w:r>
      <w:r>
        <w:rPr>
          <w:rFonts w:cstheme="minorHAnsi"/>
          <w:sz w:val="24"/>
        </w:rPr>
      </w:r>
    </w:p>
    <w:p w14:paraId="5DF6AA92" w14:textId="5AFA7E4D">
      <w:pPr>
        <w:pBdr/>
        <w:spacing w:after="0" w:line="240" w:lineRule="auto"/>
        <w:ind/>
        <w:rPr>
          <w:rFonts w:cstheme="minorHAnsi"/>
          <w:sz w:val="24"/>
        </w:rPr>
      </w:pPr>
      <w:r>
        <w:rPr>
          <w:rFonts w:cstheme="minorHAnsi"/>
          <w:sz w:val="24"/>
        </w:rPr>
      </w:r>
      <w:r>
        <w:rPr>
          <w:rFonts w:cstheme="minorHAnsi"/>
          <w:sz w:val="24"/>
        </w:rPr>
      </w:r>
    </w:p>
    <w:p w14:paraId="56CC32F4" w14:textId="7941F64C">
      <w:pPr>
        <w:pBdr/>
        <w:spacing w:after="0" w:line="240" w:lineRule="auto"/>
        <w:ind/>
        <w:rPr>
          <w:rFonts w:cstheme="minorHAnsi"/>
          <w:sz w:val="24"/>
        </w:rPr>
      </w:pPr>
      <w:r>
        <w:rPr>
          <w:rFonts w:cstheme="minorHAnsi"/>
          <w:sz w:val="24"/>
        </w:rPr>
        <w:t xml:space="preserve">p.38 : IFLA-LRM : ce modèle est à la base du programme de la « Transition Bibliographique » porté par la </w:t>
      </w:r>
      <w:r>
        <w:rPr>
          <w:rFonts w:cstheme="minorHAnsi"/>
          <w:sz w:val="24"/>
        </w:rPr>
        <w:t xml:space="preserve">BnF</w:t>
      </w:r>
      <w:r>
        <w:rPr>
          <w:rFonts w:cstheme="minorHAnsi"/>
          <w:sz w:val="24"/>
        </w:rPr>
        <w:t xml:space="preserve"> et l’ABES, qui prévoit à la fois l’adaptation de RDA à la bibliothéconomie française (sous la forme de RDA-FR), la migration des données existantes vers ce format de catalogage, et la formation des professionnels à ces pratiques nouvelles. </w:t>
      </w:r>
      <w:r>
        <w:rPr>
          <w:rFonts w:cstheme="minorHAnsi"/>
          <w:sz w:val="24"/>
        </w:rPr>
      </w:r>
    </w:p>
    <w:p w14:paraId="0E18288A" w14:textId="77777777">
      <w:pPr>
        <w:pBdr/>
        <w:spacing w:after="0" w:line="240" w:lineRule="auto"/>
        <w:ind/>
        <w:rPr>
          <w:rFonts w:cstheme="minorHAnsi"/>
          <w:sz w:val="24"/>
        </w:rPr>
      </w:pPr>
      <w:r>
        <w:rPr>
          <w:rFonts w:cstheme="minorHAnsi"/>
          <w:sz w:val="24"/>
        </w:rPr>
      </w:r>
      <w:r>
        <w:rPr>
          <w:rFonts w:cstheme="minorHAnsi"/>
          <w:sz w:val="24"/>
        </w:rPr>
      </w:r>
    </w:p>
    <w:p w14:paraId="64E9BE67" w14:textId="77777777">
      <w:pPr>
        <w:pBdr/>
        <w:spacing w:after="0" w:line="240" w:lineRule="auto"/>
        <w:ind/>
        <w:rPr>
          <w:rFonts w:cstheme="minorHAnsi"/>
          <w:sz w:val="24"/>
        </w:rPr>
      </w:pPr>
      <w:r>
        <w:rPr>
          <w:rFonts w:cstheme="minorHAnsi"/>
          <w:sz w:val="24"/>
        </w:rPr>
        <w:t xml:space="preserve">p.65 : Le Web de données peut être adopté pour de nombreuses raisons : ses avantages incluent l’ouverture des données, les enrichissements potentiels, une modélisation riche et la mise en relation avec des données émises par de grandes institutions. </w:t>
      </w:r>
      <w:r>
        <w:rPr>
          <w:rFonts w:cstheme="minorHAnsi"/>
          <w:sz w:val="24"/>
        </w:rPr>
      </w:r>
    </w:p>
    <w:p w14:paraId="3B158E10" w14:textId="77777777">
      <w:pPr>
        <w:pBdr/>
        <w:spacing w:after="0" w:line="240" w:lineRule="auto"/>
        <w:ind/>
        <w:rPr>
          <w:rFonts w:cstheme="minorHAnsi"/>
          <w:sz w:val="24"/>
        </w:rPr>
      </w:pPr>
      <w:r>
        <w:rPr>
          <w:rFonts w:cstheme="minorHAnsi"/>
          <w:sz w:val="24"/>
        </w:rPr>
      </w:r>
      <w:r>
        <w:rPr>
          <w:rFonts w:cstheme="minorHAnsi"/>
          <w:sz w:val="24"/>
        </w:rPr>
      </w:r>
    </w:p>
    <w:p w14:paraId="1FE141A7" w14:textId="77777777">
      <w:pPr>
        <w:pBdr/>
        <w:spacing w:after="0" w:line="240" w:lineRule="auto"/>
        <w:ind/>
        <w:rPr>
          <w:rFonts w:cstheme="minorHAnsi"/>
          <w:sz w:val="24"/>
        </w:rPr>
      </w:pPr>
      <w:r>
        <w:rPr>
          <w:rFonts w:cstheme="minorHAnsi"/>
          <w:sz w:val="24"/>
        </w:rPr>
        <w:t xml:space="preserve">Un partage total des données ?</w:t>
      </w:r>
      <w:r>
        <w:rPr>
          <w:rFonts w:cstheme="minorHAnsi"/>
          <w:sz w:val="24"/>
        </w:rPr>
      </w:r>
    </w:p>
    <w:p w14:paraId="27BA2CF1" w14:textId="77777777">
      <w:pPr>
        <w:pBdr/>
        <w:spacing w:after="0" w:line="240" w:lineRule="auto"/>
        <w:ind/>
        <w:rPr>
          <w:rFonts w:cstheme="minorHAnsi"/>
          <w:sz w:val="24"/>
        </w:rPr>
      </w:pPr>
      <w:r>
        <w:rPr>
          <w:rFonts w:cstheme="minorHAnsi"/>
          <w:sz w:val="24"/>
        </w:rPr>
        <w:t xml:space="preserve">C’est l’une des caractéristiques fondamentales des </w:t>
      </w:r>
      <w:r>
        <w:rPr>
          <w:rFonts w:cstheme="minorHAnsi"/>
          <w:i/>
          <w:sz w:val="24"/>
        </w:rPr>
        <w:t xml:space="preserve">Linked</w:t>
      </w:r>
      <w:r>
        <w:rPr>
          <w:rFonts w:cstheme="minorHAnsi"/>
          <w:i/>
          <w:sz w:val="24"/>
        </w:rPr>
        <w:t xml:space="preserve"> Open Data</w:t>
      </w:r>
      <w:r>
        <w:rPr>
          <w:rFonts w:cstheme="minorHAnsi"/>
          <w:sz w:val="24"/>
        </w:rPr>
        <w:t xml:space="preserve"> : les données sont destinées à être rendues visibles, et potentiellement récupérables par quiconque, indépendamment des usages potentiels. </w:t>
      </w:r>
      <w:r>
        <w:rPr>
          <w:rFonts w:cstheme="minorHAnsi"/>
          <w:sz w:val="24"/>
        </w:rPr>
      </w:r>
    </w:p>
    <w:p w14:paraId="6B88B9C6" w14:textId="77777777">
      <w:pPr>
        <w:pBdr/>
        <w:spacing w:after="0" w:line="240" w:lineRule="auto"/>
        <w:ind/>
        <w:rPr>
          <w:rFonts w:cstheme="minorHAnsi"/>
          <w:sz w:val="24"/>
        </w:rPr>
      </w:pPr>
      <w:r>
        <w:rPr>
          <w:rFonts w:cstheme="minorHAnsi"/>
          <w:sz w:val="24"/>
        </w:rPr>
        <w:t xml:space="preserve">La publication de certaines entités peut par exemple attenter à des contraintes légales (droit d’auteur, respect de la vie privée), éveille</w:t>
      </w:r>
      <w:r>
        <w:rPr>
          <w:rFonts w:cstheme="minorHAnsi"/>
          <w:sz w:val="24"/>
        </w:rPr>
        <w:t xml:space="preserve">r des problématiques de sécurité (publier des emplacements physiques d’objets, ou des visuels permettant la forgerie) ou encore susciter tensions et incompréhensions (les fonds privés peuvent notamment faire resurgir des « affaires de famille » sensibles).</w:t>
      </w:r>
      <w:r>
        <w:rPr>
          <w:rFonts w:cstheme="minorHAnsi"/>
          <w:sz w:val="24"/>
        </w:rPr>
      </w:r>
    </w:p>
    <w:p w14:paraId="14108968" w14:textId="77777777">
      <w:pPr>
        <w:pBdr/>
        <w:spacing w:after="0" w:line="240" w:lineRule="auto"/>
        <w:ind/>
        <w:rPr>
          <w:rFonts w:cstheme="minorHAnsi"/>
          <w:sz w:val="24"/>
        </w:rPr>
      </w:pPr>
      <w:r>
        <w:rPr>
          <w:rFonts w:cstheme="minorHAnsi"/>
          <w:sz w:val="24"/>
        </w:rPr>
        <w:t xml:space="preserve">p.66 : l’important sera alors de déterminer quelle proportion de données sera ou non publiable, et d’être en mesure de visualiser l’intérêt d’un jeu de données ainsi épuré. </w:t>
      </w:r>
      <w:r>
        <w:rPr>
          <w:rFonts w:cstheme="minorHAnsi"/>
          <w:sz w:val="24"/>
        </w:rPr>
      </w:r>
    </w:p>
    <w:p w14:paraId="531799E0" w14:textId="77777777">
      <w:pPr>
        <w:pBdr/>
        <w:spacing w:after="0" w:line="240" w:lineRule="auto"/>
        <w:ind/>
        <w:rPr>
          <w:rFonts w:cstheme="minorHAnsi"/>
          <w:sz w:val="24"/>
        </w:rPr>
      </w:pPr>
      <w:r>
        <w:rPr>
          <w:rFonts w:cstheme="minorHAnsi"/>
          <w:sz w:val="24"/>
        </w:rPr>
      </w:r>
      <w:r>
        <w:rPr>
          <w:rFonts w:cstheme="minorHAnsi"/>
          <w:sz w:val="24"/>
        </w:rPr>
      </w:r>
    </w:p>
    <w:p w14:paraId="6A0C2165" w14:textId="77777777">
      <w:pPr>
        <w:pBdr/>
        <w:spacing w:after="0" w:line="240" w:lineRule="auto"/>
        <w:ind/>
        <w:rPr>
          <w:rFonts w:cstheme="minorHAnsi"/>
          <w:sz w:val="24"/>
        </w:rPr>
      </w:pPr>
      <w:r>
        <w:rPr>
          <w:rFonts w:cstheme="minorHAnsi"/>
          <w:sz w:val="24"/>
        </w:rPr>
        <w:t xml:space="preserve">Les données liées comme essence du modèle </w:t>
      </w:r>
      <w:r>
        <w:rPr>
          <w:rFonts w:cstheme="minorHAnsi"/>
          <w:sz w:val="24"/>
        </w:rPr>
      </w:r>
    </w:p>
    <w:p w14:paraId="12274714" w14:textId="77777777">
      <w:pPr>
        <w:pBdr/>
        <w:spacing w:after="0" w:line="240" w:lineRule="auto"/>
        <w:ind/>
        <w:rPr>
          <w:rFonts w:cstheme="minorHAnsi"/>
          <w:sz w:val="24"/>
        </w:rPr>
      </w:pPr>
      <w:r>
        <w:rPr>
          <w:rFonts w:cstheme="minorHAnsi"/>
          <w:sz w:val="24"/>
        </w:rPr>
        <w:t xml:space="preserve">Il s’agit donc à la</w:t>
      </w:r>
      <w:r>
        <w:rPr>
          <w:rFonts w:cstheme="minorHAnsi"/>
          <w:sz w:val="24"/>
        </w:rPr>
        <w:t xml:space="preserve"> fois d’analyser ses données, non seulement pour estimer leur potentielle expressivité sous forme d’URI ou de nœuds blancs, mais également pour déterminer dans quelle mesure des indexations par référentiels internes pourrait leur apporter de la plus-value.</w:t>
      </w:r>
      <w:r>
        <w:rPr>
          <w:rFonts w:cstheme="minorHAnsi"/>
          <w:sz w:val="24"/>
        </w:rPr>
      </w:r>
    </w:p>
    <w:p w14:paraId="087B29C0" w14:textId="77777777">
      <w:pPr>
        <w:pBdr/>
        <w:spacing w:after="0" w:line="240" w:lineRule="auto"/>
        <w:ind/>
        <w:rPr>
          <w:rFonts w:cstheme="minorHAnsi"/>
          <w:sz w:val="24"/>
        </w:rPr>
      </w:pPr>
      <w:r>
        <w:rPr>
          <w:rFonts w:cstheme="minorHAnsi"/>
          <w:sz w:val="24"/>
        </w:rPr>
      </w:r>
      <w:r>
        <w:rPr>
          <w:rFonts w:cstheme="minorHAnsi"/>
          <w:sz w:val="24"/>
        </w:rPr>
      </w:r>
    </w:p>
    <w:p w14:paraId="5F6E9F59" w14:textId="77777777">
      <w:pPr>
        <w:pBdr/>
        <w:spacing w:after="0" w:line="240" w:lineRule="auto"/>
        <w:ind/>
        <w:rPr>
          <w:rFonts w:cstheme="minorHAnsi"/>
          <w:sz w:val="24"/>
        </w:rPr>
      </w:pPr>
      <w:r>
        <w:rPr>
          <w:rFonts w:cstheme="minorHAnsi"/>
          <w:sz w:val="24"/>
        </w:rPr>
        <w:t xml:space="preserve">p.69 : certaines compétences informatiques seront spécifiques pour aligner les données initiales avec des URI existants, dont la capacité à (apprendre à) interroger des SPARQL </w:t>
      </w:r>
      <w:r>
        <w:rPr>
          <w:rFonts w:cstheme="minorHAnsi"/>
          <w:sz w:val="24"/>
        </w:rPr>
        <w:t xml:space="preserve">EndPoints</w:t>
      </w:r>
      <w:r>
        <w:rPr>
          <w:rFonts w:cstheme="minorHAnsi"/>
          <w:sz w:val="24"/>
        </w:rPr>
        <w:t xml:space="preserve"> ou des API REST mis en accès libre. La bibliothèque </w:t>
      </w:r>
      <w:r>
        <w:rPr>
          <w:rFonts w:cstheme="minorHAnsi"/>
          <w:sz w:val="24"/>
        </w:rPr>
        <w:t xml:space="preserve">Requests</w:t>
      </w:r>
      <w:r>
        <w:rPr>
          <w:rFonts w:cstheme="minorHAnsi"/>
          <w:sz w:val="24"/>
        </w:rPr>
        <w:t xml:space="preserve"> pour Python est également essentielle, afin de sérialiser les requêtes et de les exporter en formats de données directement adaptés à un import en masse. Le logiciel </w:t>
      </w:r>
      <w:r>
        <w:rPr>
          <w:rFonts w:cstheme="minorHAnsi"/>
          <w:sz w:val="24"/>
        </w:rPr>
        <w:t xml:space="preserve">Postman</w:t>
      </w:r>
      <w:r>
        <w:rPr>
          <w:rFonts w:cstheme="minorHAnsi"/>
          <w:sz w:val="24"/>
        </w:rPr>
        <w:t xml:space="preserve"> peut également fournir une aide pour tester des requêtes et comprendre leur logique, avant de les formuler avec Python.</w:t>
      </w:r>
      <w:r>
        <w:rPr>
          <w:rFonts w:cstheme="minorHAnsi"/>
          <w:sz w:val="24"/>
        </w:rPr>
      </w:r>
    </w:p>
    <w:p w14:paraId="18A1D325" w14:textId="77777777">
      <w:pPr>
        <w:pBdr/>
        <w:spacing w:after="0" w:line="240" w:lineRule="auto"/>
        <w:ind/>
        <w:rPr>
          <w:rFonts w:cstheme="minorHAnsi"/>
          <w:sz w:val="24"/>
        </w:rPr>
      </w:pPr>
      <w:r>
        <w:rPr>
          <w:rFonts w:cstheme="minorHAnsi"/>
          <w:sz w:val="24"/>
        </w:rPr>
      </w:r>
      <w:r>
        <w:rPr>
          <w:rFonts w:cstheme="minorHAnsi"/>
          <w:sz w:val="24"/>
        </w:rPr>
      </w:r>
    </w:p>
    <w:p w14:paraId="7292BBBD" w14:textId="4BF07429">
      <w:pPr>
        <w:pStyle w:val="677"/>
        <w:pBdr/>
        <w:spacing/>
        <w:ind/>
        <w:rPr>
          <w:rFonts w:asciiTheme="minorHAnsi" w:hAnsiTheme="minorHAnsi" w:cstheme="minorHAnsi"/>
          <w:b/>
          <w:color w:val="auto"/>
          <w:sz w:val="28"/>
        </w:rPr>
      </w:pPr>
      <w:r>
        <w:rPr>
          <w:rFonts w:asciiTheme="minorHAnsi" w:hAnsiTheme="minorHAnsi" w:cstheme="minorHAnsi"/>
          <w:b/>
          <w:color w:val="auto"/>
          <w:sz w:val="28"/>
        </w:rPr>
        <w:t xml:space="preserve">Emmanuelle </w:t>
      </w:r>
      <w:r>
        <w:rPr>
          <w:rFonts w:asciiTheme="minorHAnsi" w:hAnsiTheme="minorHAnsi" w:cstheme="minorHAnsi"/>
          <w:b/>
          <w:color w:val="auto"/>
          <w:sz w:val="28"/>
        </w:rPr>
        <w:t xml:space="preserve">Bermès</w:t>
      </w:r>
      <w:r>
        <w:rPr>
          <w:rFonts w:asciiTheme="minorHAnsi" w:hAnsiTheme="minorHAnsi" w:cstheme="minorHAnsi"/>
          <w:b/>
          <w:color w:val="auto"/>
          <w:sz w:val="28"/>
        </w:rPr>
        <w:t xml:space="preserve">, Gautier </w:t>
      </w:r>
      <w:r>
        <w:rPr>
          <w:rFonts w:asciiTheme="minorHAnsi" w:hAnsiTheme="minorHAnsi" w:cstheme="minorHAnsi"/>
          <w:b/>
          <w:color w:val="auto"/>
          <w:sz w:val="28"/>
        </w:rPr>
        <w:t xml:space="preserve">Poupeau</w:t>
      </w:r>
      <w:r>
        <w:rPr>
          <w:rFonts w:asciiTheme="minorHAnsi" w:hAnsiTheme="minorHAnsi" w:cstheme="minorHAnsi"/>
          <w:b/>
          <w:color w:val="auto"/>
          <w:sz w:val="28"/>
        </w:rPr>
        <w:t xml:space="preserve">. Les trois âges du numérique : regards croisés entre la </w:t>
      </w:r>
      <w:r>
        <w:rPr>
          <w:rFonts w:asciiTheme="minorHAnsi" w:hAnsiTheme="minorHAnsi" w:cstheme="minorHAnsi"/>
          <w:b/>
          <w:color w:val="auto"/>
          <w:sz w:val="28"/>
        </w:rPr>
        <w:t xml:space="preserve">médiévistique</w:t>
      </w:r>
      <w:r>
        <w:rPr>
          <w:rFonts w:asciiTheme="minorHAnsi" w:hAnsiTheme="minorHAnsi" w:cstheme="minorHAnsi"/>
          <w:b/>
          <w:color w:val="auto"/>
          <w:sz w:val="28"/>
        </w:rPr>
        <w:t xml:space="preserve"> et les bibliothèques. 2026</w:t>
      </w:r>
      <w:r>
        <w:rPr>
          <w:rFonts w:asciiTheme="minorHAnsi" w:hAnsiTheme="minorHAnsi" w:cstheme="minorHAnsi"/>
          <w:b/>
          <w:color w:val="auto"/>
          <w:sz w:val="28"/>
        </w:rPr>
        <w:t xml:space="preserve"> </w:t>
      </w:r>
      <w:r>
        <w:rPr>
          <w:rFonts w:asciiTheme="minorHAnsi" w:hAnsiTheme="minorHAnsi" w:cstheme="minorHAnsi"/>
          <w:b/>
          <w:color w:val="auto"/>
          <w:sz w:val="28"/>
        </w:rPr>
      </w:r>
    </w:p>
    <w:p w14:paraId="62A52488" w14:textId="747754DD">
      <w:pPr>
        <w:pBdr/>
        <w:spacing/>
        <w:ind/>
        <w:rPr>
          <w:sz w:val="24"/>
        </w:rPr>
      </w:pPr>
      <w:r>
        <w:rPr>
          <w:sz w:val="24"/>
        </w:rPr>
      </w:r>
      <w:r>
        <w:rPr>
          <w:sz w:val="24"/>
        </w:rPr>
      </w:r>
    </w:p>
    <w:p w14:paraId="20FF8BDD" w14:textId="3AF7939C">
      <w:pPr>
        <w:pStyle w:val="678"/>
        <w:pBdr/>
        <w:spacing/>
        <w:ind/>
        <w:jc w:val="center"/>
        <w:rPr>
          <w:rFonts w:asciiTheme="minorHAnsi" w:hAnsiTheme="minorHAnsi" w:cstheme="minorHAnsi"/>
          <w:b/>
          <w:color w:val="auto"/>
          <w:sz w:val="28"/>
        </w:rPr>
      </w:pPr>
      <w:r>
        <w:rPr>
          <w:rFonts w:asciiTheme="minorHAnsi" w:hAnsiTheme="minorHAnsi" w:cstheme="minorHAnsi"/>
          <w:b/>
          <w:color w:val="auto"/>
          <w:sz w:val="28"/>
        </w:rPr>
        <w:t xml:space="preserve">Introduction p.4 :</w:t>
      </w:r>
      <w:r>
        <w:rPr>
          <w:rFonts w:asciiTheme="minorHAnsi" w:hAnsiTheme="minorHAnsi" w:cstheme="minorHAnsi"/>
          <w:b/>
          <w:color w:val="auto"/>
          <w:sz w:val="28"/>
        </w:rPr>
      </w:r>
    </w:p>
    <w:p w14:paraId="46E68F15" w14:textId="3137F0AA">
      <w:pPr>
        <w:pBdr/>
        <w:spacing/>
        <w:ind/>
        <w:rPr>
          <w:sz w:val="24"/>
        </w:rPr>
      </w:pPr>
      <w:r>
        <w:rPr>
          <w:sz w:val="24"/>
        </w:rPr>
        <w:t xml:space="preserve">« L’historien de demain sera programmeur ou il ne sera pas » : cette citation que l’on peut lire en sous-titre de l’article d’Emmanuel Le Roy </w:t>
      </w:r>
      <w:r>
        <w:rPr>
          <w:sz w:val="24"/>
        </w:rPr>
        <w:t xml:space="preserve">Ladurie</w:t>
      </w:r>
      <w:r>
        <w:rPr>
          <w:sz w:val="24"/>
        </w:rPr>
        <w:t xml:space="preserve"> intitulé « Le temps des érudits » dans le </w:t>
      </w:r>
      <w:r>
        <w:rPr>
          <w:i/>
          <w:sz w:val="24"/>
        </w:rPr>
        <w:t xml:space="preserve">Nouvel Observateur </w:t>
      </w:r>
      <w:r>
        <w:rPr>
          <w:sz w:val="24"/>
        </w:rPr>
        <w:t xml:space="preserve">du 8 mai 1968 est sans aucun doute la citation la plus fameuse concernant le rapport entre science historique et informatique, souvent brandie comme la </w:t>
      </w:r>
      <w:r>
        <w:rPr>
          <w:sz w:val="24"/>
        </w:rPr>
        <w:t xml:space="preserve">prophétisation</w:t>
      </w:r>
      <w:r>
        <w:rPr>
          <w:sz w:val="24"/>
        </w:rPr>
        <w:t xml:space="preserve"> visionnaire d’un futur inéluctable pour une science appelée à de profondes transformations dans les décennies qui suivront.</w:t>
      </w:r>
      <w:r>
        <w:rPr>
          <w:sz w:val="24"/>
        </w:rPr>
      </w:r>
    </w:p>
    <w:p w14:paraId="4A1866E6" w14:textId="64D92B7D">
      <w:pPr>
        <w:pBdr/>
        <w:spacing/>
        <w:ind/>
        <w:rPr>
          <w:sz w:val="24"/>
        </w:rPr>
      </w:pPr>
      <w:r>
        <w:rPr>
          <w:sz w:val="24"/>
        </w:rPr>
        <w:t xml:space="preserve">Faisant figure de précurseur aussi bien dans le champ de l’histoire médiévale que dans celui des bibliothèques informatisées, Le Roy </w:t>
      </w:r>
      <w:r>
        <w:rPr>
          <w:sz w:val="24"/>
        </w:rPr>
        <w:t xml:space="preserve">Ladurie</w:t>
      </w:r>
      <w:r>
        <w:rPr>
          <w:sz w:val="24"/>
        </w:rPr>
        <w:t xml:space="preserve"> pourrait jouer le rôle de parrain de la démarche que nous entreprenons entre ces lignes : porter un regard croisé </w:t>
      </w:r>
      <w:r>
        <w:rPr>
          <w:sz w:val="24"/>
        </w:rPr>
        <w:t xml:space="preserve">sur ces deux domaines afin de mieux comprendre comment ils se sont nourris mutuellement, à travers cinq décennies et trois âges, faisant émerger un paysage conceptuel et technologique qui reste encore largement celui dans lequel nous évoluons aujourd’hui. </w:t>
      </w:r>
      <w:r>
        <w:rPr>
          <w:sz w:val="24"/>
        </w:rPr>
      </w:r>
    </w:p>
    <w:p w14:paraId="7A6653F1" w14:textId="563F411B">
      <w:pPr>
        <w:pBdr/>
        <w:spacing/>
        <w:ind/>
        <w:jc w:val="both"/>
        <w:rPr>
          <w:sz w:val="24"/>
        </w:rPr>
      </w:pPr>
      <w:r>
        <w:rPr>
          <w:sz w:val="24"/>
        </w:rPr>
        <w:t xml:space="preserve">Choix de sources ciblées pour commencer à retracer l’histoire : actes du Colloque de Rome de 1975, les </w:t>
      </w:r>
      <w:r>
        <w:rPr>
          <w:sz w:val="24"/>
        </w:rPr>
        <w:t xml:space="preserve">reuves</w:t>
      </w:r>
      <w:r>
        <w:rPr>
          <w:sz w:val="24"/>
        </w:rPr>
        <w:t xml:space="preserve"> </w:t>
      </w:r>
      <w:r>
        <w:rPr>
          <w:i/>
          <w:sz w:val="24"/>
        </w:rPr>
        <w:t xml:space="preserve">Le Médiéviste et l’ordinateur </w:t>
      </w:r>
      <w:r>
        <w:rPr>
          <w:sz w:val="24"/>
        </w:rPr>
        <w:t xml:space="preserve">et le </w:t>
      </w:r>
      <w:r>
        <w:rPr>
          <w:i/>
          <w:sz w:val="24"/>
        </w:rPr>
        <w:t xml:space="preserve">Bulletin des bibliothèques de France</w:t>
      </w:r>
      <w:r>
        <w:rPr>
          <w:sz w:val="24"/>
        </w:rPr>
        <w:t xml:space="preserve">, ainsi que certains numéros </w:t>
      </w:r>
      <w:r>
        <w:rPr>
          <w:sz w:val="24"/>
        </w:rPr>
        <w:t xml:space="preserve">de </w:t>
      </w:r>
      <w:r>
        <w:rPr>
          <w:i/>
          <w:sz w:val="24"/>
        </w:rPr>
        <w:t xml:space="preserve">Histoire</w:t>
      </w:r>
      <w:r>
        <w:rPr>
          <w:i/>
          <w:sz w:val="24"/>
        </w:rPr>
        <w:t xml:space="preserve"> et mesure</w:t>
      </w:r>
      <w:r>
        <w:rPr>
          <w:sz w:val="24"/>
        </w:rPr>
        <w:t xml:space="preserve">.</w:t>
      </w:r>
      <w:r>
        <w:rPr>
          <w:sz w:val="24"/>
        </w:rPr>
      </w:r>
    </w:p>
    <w:p w14:paraId="53B19E5F" w14:textId="35380919">
      <w:pPr>
        <w:pBdr/>
        <w:spacing/>
        <w:ind/>
        <w:jc w:val="both"/>
        <w:rPr>
          <w:sz w:val="24"/>
        </w:rPr>
      </w:pPr>
      <w:r>
        <w:rPr>
          <w:sz w:val="24"/>
        </w:rPr>
        <w:t xml:space="preserve">Cela laisse esquisser </w:t>
      </w:r>
      <w:r>
        <w:rPr>
          <w:sz w:val="24"/>
        </w:rPr>
        <w:t xml:space="preserve">une première vision</w:t>
      </w:r>
      <w:r>
        <w:rPr>
          <w:sz w:val="24"/>
        </w:rPr>
        <w:t xml:space="preserve"> de la façon dont les précurseurs et </w:t>
      </w:r>
      <w:r>
        <w:rPr>
          <w:sz w:val="24"/>
        </w:rPr>
        <w:t xml:space="preserve">précurseuses</w:t>
      </w:r>
      <w:r>
        <w:rPr>
          <w:sz w:val="24"/>
        </w:rPr>
        <w:t xml:space="preserve">, en France, se sont emparés de l’outil informatique et ont posé les fondations du paysage technologique actuel. </w:t>
      </w:r>
      <w:r>
        <w:rPr>
          <w:sz w:val="24"/>
        </w:rPr>
      </w:r>
    </w:p>
    <w:p w14:paraId="41C1C81E" w14:textId="3DAAC384">
      <w:pPr>
        <w:pBdr/>
        <w:spacing/>
        <w:ind/>
        <w:jc w:val="both"/>
        <w:rPr>
          <w:sz w:val="24"/>
        </w:rPr>
      </w:pPr>
      <w:r>
        <w:rPr>
          <w:sz w:val="24"/>
        </w:rPr>
        <w:t xml:space="preserve">S’y ajoute la </w:t>
      </w:r>
      <w:r>
        <w:rPr>
          <w:sz w:val="24"/>
        </w:rPr>
        <w:t xml:space="preserve">redocumentarisation</w:t>
      </w:r>
      <w:r>
        <w:rPr>
          <w:sz w:val="24"/>
        </w:rPr>
        <w:t xml:space="preserve"> de nos trajectoires personnelles, </w:t>
      </w:r>
      <w:r>
        <w:rPr>
          <w:sz w:val="24"/>
        </w:rPr>
        <w:t xml:space="preserve">àpd</w:t>
      </w:r>
      <w:r>
        <w:rPr>
          <w:sz w:val="24"/>
        </w:rPr>
        <w:t xml:space="preserve"> milieu des années 2000.</w:t>
      </w:r>
      <w:r>
        <w:rPr>
          <w:sz w:val="24"/>
        </w:rPr>
      </w:r>
    </w:p>
    <w:p w14:paraId="5B1B6F6D" w14:textId="1249589E">
      <w:pPr>
        <w:pBdr/>
        <w:spacing/>
        <w:ind/>
        <w:jc w:val="both"/>
        <w:rPr>
          <w:sz w:val="24"/>
        </w:rPr>
      </w:pPr>
      <w:r>
        <w:rPr>
          <w:sz w:val="24"/>
        </w:rPr>
        <w:t xml:space="preserve">Hypothèse mis en avant : l’existence de trois « âges » de l’appropriation du numérique par les milieux de l’histoire et du patrimoine, qui loin de constituer des visions opposables du monde, forment les temps d’un continuum.</w:t>
      </w:r>
      <w:r>
        <w:rPr>
          <w:sz w:val="24"/>
        </w:rPr>
      </w:r>
    </w:p>
    <w:p w14:paraId="22D9519C" w14:textId="7075B294">
      <w:pPr>
        <w:pBdr/>
        <w:spacing/>
        <w:ind/>
        <w:jc w:val="both"/>
        <w:rPr>
          <w:sz w:val="24"/>
        </w:rPr>
      </w:pPr>
      <w:r>
        <w:rPr>
          <w:sz w:val="24"/>
        </w:rPr>
        <w:t xml:space="preserve">p.5 : </w:t>
      </w:r>
      <w:r>
        <w:rPr>
          <w:b/>
          <w:sz w:val="24"/>
        </w:rPr>
        <w:t xml:space="preserve">Premier âge : des années 1970 au début des années 1990</w:t>
      </w:r>
      <w:r>
        <w:rPr>
          <w:sz w:val="24"/>
        </w:rPr>
      </w:r>
    </w:p>
    <w:p w14:paraId="6E50CF33" w14:textId="3482548F">
      <w:pPr>
        <w:pBdr/>
        <w:spacing/>
        <w:ind/>
        <w:jc w:val="both"/>
        <w:rPr>
          <w:sz w:val="24"/>
        </w:rPr>
      </w:pPr>
      <w:r>
        <w:rPr>
          <w:sz w:val="24"/>
        </w:rPr>
        <w:t xml:space="preserve">Appréhender</w:t>
      </w:r>
      <w:r>
        <w:rPr>
          <w:sz w:val="24"/>
        </w:rPr>
        <w:t xml:space="preserve"> la masse documentaire : compter et ordonner (les termes de « computer » en </w:t>
      </w:r>
      <w:r>
        <w:rPr>
          <w:sz w:val="24"/>
        </w:rPr>
        <w:t xml:space="preserve">anglais</w:t>
      </w:r>
      <w:r>
        <w:rPr>
          <w:sz w:val="24"/>
        </w:rPr>
        <w:t xml:space="preserve"> et « ordinateur » en français réfèrent à ces deux notions).</w:t>
      </w:r>
      <w:r>
        <w:rPr>
          <w:sz w:val="24"/>
        </w:rPr>
      </w:r>
    </w:p>
    <w:p w14:paraId="54900E82" w14:textId="1D8A65F4">
      <w:pPr>
        <w:pBdr/>
        <w:spacing/>
        <w:ind/>
        <w:jc w:val="both"/>
        <w:rPr>
          <w:sz w:val="24"/>
        </w:rPr>
      </w:pPr>
      <w:r>
        <w:rPr>
          <w:sz w:val="24"/>
        </w:rPr>
        <w:t xml:space="preserve">Notion de </w:t>
      </w:r>
      <w:r>
        <w:rPr>
          <w:sz w:val="24"/>
        </w:rPr>
        <w:t xml:space="preserve">métasource</w:t>
      </w:r>
      <w:r>
        <w:rPr>
          <w:sz w:val="24"/>
        </w:rPr>
        <w:t xml:space="preserve"> : par les historiens répond l’enjeu de l’informatisation des catalogues de bibliothèques et le concept</w:t>
      </w:r>
      <w:r>
        <w:rPr>
          <w:sz w:val="24"/>
        </w:rPr>
        <w:t xml:space="preserve"> de « notice ».</w:t>
      </w:r>
      <w:r>
        <w:rPr>
          <w:sz w:val="24"/>
        </w:rPr>
      </w:r>
    </w:p>
    <w:p w14:paraId="639B1A90" w14:textId="77777777">
      <w:pPr>
        <w:pBdr/>
        <w:spacing/>
        <w:ind/>
        <w:jc w:val="both"/>
        <w:rPr>
          <w:sz w:val="24"/>
        </w:rPr>
      </w:pPr>
      <w:r>
        <w:rPr>
          <w:sz w:val="24"/>
        </w:rPr>
        <w:t xml:space="preserve">On ne dispose alors pas toujours d’une</w:t>
      </w:r>
      <w:r>
        <w:rPr>
          <w:sz w:val="24"/>
        </w:rPr>
        <w:t xml:space="preserve"> version numérique complète des documents et des sources, mais on cherche à avoir une idée la plus précise possible de ce qui est disponible : il s’agit de constituer des corpus, au moyen d’une modélisation qui débouche sur des bases ou banques de données.</w:t>
      </w:r>
      <w:r>
        <w:rPr>
          <w:sz w:val="24"/>
        </w:rPr>
      </w:r>
    </w:p>
    <w:p w14:paraId="0434D4BF" w14:textId="70A6D457">
      <w:pPr>
        <w:pBdr/>
        <w:spacing/>
        <w:ind/>
        <w:jc w:val="both"/>
        <w:rPr>
          <w:sz w:val="24"/>
        </w:rPr>
      </w:pPr>
      <w:r>
        <w:rPr>
          <w:sz w:val="24"/>
        </w:rPr>
        <w:t xml:space="preserve">p.6 : 1</w:t>
      </w:r>
      <w:r>
        <w:rPr>
          <w:sz w:val="24"/>
          <w:vertAlign w:val="superscript"/>
        </w:rPr>
        <w:t xml:space="preserve">er</w:t>
      </w:r>
      <w:r>
        <w:rPr>
          <w:sz w:val="24"/>
        </w:rPr>
        <w:t xml:space="preserve"> âge : clôture de cette ère d’expérimentations et de réflexion performative avec l’arrivée de la micro-informatique en réseau.</w:t>
      </w:r>
      <w:r>
        <w:rPr>
          <w:sz w:val="24"/>
        </w:rPr>
      </w:r>
    </w:p>
    <w:p w14:paraId="4B2D06EA" w14:textId="7C0E6947">
      <w:pPr>
        <w:pBdr/>
        <w:spacing/>
        <w:ind/>
        <w:jc w:val="both"/>
        <w:rPr>
          <w:b/>
          <w:sz w:val="24"/>
        </w:rPr>
      </w:pPr>
      <w:r>
        <w:rPr>
          <w:b/>
          <w:sz w:val="24"/>
        </w:rPr>
        <w:t xml:space="preserve">Deuxième âge : milieu des années 1990 à 2010</w:t>
      </w:r>
      <w:r>
        <w:rPr>
          <w:b/>
          <w:sz w:val="24"/>
        </w:rPr>
      </w:r>
    </w:p>
    <w:p w14:paraId="4FE9BCB5" w14:textId="26BDDC45">
      <w:pPr>
        <w:pBdr/>
        <w:spacing/>
        <w:ind/>
        <w:jc w:val="both"/>
        <w:rPr>
          <w:sz w:val="24"/>
        </w:rPr>
      </w:pPr>
      <w:r>
        <w:rPr>
          <w:sz w:val="24"/>
        </w:rPr>
        <w:t xml:space="preserve">L’irruption du web et les grands projets de numérisation décuplent le potentiel du numérique en matière de disponibilité des corpus.</w:t>
      </w:r>
      <w:r>
        <w:rPr>
          <w:sz w:val="24"/>
        </w:rPr>
      </w:r>
    </w:p>
    <w:p w14:paraId="5CB7FB1D" w14:textId="2EBA71F6">
      <w:pPr>
        <w:pBdr/>
        <w:spacing/>
        <w:ind/>
        <w:jc w:val="both"/>
        <w:rPr>
          <w:sz w:val="24"/>
        </w:rPr>
      </w:pPr>
      <w:r>
        <w:rPr>
          <w:sz w:val="24"/>
        </w:rPr>
        <w:t xml:space="preserve">L’essor de l’édition électronique répond aux projets volontaristes </w:t>
      </w:r>
      <w:r>
        <w:rPr>
          <w:sz w:val="24"/>
        </w:rPr>
        <w:t xml:space="preserve">des institutions patrimoniales, au premier chef la création des bibliothèques, d’abord expérimentales jusqu’au début des années 2000 puis massives après l’irruption de Google dans le champ de la numérisation.</w:t>
      </w:r>
      <w:r>
        <w:rPr>
          <w:sz w:val="24"/>
        </w:rPr>
      </w:r>
    </w:p>
    <w:p w14:paraId="4E08F3AF" w14:textId="1969B99E">
      <w:pPr>
        <w:pBdr/>
        <w:spacing/>
        <w:ind/>
        <w:jc w:val="both"/>
        <w:rPr>
          <w:sz w:val="24"/>
        </w:rPr>
      </w:pPr>
      <w:r>
        <w:rPr>
          <w:sz w:val="24"/>
        </w:rPr>
        <w:t xml:space="preserve">Période : traversée par les enjeux de structuration de l’information au format numérique, d’interopérabilité et de pérennisation, est celle de la mise à disposition des contenus.</w:t>
      </w:r>
      <w:r>
        <w:rPr>
          <w:sz w:val="24"/>
        </w:rPr>
      </w:r>
    </w:p>
    <w:p w14:paraId="08029714" w14:textId="1AA5EFFA">
      <w:pPr>
        <w:pBdr/>
        <w:spacing/>
        <w:ind/>
        <w:jc w:val="both"/>
        <w:rPr>
          <w:b/>
          <w:sz w:val="24"/>
        </w:rPr>
      </w:pPr>
      <w:r>
        <w:rPr>
          <w:b/>
          <w:sz w:val="24"/>
        </w:rPr>
        <w:t xml:space="preserve">Troisième âge : à partir de 2010</w:t>
      </w:r>
      <w:r>
        <w:rPr>
          <w:b/>
          <w:sz w:val="24"/>
        </w:rPr>
      </w:r>
    </w:p>
    <w:p w14:paraId="6AF41CFD" w14:textId="4055DB82">
      <w:pPr>
        <w:pBdr/>
        <w:spacing/>
        <w:ind/>
        <w:jc w:val="both"/>
        <w:rPr>
          <w:sz w:val="24"/>
        </w:rPr>
      </w:pPr>
      <w:r>
        <w:rPr>
          <w:sz w:val="24"/>
        </w:rPr>
        <w:t xml:space="preserve">Possible d’extraire de nouvelles données de la masse des corpus numériques désormais disponibles.</w:t>
      </w:r>
      <w:r>
        <w:rPr>
          <w:sz w:val="24"/>
        </w:rPr>
      </w:r>
    </w:p>
    <w:p w14:paraId="38D2D694" w14:textId="4354752C">
      <w:pPr>
        <w:pBdr/>
        <w:spacing/>
        <w:ind/>
        <w:jc w:val="both"/>
        <w:rPr>
          <w:sz w:val="24"/>
        </w:rPr>
      </w:pPr>
      <w:r>
        <w:rPr>
          <w:sz w:val="24"/>
        </w:rPr>
        <w:t xml:space="preserve">Web sémantique : déconstruire la </w:t>
      </w:r>
      <w:r>
        <w:rPr>
          <w:sz w:val="24"/>
        </w:rPr>
        <w:t xml:space="preserve">métasource</w:t>
      </w:r>
      <w:r>
        <w:rPr>
          <w:sz w:val="24"/>
        </w:rPr>
        <w:t xml:space="preserve"> pour relier et partager les connaissances en s’affranchissant des structures documentaires qui étaient imposées par les supports. </w:t>
      </w:r>
      <w:r>
        <w:rPr>
          <w:sz w:val="24"/>
        </w:rPr>
      </w:r>
    </w:p>
    <w:p w14:paraId="1A1FE185" w14:textId="3EB4E46E">
      <w:pPr>
        <w:pBdr/>
        <w:spacing/>
        <w:ind/>
        <w:jc w:val="both"/>
        <w:rPr>
          <w:sz w:val="24"/>
        </w:rPr>
      </w:pPr>
      <w:r>
        <w:rPr>
          <w:sz w:val="24"/>
        </w:rPr>
        <w:t xml:space="preserve">Les nouveaux caps franchis par la science des données, notamment dans le domaine du </w:t>
      </w:r>
      <w:r>
        <w:rPr>
          <w:i/>
          <w:sz w:val="24"/>
        </w:rPr>
        <w:t xml:space="preserve">machine </w:t>
      </w:r>
      <w:r>
        <w:rPr>
          <w:i/>
          <w:sz w:val="24"/>
        </w:rPr>
        <w:t xml:space="preserve">learning</w:t>
      </w:r>
      <w:r>
        <w:rPr>
          <w:sz w:val="24"/>
        </w:rPr>
        <w:t xml:space="preserve">, imposent une coopération active entre historiens et professionnels de l’information pour limiter les biais et produire des analyses pertinentes.</w:t>
      </w:r>
      <w:r>
        <w:rPr>
          <w:sz w:val="24"/>
        </w:rPr>
      </w:r>
    </w:p>
    <w:p w14:paraId="3CAC1C04" w14:textId="51E7760D">
      <w:pPr>
        <w:pBdr/>
        <w:spacing/>
        <w:ind/>
        <w:jc w:val="both"/>
        <w:rPr>
          <w:sz w:val="24"/>
        </w:rPr>
      </w:pPr>
      <w:r>
        <w:rPr>
          <w:sz w:val="24"/>
        </w:rPr>
        <w:t xml:space="preserve">3</w:t>
      </w:r>
      <w:r>
        <w:rPr>
          <w:sz w:val="24"/>
          <w:vertAlign w:val="superscript"/>
        </w:rPr>
        <w:t xml:space="preserve">e</w:t>
      </w:r>
      <w:r>
        <w:rPr>
          <w:sz w:val="24"/>
        </w:rPr>
        <w:t xml:space="preserve"> période : tournée vers analyse du contenu.</w:t>
      </w:r>
      <w:r>
        <w:rPr>
          <w:sz w:val="24"/>
        </w:rPr>
      </w:r>
    </w:p>
    <w:p w14:paraId="37A8C324" w14:textId="7DA3817E">
      <w:pPr>
        <w:pBdr/>
        <w:spacing/>
        <w:ind/>
        <w:jc w:val="both"/>
        <w:rPr>
          <w:sz w:val="24"/>
        </w:rPr>
      </w:pPr>
      <w:r>
        <w:rPr>
          <w:sz w:val="24"/>
        </w:rPr>
        <w:t xml:space="preserve">Objectif principal de ce travail : apporter une lisibilité nouvelle au paysage technologique qui outille aujourd’hui les jeunes historiens et historiennes, </w:t>
      </w:r>
      <w:r>
        <w:rPr>
          <w:sz w:val="24"/>
        </w:rPr>
        <w:t xml:space="preserve">ingénieur.</w:t>
      </w:r>
      <w:r>
        <w:rPr>
          <w:sz w:val="24"/>
        </w:rPr>
        <w:t xml:space="preserve">e.s</w:t>
      </w:r>
      <w:r>
        <w:rPr>
          <w:sz w:val="24"/>
        </w:rPr>
        <w:t xml:space="preserve"> des données </w:t>
      </w:r>
      <w:r>
        <w:rPr>
          <w:sz w:val="24"/>
        </w:rPr>
        <w:t xml:space="preserve">et documents patrimoniaux, </w:t>
      </w:r>
      <w:r>
        <w:rPr>
          <w:sz w:val="24"/>
        </w:rPr>
        <w:t xml:space="preserve">professionnel.le.s</w:t>
      </w:r>
      <w:r>
        <w:rPr>
          <w:sz w:val="24"/>
        </w:rPr>
        <w:t xml:space="preserve"> des bibliothèques.</w:t>
      </w:r>
      <w:r>
        <w:rPr>
          <w:sz w:val="24"/>
        </w:rPr>
      </w:r>
    </w:p>
    <w:p w14:paraId="04ABAA73" w14:textId="71A4A747">
      <w:pPr>
        <w:pStyle w:val="678"/>
        <w:pBdr/>
        <w:spacing/>
        <w:ind/>
        <w:jc w:val="center"/>
        <w:rPr>
          <w:rFonts w:asciiTheme="minorHAnsi" w:hAnsiTheme="minorHAnsi" w:cstheme="minorHAnsi"/>
          <w:b/>
          <w:color w:val="auto"/>
          <w:sz w:val="28"/>
        </w:rPr>
      </w:pPr>
      <w:r>
        <w:rPr>
          <w:rFonts w:asciiTheme="minorHAnsi" w:hAnsiTheme="minorHAnsi" w:cstheme="minorHAnsi"/>
          <w:b/>
          <w:color w:val="auto"/>
          <w:sz w:val="28"/>
        </w:rPr>
        <w:t xml:space="preserve">p.7 : Premier âge : ordonner et compter (1975-1989)</w:t>
      </w:r>
      <w:r>
        <w:rPr>
          <w:rFonts w:asciiTheme="minorHAnsi" w:hAnsiTheme="minorHAnsi" w:cstheme="minorHAnsi"/>
          <w:b/>
          <w:color w:val="auto"/>
          <w:sz w:val="28"/>
        </w:rPr>
      </w:r>
    </w:p>
    <w:p w14:paraId="54B23A2A" w14:textId="29F595B6">
      <w:pPr>
        <w:pBdr/>
        <w:spacing/>
        <w:ind/>
        <w:jc w:val="both"/>
        <w:rPr>
          <w:sz w:val="24"/>
        </w:rPr>
      </w:pPr>
      <w:r>
        <w:rPr>
          <w:sz w:val="24"/>
        </w:rPr>
        <w:t xml:space="preserve">« Traitement informatique » ou « automatique », « enregistrement » des textes, « banques de données », « indexage » en « full texté ou par des « descripteurs</w:t>
      </w:r>
      <w:r>
        <w:rPr>
          <w:sz w:val="24"/>
        </w:rPr>
        <w:t xml:space="preserve"> »…</w:t>
      </w:r>
      <w:r>
        <w:rPr>
          <w:sz w:val="24"/>
        </w:rPr>
      </w:r>
    </w:p>
    <w:p w14:paraId="4D7D2322" w14:textId="6D05CD9B">
      <w:pPr>
        <w:pBdr/>
        <w:spacing/>
        <w:ind/>
        <w:jc w:val="both"/>
        <w:rPr>
          <w:sz w:val="24"/>
        </w:rPr>
      </w:pPr>
      <w:r>
        <w:rPr>
          <w:sz w:val="24"/>
        </w:rPr>
        <w:t xml:space="preserve">Avant la généralisation de la micro-informatique qui ne survient que dans les années 1980, il faut se représenter l’accès aux ordinateurs via des infrastr</w:t>
      </w:r>
      <w:r>
        <w:rPr>
          <w:sz w:val="24"/>
        </w:rPr>
        <w:t xml:space="preserve">uctures coûteuses et centralisées, dépourvues d’interfaces graphiques ; les données sont stockées sur des cartes perforées et l’on y accède via des opérateurs spécialisés (ou plutôt des opératrices) qui traduisent les requêtes ou en imprimant des listings.</w:t>
      </w:r>
      <w:r>
        <w:rPr>
          <w:sz w:val="24"/>
        </w:rPr>
      </w:r>
    </w:p>
    <w:p w14:paraId="12AD9F5C" w14:textId="424A953D">
      <w:pPr>
        <w:pBdr/>
        <w:spacing/>
        <w:ind/>
        <w:jc w:val="both"/>
        <w:rPr>
          <w:sz w:val="24"/>
        </w:rPr>
      </w:pPr>
      <w:r>
        <w:rPr>
          <w:sz w:val="24"/>
        </w:rPr>
        <w:t xml:space="preserve">Dans un tel contexte, pour les médiévistes et les bibliothécaires de l’époque, imaginer les usages de l’informatique dans leur profession relève d’un exercice d’abstraction et parfois d’anticipation complexe et périlleux.</w:t>
      </w:r>
      <w:r>
        <w:rPr>
          <w:sz w:val="24"/>
        </w:rPr>
      </w:r>
    </w:p>
    <w:p w14:paraId="424C20A6" w14:textId="218EEBB7">
      <w:pPr>
        <w:pStyle w:val="679"/>
        <w:pBdr/>
        <w:spacing/>
        <w:ind/>
        <w:rPr>
          <w:rFonts w:asciiTheme="minorHAnsi" w:hAnsiTheme="minorHAnsi" w:cstheme="minorHAnsi"/>
          <w:b/>
          <w:color w:val="auto"/>
          <w:u w:val="single"/>
        </w:rPr>
      </w:pPr>
      <w:r>
        <w:rPr>
          <w:rFonts w:asciiTheme="minorHAnsi" w:hAnsiTheme="minorHAnsi" w:cstheme="minorHAnsi"/>
          <w:b/>
          <w:color w:val="auto"/>
          <w:u w:val="single"/>
        </w:rPr>
        <w:t xml:space="preserve">Le colloque de Rome en 1975 : un moment fondateur</w:t>
      </w:r>
      <w:r>
        <w:rPr>
          <w:rFonts w:asciiTheme="minorHAnsi" w:hAnsiTheme="minorHAnsi" w:cstheme="minorHAnsi"/>
          <w:b/>
          <w:color w:val="auto"/>
          <w:u w:val="single"/>
        </w:rPr>
      </w:r>
    </w:p>
    <w:p w14:paraId="02F57D89" w14:textId="1EDDB123">
      <w:pPr>
        <w:pBdr/>
        <w:spacing/>
        <w:ind/>
        <w:rPr/>
      </w:pPr>
      <w:r/>
      <w:r/>
    </w:p>
    <w:p w14:paraId="39E14051" w14:textId="271B0543">
      <w:pPr>
        <w:pBdr/>
        <w:spacing/>
        <w:ind/>
        <w:jc w:val="both"/>
        <w:rPr>
          <w:sz w:val="24"/>
        </w:rPr>
      </w:pPr>
      <w:r>
        <w:rPr>
          <w:sz w:val="24"/>
        </w:rPr>
        <w:t xml:space="preserve">22 et 23 mai 1975 : </w:t>
      </w:r>
      <w:r>
        <w:rPr>
          <w:sz w:val="24"/>
        </w:rPr>
        <w:t xml:space="preserve">gpe</w:t>
      </w:r>
      <w:r>
        <w:rPr>
          <w:sz w:val="24"/>
        </w:rPr>
        <w:t xml:space="preserve"> de médiévistes </w:t>
      </w:r>
      <w:r>
        <w:rPr>
          <w:sz w:val="24"/>
        </w:rPr>
        <w:t xml:space="preserve">fr</w:t>
      </w:r>
      <w:r>
        <w:rPr>
          <w:sz w:val="24"/>
        </w:rPr>
        <w:t xml:space="preserve"> et italiens se réunit à l’Ecole française de Rome pour « examiner les possibilités d’introduction de l’informatique dans leurs travaux ». </w:t>
      </w:r>
      <w:r>
        <w:rPr>
          <w:sz w:val="24"/>
        </w:rPr>
      </w:r>
    </w:p>
    <w:p w14:paraId="52A5AD3C" w14:textId="7FEC58AB">
      <w:pPr>
        <w:pBdr/>
        <w:spacing/>
        <w:ind/>
        <w:jc w:val="both"/>
        <w:rPr>
          <w:sz w:val="24"/>
        </w:rPr>
      </w:pPr>
      <w:r>
        <w:rPr>
          <w:sz w:val="24"/>
        </w:rPr>
        <w:t xml:space="preserve">p.8 : Robert-Henri </w:t>
      </w:r>
      <w:r>
        <w:rPr>
          <w:sz w:val="24"/>
        </w:rPr>
        <w:t xml:space="preserve">Bautier</w:t>
      </w:r>
      <w:r>
        <w:rPr>
          <w:sz w:val="24"/>
        </w:rPr>
        <w:t xml:space="preserve"> synthétise ce que l’on pourrait appeler les premiers « cas d’usage » de la </w:t>
      </w:r>
      <w:r>
        <w:rPr>
          <w:sz w:val="24"/>
        </w:rPr>
        <w:t xml:space="preserve">médiévistique</w:t>
      </w:r>
      <w:r>
        <w:rPr>
          <w:sz w:val="24"/>
        </w:rPr>
        <w:t xml:space="preserve"> informatisée : </w:t>
      </w:r>
      <w:r>
        <w:rPr>
          <w:sz w:val="24"/>
        </w:rPr>
      </w:r>
    </w:p>
    <w:p w14:paraId="291287D7" w14:textId="60464BC2">
      <w:pPr>
        <w:pStyle w:val="683"/>
        <w:numPr>
          <w:ilvl w:val="0"/>
          <w:numId w:val="5"/>
        </w:numPr>
        <w:pBdr/>
        <w:spacing/>
        <w:ind/>
        <w:rPr>
          <w:sz w:val="24"/>
        </w:rPr>
      </w:pPr>
      <w:r>
        <w:rPr>
          <w:sz w:val="24"/>
        </w:rPr>
        <w:t xml:space="preserve">L’analyse de données sérielles : celle-ci est rendue possible par l’extraction systématique d’informations concernant des documents dont la structure est stable.</w:t>
      </w:r>
      <w:r>
        <w:rPr>
          <w:sz w:val="24"/>
        </w:rPr>
      </w:r>
    </w:p>
    <w:p w14:paraId="03D53A4E" w14:textId="6E46F63C">
      <w:pPr>
        <w:pStyle w:val="683"/>
        <w:numPr>
          <w:ilvl w:val="0"/>
          <w:numId w:val="5"/>
        </w:numPr>
        <w:pBdr/>
        <w:spacing/>
        <w:ind/>
        <w:rPr>
          <w:sz w:val="24"/>
        </w:rPr>
      </w:pPr>
      <w:r>
        <w:rPr>
          <w:sz w:val="24"/>
        </w:rPr>
        <w:t xml:space="preserve">L’analyse documentaire, qui consiste à « signaler au public ce qui peut concerner ses </w:t>
      </w:r>
      <w:r>
        <w:rPr>
          <w:sz w:val="24"/>
        </w:rPr>
        <w:t xml:space="preserve">recherches et qui se cache dans les instruments de travail existants » c’est-à-dire à fournir un inventaire détaillé d’un certain nombre d’informations se trouvant dans les archives ;</w:t>
      </w:r>
      <w:r>
        <w:rPr>
          <w:sz w:val="24"/>
        </w:rPr>
      </w:r>
    </w:p>
    <w:p w14:paraId="336141DA" w14:textId="5B797EB9">
      <w:pPr>
        <w:pStyle w:val="683"/>
        <w:numPr>
          <w:ilvl w:val="0"/>
          <w:numId w:val="5"/>
        </w:numPr>
        <w:pBdr/>
        <w:spacing/>
        <w:ind/>
        <w:rPr>
          <w:sz w:val="24"/>
        </w:rPr>
      </w:pPr>
      <w:r>
        <w:rPr>
          <w:sz w:val="24"/>
        </w:rPr>
        <w:t xml:space="preserve">L’établissement de la tradition des textes : une fois ceux-ci enregistrés, la machine « nous fera connaître et classera dans l’ordre chronologique (première exigence du </w:t>
      </w:r>
      <w:r>
        <w:rPr>
          <w:sz w:val="24"/>
        </w:rPr>
        <w:t xml:space="preserve">diplomatiste</w:t>
      </w:r>
      <w:r>
        <w:rPr>
          <w:sz w:val="24"/>
        </w:rPr>
        <w:t xml:space="preserve"> comme de l’historien) (…) On pourra aussi établir automatiquement les tables de concordance entre les numéros d’une édition, la numérotation des actes </w:t>
      </w:r>
      <w:r>
        <w:rPr>
          <w:sz w:val="24"/>
        </w:rPr>
        <w:t xml:space="preserve">dans les cartulaires, les cotes d’archives correspondantes, les numéros dans les éditions antérieures etc. »</w:t>
      </w:r>
      <w:r>
        <w:rPr>
          <w:sz w:val="24"/>
        </w:rPr>
      </w:r>
    </w:p>
    <w:p w14:paraId="5EFF5A3E" w14:textId="5FEEDA1A">
      <w:pPr>
        <w:pStyle w:val="683"/>
        <w:numPr>
          <w:ilvl w:val="0"/>
          <w:numId w:val="5"/>
        </w:numPr>
        <w:pBdr/>
        <w:spacing/>
        <w:ind/>
        <w:rPr>
          <w:sz w:val="24"/>
        </w:rPr>
      </w:pPr>
      <w:r>
        <w:rPr>
          <w:sz w:val="24"/>
        </w:rPr>
        <w:t xml:space="preserve">La datation des actes : il s’agit ici de recouper plus facilement les informations relevées afin d’en inférer de nouvelles connaissances.</w:t>
      </w:r>
      <w:r>
        <w:rPr>
          <w:sz w:val="24"/>
        </w:rPr>
      </w:r>
    </w:p>
    <w:p w14:paraId="6932092F" w14:textId="34DEB745">
      <w:pPr>
        <w:pStyle w:val="683"/>
        <w:numPr>
          <w:ilvl w:val="0"/>
          <w:numId w:val="5"/>
        </w:numPr>
        <w:pBdr/>
        <w:spacing/>
        <w:ind/>
        <w:rPr>
          <w:sz w:val="24"/>
        </w:rPr>
      </w:pPr>
      <w:r>
        <w:rPr>
          <w:sz w:val="24"/>
        </w:rPr>
        <w:t xml:space="preserve">L’indexation des éléments dans les textes : le terme « d’indexage » est employé pour décrire une activité consistant à extraire de façon normée, par dépouillement, des informations utiles afin de pouvoir les analyser en masse.</w:t>
      </w:r>
      <w:r>
        <w:rPr>
          <w:sz w:val="24"/>
        </w:rPr>
      </w:r>
    </w:p>
    <w:p w14:paraId="5F29943A" w14:textId="24C87368">
      <w:pPr>
        <w:pBdr/>
        <w:spacing/>
        <w:ind/>
        <w:rPr>
          <w:sz w:val="24"/>
        </w:rPr>
      </w:pPr>
      <w:r>
        <w:rPr>
          <w:sz w:val="24"/>
        </w:rPr>
        <w:t xml:space="preserve">p.9 : trois usages principaux de l’informatique par les médiévistes, qui traversent toute la période et sont encore largement valables aujourd’hui :</w:t>
      </w:r>
      <w:r>
        <w:rPr>
          <w:sz w:val="24"/>
        </w:rPr>
      </w:r>
    </w:p>
    <w:p w14:paraId="39002C95" w14:textId="71A4EFBD">
      <w:pPr>
        <w:pStyle w:val="683"/>
        <w:numPr>
          <w:ilvl w:val="0"/>
          <w:numId w:val="6"/>
        </w:numPr>
        <w:pBdr/>
        <w:spacing/>
        <w:ind/>
        <w:rPr>
          <w:sz w:val="24"/>
        </w:rPr>
      </w:pPr>
      <w:r>
        <w:rPr>
          <w:sz w:val="24"/>
        </w:rPr>
        <w:t xml:space="preserve">Le traitement du texte, qui permet d’établir des listes et de faire des comptages : lexicométrie, repérage d’éléments (index divers, repérage de formules…), statistiques sur le texte, recherches de formes… les spécificités du texte médiéval (</w:t>
      </w:r>
      <w:r>
        <w:rPr>
          <w:sz w:val="24"/>
        </w:rPr>
        <w:t xml:space="preserve">abbréviations</w:t>
      </w:r>
      <w:r>
        <w:rPr>
          <w:sz w:val="24"/>
        </w:rPr>
        <w:t xml:space="preserve">, déclinaisons grammaticales, évolutions orthographiques, spécificités linguistiques…) impliquant entre autres de gérer la lemmatisation</w:t>
      </w:r>
      <w:r>
        <w:rPr>
          <w:sz w:val="24"/>
        </w:rPr>
      </w:r>
    </w:p>
    <w:p w14:paraId="5F8E0F88" w14:textId="6B649724">
      <w:pPr>
        <w:pStyle w:val="683"/>
        <w:numPr>
          <w:ilvl w:val="0"/>
          <w:numId w:val="6"/>
        </w:numPr>
        <w:pBdr/>
        <w:spacing/>
        <w:ind/>
        <w:rPr>
          <w:sz w:val="24"/>
        </w:rPr>
      </w:pPr>
      <w:r>
        <w:rPr>
          <w:sz w:val="24"/>
        </w:rPr>
        <w:t xml:space="preserve">La gestion de données sérielles : mise en place </w:t>
      </w:r>
      <w:r>
        <w:rPr>
          <w:sz w:val="24"/>
        </w:rPr>
        <w:t xml:space="preserve">de </w:t>
      </w:r>
      <w:r>
        <w:rPr>
          <w:sz w:val="24"/>
        </w:rPr>
        <w:t xml:space="preserve">bdd</w:t>
      </w:r>
      <w:r>
        <w:rPr>
          <w:sz w:val="24"/>
        </w:rPr>
        <w:t xml:space="preserve"> pour étudier des objets homogènes, notamment là aussi à travers des statistiques et des comptages. </w:t>
      </w:r>
      <w:r>
        <w:rPr>
          <w:sz w:val="24"/>
        </w:rPr>
      </w:r>
    </w:p>
    <w:p w14:paraId="0D072C0E" w14:textId="11FB208B">
      <w:pPr>
        <w:pStyle w:val="683"/>
        <w:numPr>
          <w:ilvl w:val="0"/>
          <w:numId w:val="6"/>
        </w:numPr>
        <w:pBdr/>
        <w:spacing/>
        <w:ind/>
        <w:rPr>
          <w:sz w:val="24"/>
        </w:rPr>
      </w:pPr>
      <w:r>
        <w:rPr>
          <w:sz w:val="24"/>
        </w:rPr>
        <w:t xml:space="preserve">L’ana</w:t>
      </w:r>
      <w:r>
        <w:rPr>
          <w:sz w:val="24"/>
        </w:rPr>
        <w:t xml:space="preserve">lyse documentaire et la recherche de documentation : pour faire des recherches précises dans des textes existants, qu’il s’agisse de sources ou de bibliographies, on s’appuie sur un thésaurus qui formalise les relations entre des documents et des concepts.</w:t>
      </w:r>
      <w:r>
        <w:rPr>
          <w:sz w:val="24"/>
        </w:rPr>
      </w:r>
    </w:p>
    <w:p w14:paraId="6A1C35E8" w14:textId="201CF767">
      <w:pPr>
        <w:pBdr/>
        <w:spacing/>
        <w:ind/>
        <w:jc w:val="both"/>
        <w:rPr>
          <w:sz w:val="24"/>
        </w:rPr>
      </w:pPr>
      <w:r>
        <w:rPr>
          <w:sz w:val="24"/>
        </w:rPr>
        <w:t xml:space="preserve">p.10 : le contenu stocké dans la machine ne peut être consulté directement ; il est « mis en données » afin de pouvoir ordonner ou classer et compter ou calculer, c’est-à-dire lancer des commandes à la </w:t>
      </w:r>
      <w:r>
        <w:rPr>
          <w:sz w:val="24"/>
        </w:rPr>
        <w:t xml:space="preserve">bdd</w:t>
      </w:r>
      <w:r>
        <w:rPr>
          <w:sz w:val="24"/>
        </w:rPr>
        <w:t xml:space="preserve"> afin de réaliser des opérations abstraites, qui ont souvent été conçues à l’avance en fonction du type de recherche que l’on souhaite effectuer.</w:t>
      </w:r>
      <w:r>
        <w:rPr>
          <w:sz w:val="24"/>
        </w:rPr>
      </w:r>
    </w:p>
    <w:p w14:paraId="124BEDC8" w14:textId="0B6DE765">
      <w:pPr>
        <w:pBdr/>
        <w:spacing/>
        <w:ind/>
        <w:jc w:val="both"/>
        <w:rPr>
          <w:sz w:val="24"/>
        </w:rPr>
      </w:pPr>
      <w:r>
        <w:rPr>
          <w:sz w:val="24"/>
        </w:rPr>
        <w:t xml:space="preserve">p.12 : la </w:t>
      </w:r>
      <w:r>
        <w:rPr>
          <w:sz w:val="24"/>
        </w:rPr>
        <w:t xml:space="preserve">métasource</w:t>
      </w:r>
      <w:r>
        <w:rPr>
          <w:sz w:val="24"/>
        </w:rPr>
        <w:t xml:space="preserve"> vise donc à produire une représentation du document, à défaut de pouvoir l’enregistrer intégralement dans la machine, en vue de procéder à des opérations diverses : des tris « simples ou […] croisés</w:t>
      </w:r>
      <w:r>
        <w:rPr>
          <w:sz w:val="24"/>
        </w:rPr>
        <w:t xml:space="preserve"> faisant intervenir plusieurs variables : […] Les tris données des listes, mettent en relations toutes les données, et peuvent permettre de calculer facilement des médianes et des moyennes », ou encore des analyses statistiques telles que les régressions l</w:t>
      </w:r>
      <w:r>
        <w:rPr>
          <w:sz w:val="24"/>
        </w:rPr>
        <w:t xml:space="preserve">inéaires ou les analyses factorielles, qui préfigurent déjà les algorithmes de la science des données et de l’IA actuelles. Ordonner et compter : ces opérations sont rendues possibles sur les sources médiévales par l’intermédiaire de la constitution de la </w:t>
      </w:r>
      <w:r>
        <w:rPr>
          <w:sz w:val="24"/>
        </w:rPr>
        <w:t xml:space="preserve">métasource</w:t>
      </w:r>
      <w:r>
        <w:rPr>
          <w:sz w:val="24"/>
        </w:rPr>
        <w:t xml:space="preserve">.</w:t>
      </w:r>
      <w:r>
        <w:rPr>
          <w:sz w:val="24"/>
        </w:rPr>
      </w:r>
    </w:p>
    <w:p w14:paraId="1252C404" w14:textId="6A287AF5">
      <w:pPr>
        <w:pBdr/>
        <w:spacing/>
        <w:ind/>
        <w:jc w:val="both"/>
        <w:rPr>
          <w:sz w:val="24"/>
        </w:rPr>
      </w:pPr>
      <w:r>
        <w:rPr>
          <w:sz w:val="24"/>
        </w:rPr>
        <w:t xml:space="preserve">Point commun à toutes ces réflexions : le rôle central de l’historien ou de l’historienne et de sa problématique, avec pour corollaire l’impossibilité de déléguer l’analyse à un informaticien. </w:t>
      </w:r>
      <w:r>
        <w:rPr>
          <w:sz w:val="24"/>
        </w:rPr>
      </w:r>
    </w:p>
    <w:p w14:paraId="2E01F175" w14:textId="6FC2ACD8">
      <w:pPr>
        <w:pStyle w:val="679"/>
        <w:pBdr/>
        <w:spacing/>
        <w:ind/>
        <w:jc w:val="center"/>
        <w:rPr>
          <w:rFonts w:asciiTheme="minorHAnsi" w:hAnsiTheme="minorHAnsi" w:cstheme="minorHAnsi"/>
          <w:b/>
          <w:color w:val="auto"/>
          <w:sz w:val="28"/>
        </w:rPr>
      </w:pPr>
      <w:r>
        <w:rPr>
          <w:rFonts w:asciiTheme="minorHAnsi" w:hAnsiTheme="minorHAnsi" w:cstheme="minorHAnsi"/>
          <w:b/>
          <w:color w:val="auto"/>
          <w:sz w:val="28"/>
        </w:rPr>
        <w:t xml:space="preserve">Pendant ce temps, dans les bibliothèques …</w:t>
      </w:r>
      <w:r>
        <w:rPr>
          <w:rFonts w:asciiTheme="minorHAnsi" w:hAnsiTheme="minorHAnsi" w:cstheme="minorHAnsi"/>
          <w:b/>
          <w:color w:val="auto"/>
          <w:sz w:val="28"/>
        </w:rPr>
      </w:r>
    </w:p>
    <w:p w14:paraId="1A6DCE76" w14:textId="77777777">
      <w:pPr>
        <w:pBdr/>
        <w:spacing/>
        <w:ind/>
        <w:rPr/>
      </w:pPr>
      <w:r/>
      <w:r/>
    </w:p>
    <w:p w14:paraId="26B43380" w14:textId="6CA73950">
      <w:pPr>
        <w:pBdr/>
        <w:spacing/>
        <w:ind/>
        <w:rPr>
          <w:sz w:val="24"/>
        </w:rPr>
      </w:pPr>
      <w:r>
        <w:rPr>
          <w:sz w:val="24"/>
        </w:rPr>
        <w:t xml:space="preserve">p.13 : </w:t>
      </w:r>
      <w:r>
        <w:rPr>
          <w:sz w:val="24"/>
        </w:rPr>
        <w:t xml:space="preserve">janv</w:t>
      </w:r>
      <w:r>
        <w:rPr>
          <w:sz w:val="24"/>
        </w:rPr>
        <w:t xml:space="preserve"> 1971 : création du Bureau pour l’Automatisation des Bibliothèques (B.A.B), un service commun de la Direction des bibliothèques du Ministère de la culture, rattaché à la Bibliothèque nationale et implanté dans ses locaux de la rue de Louvois à Paris.</w:t>
      </w:r>
      <w:r>
        <w:rPr>
          <w:sz w:val="24"/>
        </w:rPr>
      </w:r>
    </w:p>
    <w:p w14:paraId="664EA872" w14:textId="687EFBF9">
      <w:pPr>
        <w:pBdr/>
        <w:spacing/>
        <w:ind/>
        <w:rPr>
          <w:sz w:val="24"/>
        </w:rPr>
      </w:pPr>
      <w:r>
        <w:rPr>
          <w:sz w:val="24"/>
        </w:rPr>
        <w:t xml:space="preserve">Mission : « d’étudier et d’aider à résoud</w:t>
      </w:r>
      <w:r>
        <w:rPr>
          <w:sz w:val="24"/>
        </w:rPr>
        <w:t xml:space="preserve">re les problèmes posés par l’introduction de l’automatisation dans les bibliothèques », c’est-à-dire de planifier l’informatisation. Organisée autour de trois types d’actions :  la formation des bibliothécaires, l’analyse fonctionnelle et la mise en œuvre.</w:t>
      </w:r>
      <w:r>
        <w:rPr>
          <w:sz w:val="24"/>
        </w:rPr>
      </w:r>
    </w:p>
    <w:p w14:paraId="6A957192" w14:textId="18548E66">
      <w:pPr>
        <w:pBdr/>
        <w:spacing/>
        <w:ind/>
        <w:rPr>
          <w:sz w:val="24"/>
        </w:rPr>
      </w:pPr>
      <w:r>
        <w:rPr>
          <w:sz w:val="24"/>
        </w:rPr>
        <w:t xml:space="preserve">La première de ces formations […] a pour objectif « d’amener les participants à une pratique de l’analyse fonctionnelle et à une expérience d’un dialogue efficace avec les informaticiens ». </w:t>
      </w:r>
      <w:r>
        <w:rPr>
          <w:sz w:val="24"/>
        </w:rPr>
        <w:t xml:space="preserve">même</w:t>
      </w:r>
      <w:r>
        <w:rPr>
          <w:sz w:val="24"/>
        </w:rPr>
        <w:t xml:space="preserve"> préoccupations entre les bibliothécaires et les historiens : la fonction d’analyse ne peut être déléguée aux seuls informaticiens, et doit faire l’objet d’une réflexion pour étudier comment ce nouvel outil peut répondre aux besoins de la profession.</w:t>
      </w:r>
      <w:r>
        <w:rPr>
          <w:sz w:val="24"/>
        </w:rPr>
      </w:r>
    </w:p>
    <w:p w14:paraId="7EE7A4F6" w14:textId="0F1D92BE">
      <w:pPr>
        <w:pBdr/>
        <w:spacing/>
        <w:ind/>
        <w:rPr>
          <w:sz w:val="24"/>
        </w:rPr>
      </w:pPr>
      <w:r>
        <w:rPr>
          <w:sz w:val="24"/>
        </w:rPr>
        <w:t xml:space="preserve">Catégorisés en trois sous-ensembles : l’acquisition des documents, la gestion des périodiques et la communication. </w:t>
      </w:r>
      <w:r>
        <w:rPr>
          <w:sz w:val="24"/>
        </w:rPr>
      </w:r>
    </w:p>
    <w:p w14:paraId="7C934E53" w14:textId="7A5CE2B2">
      <w:pPr>
        <w:pBdr/>
        <w:spacing/>
        <w:ind/>
        <w:rPr>
          <w:sz w:val="24"/>
        </w:rPr>
      </w:pPr>
      <w:r>
        <w:rPr>
          <w:sz w:val="24"/>
        </w:rPr>
        <w:t xml:space="preserve">p.14 : L’OCLC […] est une coopérative de bibliothèques qui ont mis en commun </w:t>
      </w:r>
      <w:r>
        <w:rPr>
          <w:sz w:val="24"/>
        </w:rPr>
        <w:t xml:space="preserve">leurs moyens pour développer un système complet de catalogage en réseau : acquisitions, contrôle des publications en série, catalogage partagé, interrogation du catalogue par titre et sujet, recherche bibliographique à distance et prêt entre bibliothèques.</w:t>
      </w:r>
      <w:r>
        <w:rPr>
          <w:sz w:val="24"/>
        </w:rPr>
      </w:r>
    </w:p>
    <w:p w14:paraId="5871BD33" w14:textId="70B493FA">
      <w:pPr>
        <w:pBdr/>
        <w:spacing/>
        <w:ind/>
        <w:rPr>
          <w:sz w:val="24"/>
        </w:rPr>
      </w:pPr>
      <w:r>
        <w:rPr>
          <w:sz w:val="24"/>
        </w:rPr>
        <w:t xml:space="preserve">p.16 : en 1975 : pour le catalogage, les rédacteurs des not</w:t>
      </w:r>
      <w:r>
        <w:rPr>
          <w:sz w:val="24"/>
        </w:rPr>
        <w:t xml:space="preserve">ices, au lieu d’écrire sur une fiche de papier, remplissent un bordereau où chaque élément de la notice est codé sous une étiquette suivant le format INTERMARC. Cette notice, après vérification, est enregistrée par une dactylo. Un listing des enregistremen</w:t>
      </w:r>
      <w:r>
        <w:rPr>
          <w:sz w:val="24"/>
        </w:rPr>
        <w:t xml:space="preserve">ts de la journée (notices nouvelles ou corrigées) est édité chaque soir. Il donne le texte complet des notices, plus un certain nombre de messages correspondant aux erreurs détectées par un programme de contrôle. Ce listing est vérifié par un conservateur…</w:t>
      </w:r>
      <w:r>
        <w:rPr>
          <w:sz w:val="24"/>
        </w:rPr>
      </w:r>
    </w:p>
    <w:p w14:paraId="5A9DCB37" w14:textId="01034450">
      <w:pPr>
        <w:pBdr/>
        <w:spacing/>
        <w:ind/>
        <w:rPr>
          <w:sz w:val="24"/>
        </w:rPr>
      </w:pPr>
      <w:r>
        <w:rPr>
          <w:sz w:val="24"/>
        </w:rPr>
        <w:t xml:space="preserve">à</w:t>
      </w:r>
      <w:r>
        <w:rPr>
          <w:sz w:val="24"/>
        </w:rPr>
        <w:t xml:space="preserve"> l’heure où les médiévistes synthétisent leurs usages du numérique, les bibliothécaires négocient le premier virage d’une transition complexe, où les opérations mêlent la logique de l’informatique à une réalité encore très « papier ».</w:t>
      </w:r>
      <w:r>
        <w:rPr>
          <w:sz w:val="24"/>
        </w:rPr>
      </w:r>
    </w:p>
    <w:p w14:paraId="75606296" w14:textId="0C4F915F">
      <w:pPr>
        <w:pStyle w:val="678"/>
        <w:pBdr/>
        <w:spacing/>
        <w:ind/>
        <w:rPr>
          <w:rFonts w:asciiTheme="minorHAnsi" w:hAnsiTheme="minorHAnsi" w:cstheme="minorHAnsi"/>
          <w:b/>
          <w:color w:val="auto"/>
        </w:rPr>
      </w:pPr>
      <w:r>
        <w:rPr>
          <w:rFonts w:asciiTheme="minorHAnsi" w:hAnsiTheme="minorHAnsi" w:cstheme="minorHAnsi"/>
          <w:b/>
          <w:color w:val="auto"/>
        </w:rPr>
        <w:t xml:space="preserve">techniques</w:t>
      </w:r>
      <w:r>
        <w:rPr>
          <w:rFonts w:asciiTheme="minorHAnsi" w:hAnsiTheme="minorHAnsi" w:cstheme="minorHAnsi"/>
          <w:b/>
          <w:color w:val="auto"/>
        </w:rPr>
        <w:t xml:space="preserve"> du premier âge : la modélisation et la base de données relationnelle</w:t>
      </w:r>
      <w:r>
        <w:rPr>
          <w:rFonts w:asciiTheme="minorHAnsi" w:hAnsiTheme="minorHAnsi" w:cstheme="minorHAnsi"/>
          <w:b/>
          <w:color w:val="auto"/>
        </w:rPr>
      </w:r>
    </w:p>
    <w:p w14:paraId="63889D6F" w14:textId="4EA79263">
      <w:pPr>
        <w:pBdr/>
        <w:spacing/>
        <w:ind/>
        <w:jc w:val="both"/>
        <w:rPr>
          <w:sz w:val="24"/>
        </w:rPr>
      </w:pPr>
      <w:r>
        <w:rPr>
          <w:sz w:val="24"/>
        </w:rPr>
        <w:t xml:space="preserve">p.17 : les enjeux des </w:t>
      </w:r>
      <w:r>
        <w:rPr>
          <w:sz w:val="24"/>
        </w:rPr>
        <w:t xml:space="preserve">médiévistiques</w:t>
      </w:r>
      <w:r>
        <w:rPr>
          <w:sz w:val="24"/>
        </w:rPr>
        <w:t xml:space="preserve"> et des bibliothécaires sont liés par un contexte technique commun qui les condui</w:t>
      </w:r>
      <w:r>
        <w:rPr>
          <w:sz w:val="24"/>
        </w:rPr>
        <w:t xml:space="preserve">t à des démarches comparables : faire émerger les cas d’usage de l’informatique dans leur domaine, analyser les documents et les activités, construire des représentations formelles qui permettent de stocker les données dans les machines et de les utiliser.</w:t>
      </w:r>
      <w:r>
        <w:rPr>
          <w:sz w:val="24"/>
        </w:rPr>
      </w:r>
    </w:p>
    <w:p w14:paraId="1C2D12B3" w14:textId="2902EFCD">
      <w:pPr>
        <w:pBdr/>
        <w:spacing/>
        <w:ind/>
        <w:jc w:val="both"/>
        <w:rPr>
          <w:sz w:val="24"/>
        </w:rPr>
      </w:pPr>
      <w:r>
        <w:rPr>
          <w:sz w:val="24"/>
        </w:rPr>
        <w:t xml:space="preserve">p.18 : la modé</w:t>
      </w:r>
      <w:r>
        <w:rPr>
          <w:sz w:val="24"/>
        </w:rPr>
        <w:t xml:space="preserve">lisation est un processus de réflexion qui consiste à élaborer une représentation formelle d’un objet ou ensemble d’objets du monde réel, à conceptualiser et synthétiser leurs caractéristiques essentielles, et à les rendre maniables pour mieux les étudier.</w:t>
      </w:r>
      <w:r>
        <w:rPr>
          <w:sz w:val="24"/>
        </w:rPr>
      </w:r>
    </w:p>
    <w:p w14:paraId="70B65B7E" w14:textId="2AA01146">
      <w:pPr>
        <w:pBdr/>
        <w:spacing/>
        <w:ind/>
        <w:jc w:val="both"/>
        <w:rPr>
          <w:sz w:val="24"/>
        </w:rPr>
      </w:pPr>
      <w:r>
        <w:rPr>
          <w:sz w:val="24"/>
        </w:rPr>
        <w:t xml:space="preserve">La modélisation part de l’observation d’un domaine, fait émerger les éléments qui le composent et les relations qui les lient, puis s</w:t>
      </w:r>
      <w:r>
        <w:rPr>
          <w:sz w:val="24"/>
        </w:rPr>
        <w:t xml:space="preserve">‘outille d’éléments de langage formels (tels que, par exemple, des vocabulaires contrôlés, des formes géométriques, des règles de calcul, des types de données, des tableaux, des listes, des cartes…) pour fournir une représentation utilisable de ce domaine.</w:t>
      </w:r>
      <w:r>
        <w:rPr>
          <w:sz w:val="24"/>
        </w:rPr>
      </w:r>
    </w:p>
    <w:p w14:paraId="59C37AAD" w14:textId="791D11AF">
      <w:pPr>
        <w:pBdr/>
        <w:spacing/>
        <w:ind/>
        <w:jc w:val="both"/>
        <w:rPr>
          <w:sz w:val="24"/>
        </w:rPr>
      </w:pPr>
      <w:r>
        <w:rPr>
          <w:sz w:val="24"/>
        </w:rPr>
        <w:t xml:space="preserve">p.19 : le modèle relationnel est défini dès 1970 par Edgar F. </w:t>
      </w:r>
      <w:r>
        <w:rPr>
          <w:sz w:val="24"/>
        </w:rPr>
        <w:t xml:space="preserve">Codd</w:t>
      </w:r>
      <w:r>
        <w:rPr>
          <w:sz w:val="24"/>
        </w:rPr>
        <w:t xml:space="preserve">, inform</w:t>
      </w:r>
      <w:r>
        <w:rPr>
          <w:sz w:val="24"/>
        </w:rPr>
        <w:t xml:space="preserve">aticien britannique qui travaille alors pour IBM. Ce modèle organise le monde en tables, dont chaque ligne est un enregistrement correspondant à un objet que l’on veut décrire. Les colonnes se rapportent aux caractéristiques de ces objets, stockés dans dif</w:t>
      </w:r>
      <w:r>
        <w:rPr>
          <w:sz w:val="24"/>
        </w:rPr>
        <w:t xml:space="preserve">férentes tables. Ce modèle, que l’on retrouve jusque dans cet outil incontournable de la bureautique que sont les tableurs, s’avère le plus simple à utiliser, car il est adapté pour représenter des structures documentaires telles qu’elles préexistaient dan</w:t>
      </w:r>
      <w:r>
        <w:rPr>
          <w:sz w:val="24"/>
        </w:rPr>
        <w:t xml:space="preserve">s les sources, les archives, les fiches de catalogues. Vient s’y ajouter la normalisation des valeurs de certains attributs, à travers les référentiels : ceux-ci deviennent nécessaires parce que les machines ont besoin d’un système formel pour fonctionner.</w:t>
      </w:r>
      <w:r>
        <w:rPr>
          <w:sz w:val="24"/>
        </w:rPr>
      </w:r>
    </w:p>
    <w:p w14:paraId="296BA448" w14:textId="6263C454">
      <w:pPr>
        <w:pBdr/>
        <w:spacing/>
        <w:ind/>
        <w:jc w:val="both"/>
        <w:rPr>
          <w:sz w:val="24"/>
        </w:rPr>
      </w:pPr>
      <w:r>
        <w:rPr>
          <w:sz w:val="24"/>
        </w:rPr>
        <w:t xml:space="preserve">La stabilisation du formalisme des </w:t>
      </w:r>
      <w:r>
        <w:rPr>
          <w:sz w:val="24"/>
        </w:rPr>
        <w:t xml:space="preserve">bdd</w:t>
      </w:r>
      <w:r>
        <w:rPr>
          <w:sz w:val="24"/>
        </w:rPr>
        <w:t xml:space="preserve"> dans l’informatique survient en 1985 avec les douze règles de </w:t>
      </w:r>
      <w:r>
        <w:rPr>
          <w:sz w:val="24"/>
        </w:rPr>
        <w:t xml:space="preserve">Codd</w:t>
      </w:r>
      <w:r>
        <w:rPr>
          <w:sz w:val="24"/>
        </w:rPr>
        <w:t xml:space="preserve">, qui décrivent ce qui est exigé d’un système de </w:t>
      </w:r>
      <w:r>
        <w:rPr>
          <w:sz w:val="24"/>
        </w:rPr>
        <w:t xml:space="preserve">bddr</w:t>
      </w:r>
      <w:r>
        <w:rPr>
          <w:sz w:val="24"/>
        </w:rPr>
        <w:t xml:space="preserve">. Le langage de requête SQL, qui permet d’interroger et de gérer les données et leur structure, est normalisé en 1986 par l’ANSI aux Etats-Unis et en 1987 à l’ISO.</w:t>
      </w:r>
      <w:r>
        <w:rPr>
          <w:sz w:val="24"/>
        </w:rPr>
      </w:r>
    </w:p>
    <w:p w14:paraId="286FA375" w14:textId="3E1DA860">
      <w:pPr>
        <w:pBdr/>
        <w:spacing/>
        <w:ind/>
        <w:jc w:val="both"/>
        <w:rPr>
          <w:sz w:val="24"/>
        </w:rPr>
      </w:pPr>
      <w:r>
        <w:rPr>
          <w:sz w:val="24"/>
        </w:rPr>
        <w:t xml:space="preserve">p.20 : il présente la particularité de pouvoir servir aussi bien les besoins individuels sur les micro-ordinateurs que la gestion des données les plus complexes au sein des systèmes d’information des entreprises ou des institutions.</w:t>
      </w:r>
      <w:r>
        <w:rPr>
          <w:sz w:val="24"/>
        </w:rPr>
      </w:r>
    </w:p>
    <w:p w14:paraId="64D71E9E" w14:textId="77777777">
      <w:pPr>
        <w:pBdr/>
        <w:spacing/>
        <w:ind/>
        <w:jc w:val="both"/>
        <w:rPr>
          <w:sz w:val="24"/>
        </w:rPr>
      </w:pPr>
      <w:r>
        <w:rPr>
          <w:sz w:val="24"/>
        </w:rPr>
        <w:t xml:space="preserve">Pour </w:t>
      </w:r>
      <w:r>
        <w:rPr>
          <w:sz w:val="24"/>
        </w:rPr>
        <w:t xml:space="preserve">les médiévistes, on passe d’une ère où le travail « automatisé » était forcément collectif et interdisciplinaire à une phase de retour aux pratiques individuelles. </w:t>
      </w:r>
      <w:r>
        <w:rPr>
          <w:sz w:val="24"/>
        </w:rPr>
        <w:t xml:space="preserve">Chez les bibliothécaires, on voit apparaître un nouveau cas d’usage, inexistant dans la période précédente : l’accès au document primaire lui-même, sous forme numérique.</w:t>
      </w:r>
      <w:r>
        <w:rPr>
          <w:sz w:val="24"/>
        </w:rPr>
      </w:r>
    </w:p>
    <w:p w14:paraId="36E77BA7" w14:textId="77777777">
      <w:pPr>
        <w:pStyle w:val="678"/>
        <w:pBdr/>
        <w:spacing/>
        <w:ind/>
        <w:jc w:val="both"/>
        <w:rPr>
          <w:rFonts w:asciiTheme="minorHAnsi" w:hAnsiTheme="minorHAnsi" w:cstheme="minorHAnsi"/>
          <w:b/>
          <w:color w:val="auto"/>
          <w:sz w:val="28"/>
        </w:rPr>
      </w:pPr>
      <w:r>
        <w:rPr>
          <w:rFonts w:asciiTheme="minorHAnsi" w:hAnsiTheme="minorHAnsi" w:cstheme="minorHAnsi"/>
          <w:b/>
          <w:color w:val="auto"/>
          <w:sz w:val="28"/>
        </w:rPr>
        <w:t xml:space="preserve">Fin de l’âge : le tournant de 1988-90</w:t>
      </w:r>
      <w:r>
        <w:rPr>
          <w:rFonts w:asciiTheme="minorHAnsi" w:hAnsiTheme="minorHAnsi" w:cstheme="minorHAnsi"/>
          <w:b/>
          <w:color w:val="auto"/>
          <w:sz w:val="28"/>
        </w:rPr>
      </w:r>
    </w:p>
    <w:p w14:paraId="12D1392E" w14:textId="0C16424C">
      <w:pPr>
        <w:pBdr/>
        <w:spacing/>
        <w:ind/>
        <w:jc w:val="both"/>
        <w:rPr>
          <w:sz w:val="24"/>
        </w:rPr>
      </w:pPr>
      <w:r>
        <w:rPr>
          <w:sz w:val="24"/>
        </w:rPr>
        <w:t xml:space="preserve">Heure de bilan pour les médiévistes avec la table-ronde organisée à Paris en 1989 pour les 10 ans du bulletin </w:t>
      </w:r>
      <w:r>
        <w:rPr>
          <w:i/>
          <w:sz w:val="24"/>
        </w:rPr>
        <w:t xml:space="preserve">Le Médiéviste et l’Ordinateur </w:t>
      </w:r>
      <w:r>
        <w:rPr>
          <w:sz w:val="24"/>
        </w:rPr>
        <w:t xml:space="preserve">: assiste à la première présentation de la TEI par Lou </w:t>
      </w:r>
      <w:r>
        <w:rPr>
          <w:sz w:val="24"/>
        </w:rPr>
        <w:t xml:space="preserve">Burnard</w:t>
      </w:r>
      <w:r>
        <w:rPr>
          <w:sz w:val="24"/>
        </w:rPr>
        <w:t xml:space="preserve">, ce qui fait apparaître la question de la structuration et de la diffusion des textes transcrits sous forme numérique.</w:t>
      </w:r>
      <w:r>
        <w:rPr>
          <w:sz w:val="24"/>
        </w:rPr>
      </w:r>
    </w:p>
    <w:p w14:paraId="4CFA1E1F" w14:textId="47DF0271">
      <w:pPr>
        <w:pBdr/>
        <w:spacing/>
        <w:ind/>
        <w:jc w:val="both"/>
        <w:rPr>
          <w:sz w:val="24"/>
        </w:rPr>
      </w:pPr>
      <w:r>
        <w:rPr>
          <w:sz w:val="24"/>
        </w:rPr>
        <w:t xml:space="preserve">On rencontre pour la première fois la question des banques d’images, qui réinterroge sous une autre forme le cas d’usage de la recherche documentaire, et vient faire le pont, en la personne de Denis </w:t>
      </w:r>
      <w:r>
        <w:rPr>
          <w:sz w:val="24"/>
        </w:rPr>
        <w:t xml:space="preserve">Bruckmann</w:t>
      </w:r>
      <w:r>
        <w:rPr>
          <w:sz w:val="24"/>
        </w:rPr>
        <w:t xml:space="preserve">, entre la communauté des médiévistes et celle des bibliothécaires.</w:t>
      </w:r>
      <w:r>
        <w:rPr>
          <w:sz w:val="24"/>
        </w:rPr>
      </w:r>
    </w:p>
    <w:p w14:paraId="516D8D27" w14:textId="1E3CA0CD">
      <w:pPr>
        <w:pStyle w:val="678"/>
        <w:pBdr/>
        <w:spacing/>
        <w:ind/>
        <w:rPr>
          <w:rFonts w:asciiTheme="minorHAnsi" w:hAnsiTheme="minorHAnsi" w:cstheme="minorHAnsi"/>
          <w:b/>
          <w:color w:val="auto"/>
          <w:sz w:val="28"/>
        </w:rPr>
      </w:pPr>
      <w:r>
        <w:rPr>
          <w:rFonts w:asciiTheme="minorHAnsi" w:hAnsiTheme="minorHAnsi" w:cstheme="minorHAnsi"/>
          <w:b/>
          <w:color w:val="auto"/>
          <w:sz w:val="28"/>
        </w:rPr>
        <w:t xml:space="preserve">Deuxième âge : numériser et diffuser (1990-2010)</w:t>
      </w:r>
      <w:r>
        <w:rPr>
          <w:rFonts w:asciiTheme="minorHAnsi" w:hAnsiTheme="minorHAnsi" w:cstheme="minorHAnsi"/>
          <w:b/>
          <w:color w:val="auto"/>
          <w:sz w:val="28"/>
        </w:rPr>
      </w:r>
    </w:p>
    <w:p w14:paraId="16F1ACEC" w14:textId="3BD78130">
      <w:pPr>
        <w:pBdr/>
        <w:spacing/>
        <w:ind/>
        <w:jc w:val="both"/>
        <w:rPr>
          <w:sz w:val="24"/>
        </w:rPr>
      </w:pPr>
      <w:r>
        <w:rPr>
          <w:sz w:val="24"/>
        </w:rPr>
        <w:t xml:space="preserve">p.22 : les acquis de la période précédente [</w:t>
      </w:r>
      <w:r>
        <w:rPr>
          <w:sz w:val="24"/>
        </w:rPr>
        <w:t xml:space="preserve">…]ont</w:t>
      </w:r>
      <w:r>
        <w:rPr>
          <w:sz w:val="24"/>
        </w:rPr>
        <w:t xml:space="preserve"> permis de penser ce que devait permettre l’informatique appliquée à l’histoire médiévale et aux bibliothèques.</w:t>
      </w:r>
      <w:r>
        <w:rPr>
          <w:sz w:val="24"/>
        </w:rPr>
      </w:r>
    </w:p>
    <w:p w14:paraId="5583E787" w14:textId="59DA18F2">
      <w:pPr>
        <w:pBdr/>
        <w:spacing/>
        <w:ind/>
        <w:jc w:val="both"/>
        <w:rPr>
          <w:sz w:val="24"/>
        </w:rPr>
      </w:pPr>
      <w:r>
        <w:rPr>
          <w:sz w:val="24"/>
        </w:rPr>
        <w:t xml:space="preserve">Deux décennies vont être </w:t>
      </w:r>
      <w:r>
        <w:rPr>
          <w:sz w:val="24"/>
        </w:rPr>
        <w:t xml:space="preserve">nécessaires pour porter à maturité ces évolutions, traversées par deux ruptures fondamentales : l’irruption du web au milieu des années 1990 puis, dix ans plus tard, le changement d’échelle initié par les géants du numérique, notamment Google et Microsoft.</w:t>
      </w:r>
      <w:r>
        <w:rPr>
          <w:sz w:val="24"/>
        </w:rPr>
      </w:r>
    </w:p>
    <w:p w14:paraId="1EFBD575" w14:textId="5398D077">
      <w:pPr>
        <w:pBdr/>
        <w:spacing/>
        <w:ind/>
        <w:jc w:val="both"/>
        <w:rPr>
          <w:sz w:val="24"/>
        </w:rPr>
      </w:pPr>
      <w:r>
        <w:rPr>
          <w:sz w:val="24"/>
        </w:rPr>
        <w:t xml:space="preserve">Le terme « d’automatisation » est remplacé par « informatisation », et </w:t>
      </w:r>
      <w:r>
        <w:rPr>
          <w:sz w:val="24"/>
        </w:rPr>
        <w:t xml:space="preserve">l’on voit également fleurir « numérisation », « électronique », « virtuel » et enfin « numérique », employés de façon pas toujours très cohérente.</w:t>
      </w:r>
      <w:r>
        <w:rPr>
          <w:sz w:val="24"/>
        </w:rPr>
      </w:r>
    </w:p>
    <w:p w14:paraId="28825360" w14:textId="2F8B3370">
      <w:pPr>
        <w:pStyle w:val="679"/>
        <w:pBdr/>
        <w:spacing/>
        <w:ind/>
        <w:rPr>
          <w:rFonts w:asciiTheme="minorHAnsi" w:hAnsiTheme="minorHAnsi" w:cstheme="minorHAnsi"/>
          <w:b/>
          <w:color w:val="auto"/>
          <w:sz w:val="28"/>
        </w:rPr>
      </w:pPr>
      <w:r>
        <w:rPr>
          <w:rFonts w:asciiTheme="minorHAnsi" w:hAnsiTheme="minorHAnsi" w:cstheme="minorHAnsi"/>
          <w:b/>
          <w:color w:val="auto"/>
          <w:sz w:val="28"/>
        </w:rPr>
        <w:t xml:space="preserve">p.23 : Le PLAO, un objet-frontière</w:t>
      </w:r>
      <w:r>
        <w:rPr>
          <w:rFonts w:asciiTheme="minorHAnsi" w:hAnsiTheme="minorHAnsi" w:cstheme="minorHAnsi"/>
          <w:b/>
          <w:color w:val="auto"/>
          <w:sz w:val="28"/>
        </w:rPr>
      </w:r>
    </w:p>
    <w:p w14:paraId="0A4118D2" w14:textId="66864059">
      <w:pPr>
        <w:pBdr/>
        <w:spacing/>
        <w:ind/>
        <w:jc w:val="both"/>
        <w:rPr>
          <w:sz w:val="24"/>
        </w:rPr>
      </w:pPr>
      <w:r>
        <w:rPr>
          <w:sz w:val="24"/>
        </w:rPr>
        <w:t xml:space="preserve">selon</w:t>
      </w:r>
      <w:r>
        <w:rPr>
          <w:sz w:val="24"/>
        </w:rPr>
        <w:t xml:space="preserve"> les termes présentés dans le rapport de Bernard </w:t>
      </w:r>
      <w:r>
        <w:rPr>
          <w:sz w:val="24"/>
        </w:rPr>
        <w:t xml:space="preserve">Stiegler</w:t>
      </w:r>
      <w:r>
        <w:rPr>
          <w:sz w:val="24"/>
        </w:rPr>
        <w:t xml:space="preserve"> qui est chargé de son instruction, le PLAO permettra : </w:t>
      </w:r>
      <w:r>
        <w:rPr>
          <w:sz w:val="24"/>
        </w:rPr>
      </w:r>
    </w:p>
    <w:p w14:paraId="475F93D6" w14:textId="5CBF68BC">
      <w:pPr>
        <w:pStyle w:val="683"/>
        <w:numPr>
          <w:ilvl w:val="0"/>
          <w:numId w:val="3"/>
        </w:numPr>
        <w:pBdr/>
        <w:spacing/>
        <w:ind/>
        <w:rPr>
          <w:sz w:val="24"/>
        </w:rPr>
      </w:pPr>
      <w:r>
        <w:rPr>
          <w:sz w:val="24"/>
        </w:rPr>
        <w:t xml:space="preserve">D’accéder très facilement à partir du catalogue numérique de la bibliothèque, aux documents primaires recherchés (texte intégral des fonds) ;</w:t>
      </w:r>
      <w:r>
        <w:rPr>
          <w:sz w:val="24"/>
        </w:rPr>
      </w:r>
    </w:p>
    <w:p w14:paraId="3621E2E4" w14:textId="1C003A1D">
      <w:pPr>
        <w:pStyle w:val="683"/>
        <w:numPr>
          <w:ilvl w:val="0"/>
          <w:numId w:val="3"/>
        </w:numPr>
        <w:pBdr/>
        <w:spacing/>
        <w:ind/>
        <w:rPr>
          <w:sz w:val="24"/>
        </w:rPr>
      </w:pPr>
      <w:r>
        <w:rPr>
          <w:sz w:val="24"/>
        </w:rPr>
        <w:t xml:space="preserve">De saisir soi-même sous forme numérique ou </w:t>
      </w:r>
      <w:r>
        <w:rPr>
          <w:sz w:val="24"/>
        </w:rPr>
        <w:t xml:space="preserve">alpha-numérique</w:t>
      </w:r>
      <w:r>
        <w:rPr>
          <w:sz w:val="24"/>
        </w:rPr>
        <w:t xml:space="preserve"> des documents primaires, non disponibles sous cette forme à la bibliothèque ;</w:t>
      </w:r>
      <w:r>
        <w:rPr>
          <w:sz w:val="24"/>
        </w:rPr>
      </w:r>
    </w:p>
    <w:p w14:paraId="5727DF81" w14:textId="0F289933">
      <w:pPr>
        <w:pStyle w:val="683"/>
        <w:numPr>
          <w:ilvl w:val="0"/>
          <w:numId w:val="3"/>
        </w:numPr>
        <w:pBdr/>
        <w:spacing/>
        <w:ind/>
        <w:rPr>
          <w:sz w:val="24"/>
        </w:rPr>
      </w:pPr>
      <w:r>
        <w:rPr>
          <w:sz w:val="24"/>
        </w:rPr>
        <w:t xml:space="preserve">D’effectuer des analyses lexicographiques, des recherches </w:t>
      </w:r>
      <w:r>
        <w:rPr>
          <w:sz w:val="24"/>
        </w:rPr>
        <w:t xml:space="preserve">multi-critères</w:t>
      </w:r>
      <w:r>
        <w:rPr>
          <w:sz w:val="24"/>
        </w:rPr>
        <w:t xml:space="preserve">, des analyses de </w:t>
      </w:r>
      <w:r>
        <w:rPr>
          <w:sz w:val="24"/>
        </w:rPr>
        <w:t xml:space="preserve">co-occurrences</w:t>
      </w:r>
      <w:r>
        <w:rPr>
          <w:sz w:val="24"/>
        </w:rPr>
        <w:t xml:space="preserve">, sur des fichiers de texte intégral constituant le corpus du travail de lecture</w:t>
      </w:r>
      <w:r>
        <w:rPr>
          <w:sz w:val="24"/>
        </w:rPr>
      </w:r>
    </w:p>
    <w:p w14:paraId="676F7DB1" w14:textId="77777777">
      <w:pPr>
        <w:pStyle w:val="683"/>
        <w:numPr>
          <w:ilvl w:val="0"/>
          <w:numId w:val="3"/>
        </w:numPr>
        <w:pBdr/>
        <w:spacing/>
        <w:ind/>
        <w:rPr>
          <w:sz w:val="24"/>
        </w:rPr>
      </w:pPr>
      <w:r>
        <w:rPr>
          <w:sz w:val="24"/>
        </w:rPr>
        <w:t xml:space="preserve">D’annoter les textes et de gérer automatiquement ces annotations de façon homogène avec la gestion des textes commentés</w:t>
      </w:r>
      <w:r>
        <w:rPr>
          <w:sz w:val="24"/>
        </w:rPr>
      </w:r>
    </w:p>
    <w:p w14:paraId="4FC23AC8" w14:textId="0BE00906">
      <w:pPr>
        <w:pStyle w:val="683"/>
        <w:numPr>
          <w:ilvl w:val="0"/>
          <w:numId w:val="3"/>
        </w:numPr>
        <w:pBdr/>
        <w:spacing/>
        <w:ind/>
        <w:rPr>
          <w:sz w:val="24"/>
        </w:rPr>
      </w:pPr>
      <w:r>
        <w:rPr>
          <w:sz w:val="24"/>
        </w:rPr>
        <w:t xml:space="preserve">De relier entre eux des documents appartenant à des fichiers différents (y compris des images fixes et des sons) sous forme de dossiers, et de commenter ces liens.</w:t>
      </w:r>
      <w:r>
        <w:rPr>
          <w:sz w:val="24"/>
        </w:rPr>
      </w:r>
    </w:p>
    <w:p w14:paraId="2CC6EEB1" w14:textId="54B53393">
      <w:pPr>
        <w:pBdr/>
        <w:spacing/>
        <w:ind/>
        <w:jc w:val="both"/>
        <w:rPr>
          <w:sz w:val="24"/>
        </w:rPr>
      </w:pPr>
      <w:r>
        <w:rPr>
          <w:sz w:val="24"/>
        </w:rPr>
        <w:t xml:space="preserve">La numérisation n’est alors pas perçue comme un moyen de conservation mais de facilitation de l’acc</w:t>
      </w:r>
      <w:r>
        <w:rPr>
          <w:sz w:val="24"/>
        </w:rPr>
        <w:t xml:space="preserve">ès, le PLAO étant le principal outil de consultation envisagé. L’article précise la couverture documentaire de l’opération : des « classiques » auxquels vient s’ajouter une logique de corpus (littéraire, philosophique, scientifique, ethnologique et autre).</w:t>
      </w:r>
      <w:r>
        <w:rPr>
          <w:sz w:val="24"/>
        </w:rPr>
      </w:r>
    </w:p>
    <w:p w14:paraId="0E504C23" w14:textId="5F0108AC">
      <w:pPr>
        <w:pBdr/>
        <w:spacing/>
        <w:ind/>
        <w:jc w:val="both"/>
        <w:rPr>
          <w:sz w:val="24"/>
        </w:rPr>
      </w:pPr>
      <w:r>
        <w:rPr>
          <w:sz w:val="24"/>
        </w:rPr>
        <w:t xml:space="preserve">p.25 : le PLAO a ses détracteurs. Jugé « trop complexe</w:t>
      </w:r>
      <w:r>
        <w:rPr>
          <w:sz w:val="24"/>
        </w:rPr>
        <w:t xml:space="preserve"> »dans</w:t>
      </w:r>
      <w:r>
        <w:rPr>
          <w:sz w:val="24"/>
        </w:rPr>
        <w:t xml:space="preserve"> le rapport réalisé par Philippe </w:t>
      </w:r>
      <w:r>
        <w:rPr>
          <w:sz w:val="24"/>
        </w:rPr>
        <w:t xml:space="preserve">Bélaval</w:t>
      </w:r>
      <w:r>
        <w:rPr>
          <w:sz w:val="24"/>
        </w:rPr>
        <w:t xml:space="preserve"> en 1993, qui propose de l’ada</w:t>
      </w:r>
      <w:r>
        <w:rPr>
          <w:sz w:val="24"/>
        </w:rPr>
        <w:t xml:space="preserve">pter à un public plus large, il fait les frais des restrictions budgétaires exigées par la nouvelle direction, mise en place en 1994 avec la fusion entre l’établissement public préfigurateur de la nouvelle bibliothèque et l’ancienne Bibliothèque nationale.</w:t>
      </w:r>
      <w:r>
        <w:rPr>
          <w:sz w:val="24"/>
        </w:rPr>
      </w:r>
    </w:p>
    <w:p w14:paraId="45B69942" w14:textId="55548E05">
      <w:pPr>
        <w:pBdr/>
        <w:spacing/>
        <w:ind/>
        <w:jc w:val="both"/>
        <w:rPr>
          <w:sz w:val="24"/>
        </w:rPr>
      </w:pPr>
      <w:r>
        <w:rPr>
          <w:sz w:val="24"/>
        </w:rPr>
        <w:t xml:space="preserve">p.26 : plusieurs décennies de culture numérique seront en réalité nécessaires avant que chercheurs et chercheuses ne mobilisent couramment dans leur boîte à outils l’annotation numérique ou la fouille de texte.</w:t>
      </w:r>
      <w:r>
        <w:rPr>
          <w:sz w:val="24"/>
        </w:rPr>
      </w:r>
    </w:p>
    <w:p w14:paraId="27D93C78" w14:textId="2DE62836">
      <w:pPr>
        <w:pBdr/>
        <w:spacing/>
        <w:ind/>
        <w:jc w:val="both"/>
        <w:rPr>
          <w:sz w:val="24"/>
        </w:rPr>
      </w:pPr>
      <w:r>
        <w:rPr>
          <w:sz w:val="24"/>
        </w:rPr>
        <w:t xml:space="preserve">Le PLAO, objet-fron</w:t>
      </w:r>
      <w:r>
        <w:rPr>
          <w:sz w:val="24"/>
        </w:rPr>
        <w:t xml:space="preserve">tière en tant qu’il permet une forme de coordination entre plusieurs mondes, notamment celui des bibliothèques et celui de la recherche, marque aussi un moment visionnaire du deuxième âge, tout comme l’a été le colloque de Rome en 1975 pour le premier âge.</w:t>
      </w:r>
      <w:r>
        <w:rPr>
          <w:sz w:val="24"/>
        </w:rPr>
      </w:r>
    </w:p>
    <w:p w14:paraId="71A173FC" w14:textId="16F32A79">
      <w:pPr>
        <w:pStyle w:val="679"/>
        <w:pBdr/>
        <w:spacing/>
        <w:ind/>
        <w:jc w:val="both"/>
        <w:rPr>
          <w:rFonts w:asciiTheme="minorHAnsi" w:hAnsiTheme="minorHAnsi" w:cstheme="minorHAnsi"/>
          <w:b/>
          <w:color w:val="auto"/>
          <w:sz w:val="28"/>
        </w:rPr>
      </w:pPr>
      <w:r>
        <w:rPr>
          <w:rFonts w:asciiTheme="minorHAnsi" w:hAnsiTheme="minorHAnsi" w:cstheme="minorHAnsi"/>
          <w:b/>
          <w:color w:val="auto"/>
          <w:sz w:val="28"/>
        </w:rPr>
        <w:t xml:space="preserve">Pendant ce temps, chez les médiévistes …</w:t>
      </w:r>
      <w:r>
        <w:rPr>
          <w:rFonts w:asciiTheme="minorHAnsi" w:hAnsiTheme="minorHAnsi" w:cstheme="minorHAnsi"/>
          <w:b/>
          <w:color w:val="auto"/>
          <w:sz w:val="28"/>
        </w:rPr>
      </w:r>
    </w:p>
    <w:p w14:paraId="09B118DC" w14:textId="795AED1F">
      <w:pPr>
        <w:pBdr/>
        <w:spacing/>
        <w:ind/>
        <w:jc w:val="both"/>
        <w:rPr>
          <w:sz w:val="24"/>
        </w:rPr>
      </w:pPr>
      <w:r>
        <w:rPr>
          <w:sz w:val="24"/>
        </w:rPr>
        <w:t xml:space="preserve">p.27 : le travail réalisé du côté de la BNF sur le PLAO entre 1990 et 1994 pourrait laisser p</w:t>
      </w:r>
      <w:r>
        <w:rPr>
          <w:sz w:val="24"/>
        </w:rPr>
        <w:t xml:space="preserve">enser qu’un outillage industrialisé, porté par la fonction documentaire, va enfin permettre la réalisation des discours performatifs observés chez les médiévistes pendant la décennie précédente, et la généralisation des traitements informatiques de masse (</w:t>
      </w:r>
      <w:r>
        <w:rPr>
          <w:sz w:val="24"/>
        </w:rPr>
        <w:t xml:space="preserve">métasource</w:t>
      </w:r>
      <w:r>
        <w:rPr>
          <w:sz w:val="24"/>
        </w:rPr>
        <w:t xml:space="preserve">, analyse de données sérielles, lexicométrie, </w:t>
      </w:r>
      <w:r>
        <w:rPr>
          <w:sz w:val="24"/>
        </w:rPr>
        <w:t xml:space="preserve">prosopographie</w:t>
      </w:r>
      <w:r>
        <w:rPr>
          <w:sz w:val="24"/>
        </w:rPr>
        <w:t xml:space="preserve">…) chez les historiens et historiennes. =&gt; pas le cas.</w:t>
      </w:r>
      <w:r>
        <w:rPr>
          <w:sz w:val="24"/>
        </w:rPr>
      </w:r>
    </w:p>
    <w:p w14:paraId="3047B510" w14:textId="2DEF6708">
      <w:pPr>
        <w:pBdr/>
        <w:spacing/>
        <w:ind/>
        <w:jc w:val="both"/>
        <w:rPr>
          <w:sz w:val="24"/>
        </w:rPr>
      </w:pPr>
      <w:r>
        <w:rPr>
          <w:sz w:val="24"/>
        </w:rPr>
        <w:t xml:space="preserve">L’arrivée des systèmes d’exploitation </w:t>
      </w:r>
      <w:r>
        <w:rPr>
          <w:sz w:val="24"/>
        </w:rPr>
        <w:t xml:space="preserve">Windowes</w:t>
      </w:r>
      <w:r>
        <w:rPr>
          <w:sz w:val="24"/>
        </w:rPr>
        <w:t xml:space="preserve"> et </w:t>
      </w:r>
      <w:r>
        <w:rPr>
          <w:sz w:val="24"/>
        </w:rPr>
        <w:t xml:space="preserve">MacIntosh</w:t>
      </w:r>
      <w:r>
        <w:rPr>
          <w:sz w:val="24"/>
        </w:rPr>
        <w:t xml:space="preserve"> et de la bureautique ont paradoxalement pour effet de freiner l’élan d’innovation technique dans les méthodes, remplacé progressivement par des pratiques discrètes : une appropriation de l’outil numérique plus individuelle.</w:t>
      </w:r>
      <w:r>
        <w:rPr>
          <w:sz w:val="24"/>
        </w:rPr>
      </w:r>
    </w:p>
    <w:p w14:paraId="54505820" w14:textId="71E6FB45">
      <w:pPr>
        <w:pBdr/>
        <w:spacing/>
        <w:ind/>
        <w:jc w:val="both"/>
        <w:rPr>
          <w:sz w:val="24"/>
        </w:rPr>
      </w:pPr>
      <w:r>
        <w:rPr>
          <w:sz w:val="24"/>
        </w:rPr>
        <w:t xml:space="preserve">Une autre rupture se produit en 1994 : l’irruption du web. </w:t>
      </w:r>
      <w:r>
        <w:rPr>
          <w:sz w:val="24"/>
        </w:rPr>
      </w:r>
    </w:p>
    <w:p w14:paraId="45426DEB" w14:textId="4FEC6FBB">
      <w:pPr>
        <w:pBdr/>
        <w:spacing/>
        <w:ind/>
        <w:jc w:val="both"/>
        <w:rPr>
          <w:sz w:val="24"/>
        </w:rPr>
      </w:pPr>
      <w:r>
        <w:rPr>
          <w:sz w:val="24"/>
        </w:rPr>
        <w:t xml:space="preserve">p.29 : dans le même temps, quelques chercheurs et chercheuses en sciences humaines se rencontrent autour de la question de l’accès ouvert aux données et aux connaissances, avec le concept d’</w:t>
      </w:r>
      <w:r>
        <w:rPr>
          <w:i/>
          <w:sz w:val="24"/>
        </w:rPr>
        <w:t xml:space="preserve">Open Access, </w:t>
      </w:r>
      <w:r>
        <w:rPr>
          <w:sz w:val="24"/>
        </w:rPr>
        <w:t xml:space="preserve">qui constitue une autre réponse à l’impasse économique de </w:t>
      </w:r>
      <w:r>
        <w:rPr>
          <w:sz w:val="24"/>
        </w:rPr>
        <w:t xml:space="preserve">lapublicaation</w:t>
      </w:r>
      <w:r>
        <w:rPr>
          <w:sz w:val="24"/>
        </w:rPr>
        <w:t xml:space="preserve"> scientifique décrite par R </w:t>
      </w:r>
      <w:r>
        <w:rPr>
          <w:sz w:val="24"/>
        </w:rPr>
        <w:t xml:space="preserve">Darnton</w:t>
      </w:r>
      <w:r>
        <w:rPr>
          <w:sz w:val="24"/>
        </w:rPr>
        <w:t xml:space="preserve">.</w:t>
      </w:r>
      <w:r>
        <w:rPr>
          <w:sz w:val="24"/>
        </w:rPr>
      </w:r>
    </w:p>
    <w:p w14:paraId="3C8728A8" w14:textId="257C7D37">
      <w:pPr>
        <w:pBdr/>
        <w:spacing/>
        <w:ind/>
        <w:jc w:val="both"/>
        <w:rPr>
          <w:sz w:val="24"/>
        </w:rPr>
      </w:pPr>
      <w:r>
        <w:rPr>
          <w:sz w:val="24"/>
        </w:rPr>
        <w:t xml:space="preserve">L’idée est donc d’encourager les </w:t>
      </w:r>
      <w:r>
        <w:rPr>
          <w:sz w:val="24"/>
        </w:rPr>
        <w:t xml:space="preserve">chercheurs et chercheuses à déposer directement leurs articles, en accès libre et gratuit, dans des entrepôts institutionnels appelés « archives ouvertes » : en France, la plateforme HAL est créée en 2001 pour héberger les travaux universitaires nationaux.</w:t>
      </w:r>
      <w:r>
        <w:rPr>
          <w:sz w:val="24"/>
        </w:rPr>
      </w:r>
    </w:p>
    <w:p w14:paraId="33DC5D74" w14:textId="204DBA5F">
      <w:pPr>
        <w:pBdr/>
        <w:spacing/>
        <w:ind/>
        <w:jc w:val="both"/>
        <w:rPr>
          <w:sz w:val="24"/>
        </w:rPr>
      </w:pPr>
      <w:r>
        <w:rPr>
          <w:sz w:val="24"/>
        </w:rPr>
        <w:t xml:space="preserve">En 2002, le colloque </w:t>
      </w:r>
      <w:r>
        <w:rPr>
          <w:i/>
          <w:sz w:val="24"/>
        </w:rPr>
        <w:t xml:space="preserve">L’Open Source dans les Sciences Humaines </w:t>
      </w:r>
      <w:r>
        <w:rPr>
          <w:sz w:val="24"/>
        </w:rPr>
        <w:t xml:space="preserve">organisé à l’ENS annonce la transition entre une période d’expérimentation et une période d’institutionnalisation d</w:t>
      </w:r>
      <w:r>
        <w:rPr>
          <w:sz w:val="24"/>
        </w:rPr>
        <w:t xml:space="preserve">es pratiques. Les acteurs et actrices des bibliothèques numériques y côtoient les chercheurs et chercheuses, tous et toutes partageant la nécessité de s’engager activement dans le déploiement des technologies du web au service des ressources documentaires.</w:t>
      </w:r>
      <w:r>
        <w:rPr>
          <w:sz w:val="24"/>
        </w:rPr>
      </w:r>
    </w:p>
    <w:p w14:paraId="60F390AC" w14:textId="2C3A9388">
      <w:pPr>
        <w:pBdr/>
        <w:spacing/>
        <w:ind/>
        <w:jc w:val="both"/>
        <w:rPr>
          <w:sz w:val="24"/>
        </w:rPr>
      </w:pPr>
      <w:r>
        <w:rPr>
          <w:sz w:val="24"/>
        </w:rPr>
        <w:t xml:space="preserve">p.30 : l’Ecole nationale des chartes et l’IRHT fondent Telma, un centre de ressources consacré au traitement électronique des manuscrits et des archives, couvrant à la fois la numérisation et l’édition électroni</w:t>
      </w:r>
      <w:r>
        <w:rPr>
          <w:sz w:val="24"/>
        </w:rPr>
        <w:t xml:space="preserve">que. A son lancement en janvier 2007, Telma affiche trois objectifs : la pérennisation des ressources numériques produites par les institutions de recherche, leur publication en ligne, et l’appropriation de ces techniques par les chercheurs et chercheuses.</w:t>
      </w:r>
      <w:r>
        <w:rPr>
          <w:sz w:val="24"/>
        </w:rPr>
      </w:r>
    </w:p>
    <w:p w14:paraId="5E3A9249" w14:textId="4F739229">
      <w:pPr>
        <w:pBdr/>
        <w:spacing/>
        <w:ind/>
        <w:jc w:val="both"/>
        <w:rPr>
          <w:sz w:val="24"/>
        </w:rPr>
      </w:pPr>
      <w:r>
        <w:rPr>
          <w:sz w:val="24"/>
        </w:rPr>
        <w:t xml:space="preserve">Parmi les standards destinés à faciliter la conservation et la publication des éditions électroniques, on voit au sein de Telma apparaître la TEI, l’un des principaux systèmes d’encodage de texte basés sur les langages à balise utilisé en SHS depuis 1987.</w:t>
      </w:r>
      <w:r>
        <w:rPr>
          <w:sz w:val="24"/>
        </w:rPr>
      </w:r>
    </w:p>
    <w:p w14:paraId="1FBB1254" w14:textId="07F48CA0">
      <w:pPr>
        <w:pStyle w:val="679"/>
        <w:pBdr/>
        <w:spacing/>
        <w:ind/>
        <w:rPr>
          <w:rFonts w:asciiTheme="minorHAnsi" w:hAnsiTheme="minorHAnsi" w:cstheme="minorHAnsi"/>
          <w:b/>
          <w:color w:val="auto"/>
          <w:sz w:val="28"/>
        </w:rPr>
      </w:pPr>
      <w:r>
        <w:rPr>
          <w:rFonts w:asciiTheme="minorHAnsi" w:hAnsiTheme="minorHAnsi" w:cstheme="minorHAnsi"/>
          <w:b/>
          <w:color w:val="auto"/>
          <w:sz w:val="28"/>
        </w:rPr>
        <w:t xml:space="preserve">Numérisation en bibliothèque : vers le changement d’échelle</w:t>
      </w:r>
      <w:r>
        <w:rPr>
          <w:rFonts w:asciiTheme="minorHAnsi" w:hAnsiTheme="minorHAnsi" w:cstheme="minorHAnsi"/>
          <w:b/>
          <w:color w:val="auto"/>
          <w:sz w:val="28"/>
        </w:rPr>
      </w:r>
    </w:p>
    <w:p w14:paraId="4BC37E5C" w14:textId="0662DDFA">
      <w:pPr>
        <w:pBdr/>
        <w:spacing/>
        <w:ind/>
        <w:jc w:val="both"/>
        <w:rPr>
          <w:sz w:val="24"/>
        </w:rPr>
      </w:pPr>
      <w:r>
        <w:rPr>
          <w:sz w:val="24"/>
        </w:rPr>
        <w:t xml:space="preserve">Côté bibliothèques : la question de la conversion des documents au numérique fait dans ces années l’objet de tâtonnements et d’interrogations quant à la structure des objets numériques qui en découlent et à leur statut.</w:t>
      </w:r>
      <w:r>
        <w:rPr>
          <w:sz w:val="24"/>
        </w:rPr>
      </w:r>
    </w:p>
    <w:p w14:paraId="19EA83B5" w14:textId="6D172091">
      <w:pPr>
        <w:pBdr/>
        <w:spacing/>
        <w:ind/>
        <w:jc w:val="both"/>
        <w:rPr>
          <w:sz w:val="24"/>
        </w:rPr>
      </w:pPr>
      <w:r>
        <w:rPr>
          <w:sz w:val="24"/>
        </w:rPr>
        <w:t xml:space="preserve">p.31 : la production d’un flux de texte linéaire de</w:t>
      </w:r>
      <w:r>
        <w:rPr>
          <w:sz w:val="24"/>
        </w:rPr>
        <w:t xml:space="preserve">venait rapidement insuffisante dès qu’on avait besoin de convertir au numérique des objets complexes, par exemple des dictionnaires, des encyclopédies, des revues structurées en colonnes, tableaux ou articles, des ouvrages contenant des illustrations, etc.</w:t>
      </w:r>
      <w:r>
        <w:rPr>
          <w:sz w:val="24"/>
        </w:rPr>
      </w:r>
    </w:p>
    <w:p w14:paraId="2B49526A" w14:textId="2898299A">
      <w:pPr>
        <w:pBdr/>
        <w:spacing/>
        <w:ind/>
        <w:jc w:val="both"/>
        <w:rPr>
          <w:sz w:val="24"/>
        </w:rPr>
      </w:pPr>
      <w:r>
        <w:rPr>
          <w:sz w:val="24"/>
        </w:rPr>
        <w:t xml:space="preserve">bnf</w:t>
      </w:r>
      <w:r>
        <w:rPr>
          <w:sz w:val="24"/>
        </w:rPr>
        <w:t xml:space="preserve"> : premier temps de privilégier la reproduction en mode image de la structure physique des documents, c’est-à-dire les volumes et les pages, à l’exc</w:t>
      </w:r>
      <w:r>
        <w:rPr>
          <w:sz w:val="24"/>
        </w:rPr>
        <w:t xml:space="preserve">lusion d’autres formes de hiérarchie textuelle : par exemple, les articles d’une revue ont une structure logique qui ne correspond pas nécessairement à cette structure physique (ils peuvent commencer au milieu d’une  page, s’étendre sur plusieurs pages…). </w:t>
      </w:r>
      <w:r>
        <w:rPr>
          <w:sz w:val="24"/>
        </w:rPr>
      </w:r>
    </w:p>
    <w:p w14:paraId="79B4748B" w14:textId="779F5EC7">
      <w:pPr>
        <w:pBdr/>
        <w:spacing/>
        <w:ind/>
        <w:jc w:val="both"/>
        <w:rPr>
          <w:sz w:val="24"/>
        </w:rPr>
      </w:pPr>
      <w:r>
        <w:rPr>
          <w:sz w:val="24"/>
        </w:rPr>
        <w:t xml:space="preserve">Dans un article qui met en avant l’importance du mode texte pour l’accessibilité, Jean-Didier </w:t>
      </w:r>
      <w:r>
        <w:rPr>
          <w:sz w:val="24"/>
        </w:rPr>
        <w:t xml:space="preserve">Wagneur</w:t>
      </w:r>
      <w:r>
        <w:rPr>
          <w:sz w:val="24"/>
        </w:rPr>
        <w:t xml:space="preserve"> expose les motivations qui ont sous-tendu ces choix et évoque les tentatives effectuées pour les dépasser : </w:t>
      </w:r>
      <w:r>
        <w:rPr>
          <w:sz w:val="24"/>
        </w:rPr>
        <w:t xml:space="preserve">« Nous avions le devoir patrimonial de restituer l’image du document tel qu’il a été déposé et le choix du mode image (fac-similé électronique) s’</w:t>
      </w:r>
      <w:r>
        <w:rPr>
          <w:sz w:val="24"/>
        </w:rPr>
        <w:t xml:space="preserve">est imposé. (…) Depuis cette première étape, et toujours dans l’esprit d’une bibliothèque numérique, nous avons développé d’autres programmes en mode texte en accord avec notre approche documentaire (…). Il est très vite apparu nécessaire de s’orienter ver</w:t>
      </w:r>
      <w:r>
        <w:rPr>
          <w:sz w:val="24"/>
        </w:rPr>
        <w:t xml:space="preserve">s la saisie de dictionnaires très sollicités par les chercheurs, mais échappant au secteur de l’édition pour des raisons économiques. (…) Ces dictionnaires (…) font partie des outils spécifiques des salles d’orientation bibliographique des bibliothèques ».</w:t>
      </w:r>
      <w:r>
        <w:rPr>
          <w:sz w:val="24"/>
        </w:rPr>
      </w:r>
    </w:p>
    <w:p w14:paraId="3803EEAE" w14:textId="272F81B9">
      <w:pPr>
        <w:pBdr/>
        <w:spacing/>
        <w:ind/>
        <w:jc w:val="both"/>
        <w:rPr>
          <w:sz w:val="24"/>
        </w:rPr>
      </w:pPr>
      <w:r>
        <w:rPr>
          <w:sz w:val="24"/>
        </w:rPr>
        <w:t xml:space="preserve">p.32 : les expérimentations évoquées portaient sur la numérisation intégrale structurée en TEI.</w:t>
      </w:r>
      <w:r>
        <w:rPr>
          <w:sz w:val="24"/>
        </w:rPr>
      </w:r>
    </w:p>
    <w:p w14:paraId="649056F1" w14:textId="65A7CDC8">
      <w:pPr>
        <w:pBdr/>
        <w:spacing/>
        <w:ind/>
        <w:jc w:val="both"/>
        <w:rPr>
          <w:sz w:val="24"/>
        </w:rPr>
      </w:pPr>
      <w:r>
        <w:rPr>
          <w:sz w:val="24"/>
        </w:rPr>
        <w:t xml:space="preserve">Lorsqu’à l’automne 2004 Google annonce le programme « Google </w:t>
      </w:r>
      <w:r>
        <w:rPr>
          <w:sz w:val="24"/>
        </w:rPr>
        <w:t xml:space="preserve">print</w:t>
      </w:r>
      <w:r>
        <w:rPr>
          <w:sz w:val="24"/>
        </w:rPr>
        <w:t xml:space="preserve"> », d’abord avec les éditeurs à la foire de Francfort, puis avec les bibliothèques en décembre, le domaine des bibliothèques numériques se trouve confronté à un </w:t>
      </w:r>
      <w:r>
        <w:rPr>
          <w:sz w:val="24"/>
        </w:rPr>
        <w:t xml:space="preserve">chgt</w:t>
      </w:r>
      <w:r>
        <w:rPr>
          <w:sz w:val="24"/>
        </w:rPr>
        <w:t xml:space="preserve"> d’échelle d’une ampleur considérable.</w:t>
      </w:r>
      <w:r>
        <w:rPr>
          <w:sz w:val="24"/>
        </w:rPr>
      </w:r>
    </w:p>
    <w:p w14:paraId="718E4D4A" w14:textId="77777777">
      <w:pPr>
        <w:pBdr/>
        <w:spacing/>
        <w:ind/>
        <w:jc w:val="both"/>
        <w:rPr>
          <w:sz w:val="24"/>
        </w:rPr>
      </w:pPr>
      <w:r/>
      <w:bookmarkStart w:id="0" w:name="_GoBack"/>
      <w:r/>
      <w:bookmarkEnd w:id="0"/>
      <w:r/>
      <w:r>
        <w:rPr>
          <w:sz w:val="24"/>
        </w:rPr>
      </w:r>
    </w:p>
    <w:p w14:paraId="07009C8B" w14:textId="77777777">
      <w:pPr>
        <w:pBdr/>
        <w:spacing/>
        <w:ind/>
        <w:jc w:val="both"/>
        <w:rPr>
          <w:sz w:val="24"/>
        </w:rPr>
      </w:pPr>
      <w:r>
        <w:rPr>
          <w:sz w:val="24"/>
        </w:rPr>
      </w:r>
      <w:r>
        <w:rPr>
          <w:sz w:val="24"/>
        </w:rP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MR12">
    <w:panose1 w:val="020B0603030804020204"/>
  </w:font>
  <w:font w:name="Cambria Math">
    <w:panose1 w:val="02000603000000000000"/>
  </w:font>
  <w:font w:name="Wingdings">
    <w:panose1 w:val="05010000000000000000"/>
  </w:font>
  <w:font w:name="Courier New">
    <w:panose1 w:val="02070309020205020404"/>
  </w:font>
  <w:font w:name="Symbol">
    <w:panose1 w:val="05010000000000000000"/>
  </w:font>
  <w:font w:name="Times New Roman">
    <w:panose1 w:val="02020603050405020304"/>
  </w:font>
  <w:font w:name="F">
    <w:panose1 w:val="020F0409020205020404"/>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1B72E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2DB833B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313758E9"/>
    <w:lvl w:ilvl="0">
      <w:isLgl w:val="false"/>
      <w:lvlJc w:val="left"/>
      <w:lvlText w:val="-"/>
      <w:numFmt w:val="bullet"/>
      <w:pPr>
        <w:pBdr/>
        <w:spacing/>
        <w:ind w:hanging="360" w:left="720"/>
      </w:pPr>
      <w:rPr>
        <w:rFonts w:hint="default" w:ascii="Calibri" w:hAnsi="Calibri" w:cs="Calibri"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3AE3474C"/>
    <w:styleLink w:val="685"/>
    <w:lvl w:ilvl="0">
      <w:isLgl w:val="false"/>
      <w:lvlJc w:val="left"/>
      <w:lvlText w:val="-"/>
      <w:numFmt w:val="bullet"/>
      <w:pPr>
        <w:pBdr/>
        <w:spacing/>
        <w:ind w:hanging="360" w:left="720"/>
      </w:pPr>
      <w:pStyle w:val="683"/>
      <w:rPr>
        <w:rFonts w:eastAsia="Calibri" w:cs="Times New Roman"/>
      </w:rPr>
      <w:start w:val="0"/>
      <w:suff w:val="tab"/>
    </w:lvl>
    <w:lvl w:ilvl="1">
      <w:isLgl w:val="false"/>
      <w:lvlJc w:val="left"/>
      <w:lvlText w:val="o"/>
      <w:numFmt w:val="bullet"/>
      <w:pPr>
        <w:pBdr/>
        <w:spacing/>
        <w:ind w:hanging="360" w:left="1440"/>
      </w:pPr>
      <w:rPr>
        <w:rFonts w:cs="Courier New"/>
      </w:rPr>
      <w:start w:val="0"/>
      <w:suff w:val="tab"/>
    </w:lvl>
    <w:lvl w:ilvl="2">
      <w:isLgl w:val="false"/>
      <w:lvlJc w:val="left"/>
      <w:lvlText w:val=""/>
      <w:numFmt w:val="bullet"/>
      <w:pPr>
        <w:pBdr/>
        <w:spacing/>
        <w:ind w:hanging="360" w:left="2160"/>
      </w:pPr>
      <w:rPr>
        <w:rFonts w:ascii="Wingdings" w:hAnsi="Wingdings"/>
      </w:rPr>
      <w:start w:val="0"/>
      <w:suff w:val="tab"/>
    </w:lvl>
    <w:lvl w:ilvl="3">
      <w:isLgl w:val="false"/>
      <w:lvlJc w:val="left"/>
      <w:lvlText w:val=""/>
      <w:numFmt w:val="bullet"/>
      <w:pPr>
        <w:pBdr/>
        <w:spacing/>
        <w:ind w:hanging="360" w:left="2880"/>
      </w:pPr>
      <w:rPr>
        <w:rFonts w:ascii="Symbol" w:hAnsi="Symbol"/>
      </w:rPr>
      <w:start w:val="0"/>
      <w:suff w:val="tab"/>
    </w:lvl>
    <w:lvl w:ilvl="4">
      <w:isLgl w:val="false"/>
      <w:lvlJc w:val="left"/>
      <w:lvlText w:val="o"/>
      <w:numFmt w:val="bullet"/>
      <w:pPr>
        <w:pBdr/>
        <w:spacing/>
        <w:ind w:hanging="360" w:left="3600"/>
      </w:pPr>
      <w:rPr>
        <w:rFonts w:cs="Courier New"/>
      </w:rPr>
      <w:start w:val="0"/>
      <w:suff w:val="tab"/>
    </w:lvl>
    <w:lvl w:ilvl="5">
      <w:isLgl w:val="false"/>
      <w:lvlJc w:val="left"/>
      <w:lvlText w:val=""/>
      <w:numFmt w:val="bullet"/>
      <w:pPr>
        <w:pBdr/>
        <w:spacing/>
        <w:ind w:hanging="360" w:left="4320"/>
      </w:pPr>
      <w:rPr>
        <w:rFonts w:ascii="Wingdings" w:hAnsi="Wingdings"/>
      </w:rPr>
      <w:start w:val="0"/>
      <w:suff w:val="tab"/>
    </w:lvl>
    <w:lvl w:ilvl="6">
      <w:isLgl w:val="false"/>
      <w:lvlJc w:val="left"/>
      <w:lvlText w:val=""/>
      <w:numFmt w:val="bullet"/>
      <w:pPr>
        <w:pBdr/>
        <w:spacing/>
        <w:ind w:hanging="360" w:left="5040"/>
      </w:pPr>
      <w:rPr>
        <w:rFonts w:ascii="Symbol" w:hAnsi="Symbol"/>
      </w:rPr>
      <w:start w:val="0"/>
      <w:suff w:val="tab"/>
    </w:lvl>
    <w:lvl w:ilvl="7">
      <w:isLgl w:val="false"/>
      <w:lvlJc w:val="left"/>
      <w:lvlText w:val="o"/>
      <w:numFmt w:val="bullet"/>
      <w:pPr>
        <w:pBdr/>
        <w:spacing/>
        <w:ind w:hanging="360" w:left="5760"/>
      </w:pPr>
      <w:rPr>
        <w:rFonts w:cs="Courier New"/>
      </w:rPr>
      <w:start w:val="0"/>
      <w:suff w:val="tab"/>
    </w:lvl>
    <w:lvl w:ilvl="8">
      <w:isLgl w:val="false"/>
      <w:lvlJc w:val="left"/>
      <w:lvlText w:val=""/>
      <w:numFmt w:val="bullet"/>
      <w:pPr>
        <w:pBdr/>
        <w:spacing/>
        <w:ind w:hanging="360" w:left="6480"/>
      </w:pPr>
      <w:rPr>
        <w:rFonts w:ascii="Wingdings" w:hAnsi="Wingdings"/>
      </w:rPr>
      <w:start w:val="0"/>
      <w:suff w:val="tab"/>
    </w:lvl>
  </w:abstractNum>
  <w:abstractNum w:abstractNumId="4">
    <w:nsid w:val="59BB34F3"/>
    <w:styleLink w:val="684"/>
    <w:lvl w:ilvl="0">
      <w:isLgl w:val="false"/>
      <w:lvlJc w:val="left"/>
      <w:lvlText w:val="-"/>
      <w:numFmt w:val="bullet"/>
      <w:pPr>
        <w:pBdr/>
        <w:spacing/>
        <w:ind w:hanging="360" w:left="720"/>
      </w:pPr>
      <w:pStyle w:val="684"/>
      <w:rPr>
        <w:rFonts w:eastAsia="Calibri" w:cs="Times New Roman"/>
      </w:rPr>
      <w:start w:val="0"/>
      <w:suff w:val="tab"/>
    </w:lvl>
    <w:lvl w:ilvl="1">
      <w:isLgl w:val="false"/>
      <w:lvlJc w:val="left"/>
      <w:lvlText w:val="o"/>
      <w:numFmt w:val="bullet"/>
      <w:pPr>
        <w:pBdr/>
        <w:spacing/>
        <w:ind w:hanging="360" w:left="1440"/>
      </w:pPr>
      <w:rPr>
        <w:rFonts w:cs="Courier New"/>
      </w:rPr>
      <w:start w:val="0"/>
      <w:suff w:val="tab"/>
    </w:lvl>
    <w:lvl w:ilvl="2">
      <w:isLgl w:val="false"/>
      <w:lvlJc w:val="left"/>
      <w:lvlText w:val=""/>
      <w:numFmt w:val="bullet"/>
      <w:pPr>
        <w:pBdr/>
        <w:spacing/>
        <w:ind w:hanging="360" w:left="2160"/>
      </w:pPr>
      <w:rPr>
        <w:rFonts w:ascii="Wingdings" w:hAnsi="Wingdings"/>
      </w:rPr>
      <w:start w:val="0"/>
      <w:suff w:val="tab"/>
    </w:lvl>
    <w:lvl w:ilvl="3">
      <w:isLgl w:val="false"/>
      <w:lvlJc w:val="left"/>
      <w:lvlText w:val=""/>
      <w:numFmt w:val="bullet"/>
      <w:pPr>
        <w:pBdr/>
        <w:spacing/>
        <w:ind w:hanging="360" w:left="2880"/>
      </w:pPr>
      <w:rPr>
        <w:rFonts w:ascii="Symbol" w:hAnsi="Symbol"/>
      </w:rPr>
      <w:start w:val="0"/>
      <w:suff w:val="tab"/>
    </w:lvl>
    <w:lvl w:ilvl="4">
      <w:isLgl w:val="false"/>
      <w:lvlJc w:val="left"/>
      <w:lvlText w:val="o"/>
      <w:numFmt w:val="bullet"/>
      <w:pPr>
        <w:pBdr/>
        <w:spacing/>
        <w:ind w:hanging="360" w:left="3600"/>
      </w:pPr>
      <w:rPr>
        <w:rFonts w:cs="Courier New"/>
      </w:rPr>
      <w:start w:val="0"/>
      <w:suff w:val="tab"/>
    </w:lvl>
    <w:lvl w:ilvl="5">
      <w:isLgl w:val="false"/>
      <w:lvlJc w:val="left"/>
      <w:lvlText w:val=""/>
      <w:numFmt w:val="bullet"/>
      <w:pPr>
        <w:pBdr/>
        <w:spacing/>
        <w:ind w:hanging="360" w:left="4320"/>
      </w:pPr>
      <w:rPr>
        <w:rFonts w:ascii="Wingdings" w:hAnsi="Wingdings"/>
      </w:rPr>
      <w:start w:val="0"/>
      <w:suff w:val="tab"/>
    </w:lvl>
    <w:lvl w:ilvl="6">
      <w:isLgl w:val="false"/>
      <w:lvlJc w:val="left"/>
      <w:lvlText w:val=""/>
      <w:numFmt w:val="bullet"/>
      <w:pPr>
        <w:pBdr/>
        <w:spacing/>
        <w:ind w:hanging="360" w:left="5040"/>
      </w:pPr>
      <w:rPr>
        <w:rFonts w:ascii="Symbol" w:hAnsi="Symbol"/>
      </w:rPr>
      <w:start w:val="0"/>
      <w:suff w:val="tab"/>
    </w:lvl>
    <w:lvl w:ilvl="7">
      <w:isLgl w:val="false"/>
      <w:lvlJc w:val="left"/>
      <w:lvlText w:val="o"/>
      <w:numFmt w:val="bullet"/>
      <w:pPr>
        <w:pBdr/>
        <w:spacing/>
        <w:ind w:hanging="360" w:left="5760"/>
      </w:pPr>
      <w:rPr>
        <w:rFonts w:cs="Courier New"/>
      </w:rPr>
      <w:start w:val="0"/>
      <w:suff w:val="tab"/>
    </w:lvl>
    <w:lvl w:ilvl="8">
      <w:isLgl w:val="false"/>
      <w:lvlJc w:val="left"/>
      <w:lvlText w:val=""/>
      <w:numFmt w:val="bullet"/>
      <w:pPr>
        <w:pBdr/>
        <w:spacing/>
        <w:ind w:hanging="360" w:left="6480"/>
      </w:pPr>
      <w:rPr>
        <w:rFonts w:ascii="Wingdings" w:hAnsi="Wingdings"/>
      </w:rPr>
      <w:start w:val="0"/>
      <w:suff w:val="tab"/>
    </w:lvl>
  </w:abstractNum>
  <w:abstractNum w:abstractNumId="5">
    <w:nsid w:val="7FA400B6"/>
    <w:lvl w:ilvl="0">
      <w:isLgl w:val="false"/>
      <w:lvlJc w:val="left"/>
      <w:lvlText w:val="-"/>
      <w:numFmt w:val="bullet"/>
      <w:pPr>
        <w:pBdr/>
        <w:spacing/>
        <w:ind w:hanging="360" w:left="720"/>
      </w:pPr>
      <w:rPr>
        <w:rFonts w:hint="default" w:ascii="Cambria Math" w:hAnsi="Cambria Math" w:cs="Cambria Math" w:eastAsiaTheme="minorHAnsi"/>
      </w:rPr>
      <w:start w:val="16"/>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4"/>
  </w:num>
  <w:num w:numId="2">
    <w:abstractNumId w:val="3"/>
  </w:num>
  <w:num w:numId="3">
    <w:abstractNumId w:val="5"/>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8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8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8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8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8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8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8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8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8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8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8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8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8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8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8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8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8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8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8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8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8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8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8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8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8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8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8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8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8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8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8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8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8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8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8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8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8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8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8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8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8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8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8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8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8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8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8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8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8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8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8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8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8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8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8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8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8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8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8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8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8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8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8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8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8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8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8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8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8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8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8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8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8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8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8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8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8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8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8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8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8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8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8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8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8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8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8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8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8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8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8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8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8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8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8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8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8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8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8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8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8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8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8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8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8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676"/>
    <w:next w:val="676"/>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76"/>
    <w:next w:val="676"/>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76"/>
    <w:next w:val="67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76"/>
    <w:next w:val="67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76"/>
    <w:next w:val="67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76"/>
    <w:next w:val="67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80"/>
    <w:link w:val="677"/>
    <w:uiPriority w:val="9"/>
    <w:pPr>
      <w:pBdr/>
      <w:spacing/>
      <w:ind/>
    </w:pPr>
    <w:rPr>
      <w:rFonts w:ascii="Arial" w:hAnsi="Arial" w:eastAsia="Arial" w:cs="Arial"/>
      <w:color w:val="0f4761" w:themeColor="accent1" w:themeShade="BF"/>
      <w:sz w:val="40"/>
      <w:szCs w:val="40"/>
    </w:rPr>
  </w:style>
  <w:style w:type="character" w:styleId="151">
    <w:name w:val="Heading 2 Char"/>
    <w:basedOn w:val="680"/>
    <w:link w:val="678"/>
    <w:uiPriority w:val="9"/>
    <w:pPr>
      <w:pBdr/>
      <w:spacing/>
      <w:ind/>
    </w:pPr>
    <w:rPr>
      <w:rFonts w:ascii="Arial" w:hAnsi="Arial" w:eastAsia="Arial" w:cs="Arial"/>
      <w:color w:val="0f4761" w:themeColor="accent1" w:themeShade="BF"/>
      <w:sz w:val="32"/>
      <w:szCs w:val="32"/>
    </w:rPr>
  </w:style>
  <w:style w:type="character" w:styleId="152">
    <w:name w:val="Heading 3 Char"/>
    <w:basedOn w:val="680"/>
    <w:link w:val="679"/>
    <w:uiPriority w:val="9"/>
    <w:pPr>
      <w:pBdr/>
      <w:spacing/>
      <w:ind/>
    </w:pPr>
    <w:rPr>
      <w:rFonts w:ascii="Arial" w:hAnsi="Arial" w:eastAsia="Arial" w:cs="Arial"/>
      <w:color w:val="0f4761" w:themeColor="accent1" w:themeShade="BF"/>
      <w:sz w:val="28"/>
      <w:szCs w:val="28"/>
    </w:rPr>
  </w:style>
  <w:style w:type="character" w:styleId="153">
    <w:name w:val="Heading 4 Char"/>
    <w:basedOn w:val="680"/>
    <w:link w:val="142"/>
    <w:uiPriority w:val="9"/>
    <w:pPr>
      <w:pBdr/>
      <w:spacing/>
      <w:ind/>
    </w:pPr>
    <w:rPr>
      <w:rFonts w:ascii="Arial" w:hAnsi="Arial" w:eastAsia="Arial" w:cs="Arial"/>
      <w:i/>
      <w:iCs/>
      <w:color w:val="0f4761" w:themeColor="accent1" w:themeShade="BF"/>
    </w:rPr>
  </w:style>
  <w:style w:type="character" w:styleId="154">
    <w:name w:val="Heading 5 Char"/>
    <w:basedOn w:val="680"/>
    <w:link w:val="143"/>
    <w:uiPriority w:val="9"/>
    <w:pPr>
      <w:pBdr/>
      <w:spacing/>
      <w:ind/>
    </w:pPr>
    <w:rPr>
      <w:rFonts w:ascii="Arial" w:hAnsi="Arial" w:eastAsia="Arial" w:cs="Arial"/>
      <w:color w:val="0f4761" w:themeColor="accent1" w:themeShade="BF"/>
    </w:rPr>
  </w:style>
  <w:style w:type="character" w:styleId="155">
    <w:name w:val="Heading 6 Char"/>
    <w:basedOn w:val="680"/>
    <w:link w:val="144"/>
    <w:uiPriority w:val="9"/>
    <w:pPr>
      <w:pBdr/>
      <w:spacing/>
      <w:ind/>
    </w:pPr>
    <w:rPr>
      <w:rFonts w:ascii="Arial" w:hAnsi="Arial" w:eastAsia="Arial" w:cs="Arial"/>
      <w:i/>
      <w:iCs/>
      <w:color w:val="595959" w:themeColor="text1" w:themeTint="A6"/>
    </w:rPr>
  </w:style>
  <w:style w:type="character" w:styleId="156">
    <w:name w:val="Heading 7 Char"/>
    <w:basedOn w:val="680"/>
    <w:link w:val="145"/>
    <w:uiPriority w:val="9"/>
    <w:pPr>
      <w:pBdr/>
      <w:spacing/>
      <w:ind/>
    </w:pPr>
    <w:rPr>
      <w:rFonts w:ascii="Arial" w:hAnsi="Arial" w:eastAsia="Arial" w:cs="Arial"/>
      <w:color w:val="595959" w:themeColor="text1" w:themeTint="A6"/>
    </w:rPr>
  </w:style>
  <w:style w:type="character" w:styleId="157">
    <w:name w:val="Heading 8 Char"/>
    <w:basedOn w:val="680"/>
    <w:link w:val="146"/>
    <w:uiPriority w:val="9"/>
    <w:pPr>
      <w:pBdr/>
      <w:spacing/>
      <w:ind/>
    </w:pPr>
    <w:rPr>
      <w:rFonts w:ascii="Arial" w:hAnsi="Arial" w:eastAsia="Arial" w:cs="Arial"/>
      <w:i/>
      <w:iCs/>
      <w:color w:val="272727" w:themeColor="text1" w:themeTint="D8"/>
    </w:rPr>
  </w:style>
  <w:style w:type="character" w:styleId="158">
    <w:name w:val="Heading 9 Char"/>
    <w:basedOn w:val="680"/>
    <w:link w:val="147"/>
    <w:uiPriority w:val="9"/>
    <w:pPr>
      <w:pBdr/>
      <w:spacing/>
      <w:ind/>
    </w:pPr>
    <w:rPr>
      <w:rFonts w:ascii="Arial" w:hAnsi="Arial" w:eastAsia="Arial" w:cs="Arial"/>
      <w:i/>
      <w:iCs/>
      <w:color w:val="272727" w:themeColor="text1" w:themeTint="D8"/>
    </w:rPr>
  </w:style>
  <w:style w:type="paragraph" w:styleId="159">
    <w:name w:val="Title"/>
    <w:basedOn w:val="676"/>
    <w:next w:val="676"/>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80"/>
    <w:link w:val="159"/>
    <w:uiPriority w:val="10"/>
    <w:pPr>
      <w:pBdr/>
      <w:spacing/>
      <w:ind/>
    </w:pPr>
    <w:rPr>
      <w:rFonts w:ascii="Arial" w:hAnsi="Arial" w:eastAsia="Arial" w:cs="Arial"/>
      <w:spacing w:val="-10"/>
      <w:sz w:val="56"/>
      <w:szCs w:val="56"/>
    </w:rPr>
  </w:style>
  <w:style w:type="paragraph" w:styleId="161">
    <w:name w:val="Subtitle"/>
    <w:basedOn w:val="676"/>
    <w:next w:val="676"/>
    <w:link w:val="162"/>
    <w:uiPriority w:val="11"/>
    <w:qFormat/>
    <w:pPr>
      <w:numPr>
        <w:ilvl w:val="1"/>
      </w:numPr>
      <w:pBdr/>
      <w:spacing/>
      <w:ind/>
    </w:pPr>
    <w:rPr>
      <w:color w:val="595959" w:themeColor="text1" w:themeTint="A6"/>
      <w:spacing w:val="15"/>
      <w:sz w:val="28"/>
      <w:szCs w:val="28"/>
    </w:rPr>
  </w:style>
  <w:style w:type="character" w:styleId="162">
    <w:name w:val="Subtitle Char"/>
    <w:basedOn w:val="680"/>
    <w:link w:val="161"/>
    <w:uiPriority w:val="11"/>
    <w:pPr>
      <w:pBdr/>
      <w:spacing/>
      <w:ind/>
    </w:pPr>
    <w:rPr>
      <w:color w:val="595959" w:themeColor="text1" w:themeTint="A6"/>
      <w:spacing w:val="15"/>
      <w:sz w:val="28"/>
      <w:szCs w:val="28"/>
    </w:rPr>
  </w:style>
  <w:style w:type="paragraph" w:styleId="163">
    <w:name w:val="Quote"/>
    <w:basedOn w:val="676"/>
    <w:next w:val="676"/>
    <w:link w:val="164"/>
    <w:uiPriority w:val="29"/>
    <w:qFormat/>
    <w:pPr>
      <w:pBdr/>
      <w:spacing w:before="160"/>
      <w:ind/>
      <w:jc w:val="center"/>
    </w:pPr>
    <w:rPr>
      <w:i/>
      <w:iCs/>
      <w:color w:val="404040" w:themeColor="text1" w:themeTint="BF"/>
    </w:rPr>
  </w:style>
  <w:style w:type="character" w:styleId="164">
    <w:name w:val="Quote Char"/>
    <w:basedOn w:val="680"/>
    <w:link w:val="163"/>
    <w:uiPriority w:val="29"/>
    <w:pPr>
      <w:pBdr/>
      <w:spacing/>
      <w:ind/>
    </w:pPr>
    <w:rPr>
      <w:i/>
      <w:iCs/>
      <w:color w:val="404040" w:themeColor="text1" w:themeTint="BF"/>
    </w:rPr>
  </w:style>
  <w:style w:type="character" w:styleId="166">
    <w:name w:val="Intense Emphasis"/>
    <w:basedOn w:val="680"/>
    <w:uiPriority w:val="21"/>
    <w:qFormat/>
    <w:pPr>
      <w:pBdr/>
      <w:spacing/>
      <w:ind/>
    </w:pPr>
    <w:rPr>
      <w:i/>
      <w:iCs/>
      <w:color w:val="0f4761" w:themeColor="accent1" w:themeShade="BF"/>
    </w:rPr>
  </w:style>
  <w:style w:type="paragraph" w:styleId="167">
    <w:name w:val="Intense Quote"/>
    <w:basedOn w:val="676"/>
    <w:next w:val="67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80"/>
    <w:link w:val="167"/>
    <w:uiPriority w:val="30"/>
    <w:pPr>
      <w:pBdr/>
      <w:spacing/>
      <w:ind/>
    </w:pPr>
    <w:rPr>
      <w:i/>
      <w:iCs/>
      <w:color w:val="0f4761" w:themeColor="accent1" w:themeShade="BF"/>
    </w:rPr>
  </w:style>
  <w:style w:type="character" w:styleId="169">
    <w:name w:val="Intense Reference"/>
    <w:basedOn w:val="680"/>
    <w:uiPriority w:val="32"/>
    <w:qFormat/>
    <w:pPr>
      <w:pBdr/>
      <w:spacing/>
      <w:ind/>
    </w:pPr>
    <w:rPr>
      <w:b/>
      <w:bCs/>
      <w:smallCaps/>
      <w:color w:val="0f4761" w:themeColor="accent1" w:themeShade="BF"/>
      <w:spacing w:val="5"/>
    </w:rPr>
  </w:style>
  <w:style w:type="paragraph" w:styleId="170">
    <w:name w:val="No Spacing"/>
    <w:basedOn w:val="676"/>
    <w:uiPriority w:val="1"/>
    <w:qFormat/>
    <w:pPr>
      <w:pBdr/>
      <w:spacing w:after="0" w:line="240" w:lineRule="auto"/>
      <w:ind/>
    </w:pPr>
  </w:style>
  <w:style w:type="character" w:styleId="171">
    <w:name w:val="Subtle Emphasis"/>
    <w:basedOn w:val="680"/>
    <w:uiPriority w:val="19"/>
    <w:qFormat/>
    <w:pPr>
      <w:pBdr/>
      <w:spacing/>
      <w:ind/>
    </w:pPr>
    <w:rPr>
      <w:i/>
      <w:iCs/>
      <w:color w:val="404040" w:themeColor="text1" w:themeTint="BF"/>
    </w:rPr>
  </w:style>
  <w:style w:type="character" w:styleId="172">
    <w:name w:val="Emphasis"/>
    <w:basedOn w:val="680"/>
    <w:uiPriority w:val="20"/>
    <w:qFormat/>
    <w:pPr>
      <w:pBdr/>
      <w:spacing/>
      <w:ind/>
    </w:pPr>
    <w:rPr>
      <w:i/>
      <w:iCs/>
    </w:rPr>
  </w:style>
  <w:style w:type="character" w:styleId="173">
    <w:name w:val="Strong"/>
    <w:basedOn w:val="680"/>
    <w:uiPriority w:val="22"/>
    <w:qFormat/>
    <w:pPr>
      <w:pBdr/>
      <w:spacing/>
      <w:ind/>
    </w:pPr>
    <w:rPr>
      <w:b/>
      <w:bCs/>
    </w:rPr>
  </w:style>
  <w:style w:type="character" w:styleId="174">
    <w:name w:val="Subtle Reference"/>
    <w:basedOn w:val="680"/>
    <w:uiPriority w:val="31"/>
    <w:qFormat/>
    <w:pPr>
      <w:pBdr/>
      <w:spacing/>
      <w:ind/>
    </w:pPr>
    <w:rPr>
      <w:smallCaps/>
      <w:color w:val="5a5a5a" w:themeColor="text1" w:themeTint="A5"/>
    </w:rPr>
  </w:style>
  <w:style w:type="character" w:styleId="175">
    <w:name w:val="Book Title"/>
    <w:basedOn w:val="680"/>
    <w:uiPriority w:val="33"/>
    <w:qFormat/>
    <w:pPr>
      <w:pBdr/>
      <w:spacing/>
      <w:ind/>
    </w:pPr>
    <w:rPr>
      <w:b/>
      <w:bCs/>
      <w:i/>
      <w:iCs/>
      <w:spacing w:val="5"/>
    </w:rPr>
  </w:style>
  <w:style w:type="paragraph" w:styleId="176">
    <w:name w:val="Header"/>
    <w:basedOn w:val="676"/>
    <w:link w:val="177"/>
    <w:uiPriority w:val="99"/>
    <w:unhideWhenUsed/>
    <w:pPr>
      <w:pBdr/>
      <w:tabs>
        <w:tab w:val="center" w:leader="none" w:pos="4844"/>
        <w:tab w:val="right" w:leader="none" w:pos="9689"/>
      </w:tabs>
      <w:spacing w:after="0" w:line="240" w:lineRule="auto"/>
      <w:ind/>
    </w:pPr>
  </w:style>
  <w:style w:type="character" w:styleId="177">
    <w:name w:val="Header Char"/>
    <w:basedOn w:val="680"/>
    <w:link w:val="176"/>
    <w:uiPriority w:val="99"/>
    <w:pPr>
      <w:pBdr/>
      <w:spacing/>
      <w:ind/>
    </w:pPr>
  </w:style>
  <w:style w:type="paragraph" w:styleId="178">
    <w:name w:val="Footer"/>
    <w:basedOn w:val="676"/>
    <w:link w:val="179"/>
    <w:uiPriority w:val="99"/>
    <w:unhideWhenUsed/>
    <w:pPr>
      <w:pBdr/>
      <w:tabs>
        <w:tab w:val="center" w:leader="none" w:pos="4844"/>
        <w:tab w:val="right" w:leader="none" w:pos="9689"/>
      </w:tabs>
      <w:spacing w:after="0" w:line="240" w:lineRule="auto"/>
      <w:ind/>
    </w:pPr>
  </w:style>
  <w:style w:type="character" w:styleId="179">
    <w:name w:val="Footer Char"/>
    <w:basedOn w:val="680"/>
    <w:link w:val="178"/>
    <w:uiPriority w:val="99"/>
    <w:pPr>
      <w:pBdr/>
      <w:spacing/>
      <w:ind/>
    </w:pPr>
  </w:style>
  <w:style w:type="paragraph" w:styleId="180">
    <w:name w:val="Caption"/>
    <w:basedOn w:val="676"/>
    <w:next w:val="676"/>
    <w:uiPriority w:val="35"/>
    <w:unhideWhenUsed/>
    <w:qFormat/>
    <w:pPr>
      <w:pBdr/>
      <w:spacing w:after="200" w:line="240" w:lineRule="auto"/>
      <w:ind/>
    </w:pPr>
    <w:rPr>
      <w:i/>
      <w:iCs/>
      <w:color w:val="0e2841" w:themeColor="text2"/>
      <w:sz w:val="18"/>
      <w:szCs w:val="18"/>
    </w:rPr>
  </w:style>
  <w:style w:type="paragraph" w:styleId="181">
    <w:name w:val="footnote text"/>
    <w:basedOn w:val="676"/>
    <w:link w:val="182"/>
    <w:uiPriority w:val="99"/>
    <w:semiHidden/>
    <w:unhideWhenUsed/>
    <w:pPr>
      <w:pBdr/>
      <w:spacing w:after="0" w:line="240" w:lineRule="auto"/>
      <w:ind/>
    </w:pPr>
    <w:rPr>
      <w:sz w:val="20"/>
      <w:szCs w:val="20"/>
    </w:rPr>
  </w:style>
  <w:style w:type="character" w:styleId="182">
    <w:name w:val="Footnote Text Char"/>
    <w:basedOn w:val="680"/>
    <w:link w:val="181"/>
    <w:uiPriority w:val="99"/>
    <w:semiHidden/>
    <w:pPr>
      <w:pBdr/>
      <w:spacing/>
      <w:ind/>
    </w:pPr>
    <w:rPr>
      <w:sz w:val="20"/>
      <w:szCs w:val="20"/>
    </w:rPr>
  </w:style>
  <w:style w:type="character" w:styleId="183">
    <w:name w:val="footnote reference"/>
    <w:basedOn w:val="680"/>
    <w:uiPriority w:val="99"/>
    <w:semiHidden/>
    <w:unhideWhenUsed/>
    <w:pPr>
      <w:pBdr/>
      <w:spacing/>
      <w:ind/>
    </w:pPr>
    <w:rPr>
      <w:vertAlign w:val="superscript"/>
    </w:rPr>
  </w:style>
  <w:style w:type="paragraph" w:styleId="184">
    <w:name w:val="endnote text"/>
    <w:basedOn w:val="676"/>
    <w:link w:val="185"/>
    <w:uiPriority w:val="99"/>
    <w:semiHidden/>
    <w:unhideWhenUsed/>
    <w:pPr>
      <w:pBdr/>
      <w:spacing w:after="0" w:line="240" w:lineRule="auto"/>
      <w:ind/>
    </w:pPr>
    <w:rPr>
      <w:sz w:val="20"/>
      <w:szCs w:val="20"/>
    </w:rPr>
  </w:style>
  <w:style w:type="character" w:styleId="185">
    <w:name w:val="Endnote Text Char"/>
    <w:basedOn w:val="680"/>
    <w:link w:val="184"/>
    <w:uiPriority w:val="99"/>
    <w:semiHidden/>
    <w:pPr>
      <w:pBdr/>
      <w:spacing/>
      <w:ind/>
    </w:pPr>
    <w:rPr>
      <w:sz w:val="20"/>
      <w:szCs w:val="20"/>
    </w:rPr>
  </w:style>
  <w:style w:type="character" w:styleId="186">
    <w:name w:val="endnote reference"/>
    <w:basedOn w:val="680"/>
    <w:uiPriority w:val="99"/>
    <w:semiHidden/>
    <w:unhideWhenUsed/>
    <w:pPr>
      <w:pBdr/>
      <w:spacing/>
      <w:ind/>
    </w:pPr>
    <w:rPr>
      <w:vertAlign w:val="superscript"/>
    </w:rPr>
  </w:style>
  <w:style w:type="character" w:styleId="187">
    <w:name w:val="Hyperlink"/>
    <w:basedOn w:val="680"/>
    <w:uiPriority w:val="99"/>
    <w:unhideWhenUsed/>
    <w:pPr>
      <w:pBdr/>
      <w:spacing/>
      <w:ind/>
    </w:pPr>
    <w:rPr>
      <w:color w:val="0563c1" w:themeColor="hyperlink"/>
      <w:u w:val="single"/>
    </w:rPr>
  </w:style>
  <w:style w:type="character" w:styleId="188">
    <w:name w:val="FollowedHyperlink"/>
    <w:basedOn w:val="680"/>
    <w:uiPriority w:val="99"/>
    <w:semiHidden/>
    <w:unhideWhenUsed/>
    <w:pPr>
      <w:pBdr/>
      <w:spacing/>
      <w:ind/>
    </w:pPr>
    <w:rPr>
      <w:color w:val="954f72" w:themeColor="followedHyperlink"/>
      <w:u w:val="single"/>
    </w:rPr>
  </w:style>
  <w:style w:type="paragraph" w:styleId="189">
    <w:name w:val="toc 1"/>
    <w:basedOn w:val="676"/>
    <w:next w:val="676"/>
    <w:uiPriority w:val="39"/>
    <w:unhideWhenUsed/>
    <w:pPr>
      <w:pBdr/>
      <w:spacing w:after="100"/>
      <w:ind/>
    </w:pPr>
  </w:style>
  <w:style w:type="paragraph" w:styleId="190">
    <w:name w:val="toc 2"/>
    <w:basedOn w:val="676"/>
    <w:next w:val="676"/>
    <w:uiPriority w:val="39"/>
    <w:unhideWhenUsed/>
    <w:pPr>
      <w:pBdr/>
      <w:spacing w:after="100"/>
      <w:ind w:left="220"/>
    </w:pPr>
  </w:style>
  <w:style w:type="paragraph" w:styleId="191">
    <w:name w:val="toc 3"/>
    <w:basedOn w:val="676"/>
    <w:next w:val="676"/>
    <w:uiPriority w:val="39"/>
    <w:unhideWhenUsed/>
    <w:pPr>
      <w:pBdr/>
      <w:spacing w:after="100"/>
      <w:ind w:left="440"/>
    </w:pPr>
  </w:style>
  <w:style w:type="paragraph" w:styleId="192">
    <w:name w:val="toc 4"/>
    <w:basedOn w:val="676"/>
    <w:next w:val="676"/>
    <w:uiPriority w:val="39"/>
    <w:unhideWhenUsed/>
    <w:pPr>
      <w:pBdr/>
      <w:spacing w:after="100"/>
      <w:ind w:left="660"/>
    </w:pPr>
  </w:style>
  <w:style w:type="paragraph" w:styleId="193">
    <w:name w:val="toc 5"/>
    <w:basedOn w:val="676"/>
    <w:next w:val="676"/>
    <w:uiPriority w:val="39"/>
    <w:unhideWhenUsed/>
    <w:pPr>
      <w:pBdr/>
      <w:spacing w:after="100"/>
      <w:ind w:left="880"/>
    </w:pPr>
  </w:style>
  <w:style w:type="paragraph" w:styleId="194">
    <w:name w:val="toc 6"/>
    <w:basedOn w:val="676"/>
    <w:next w:val="676"/>
    <w:uiPriority w:val="39"/>
    <w:unhideWhenUsed/>
    <w:pPr>
      <w:pBdr/>
      <w:spacing w:after="100"/>
      <w:ind w:left="1100"/>
    </w:pPr>
  </w:style>
  <w:style w:type="paragraph" w:styleId="195">
    <w:name w:val="toc 7"/>
    <w:basedOn w:val="676"/>
    <w:next w:val="676"/>
    <w:uiPriority w:val="39"/>
    <w:unhideWhenUsed/>
    <w:pPr>
      <w:pBdr/>
      <w:spacing w:after="100"/>
      <w:ind w:left="1320"/>
    </w:pPr>
  </w:style>
  <w:style w:type="paragraph" w:styleId="196">
    <w:name w:val="toc 8"/>
    <w:basedOn w:val="676"/>
    <w:next w:val="676"/>
    <w:uiPriority w:val="39"/>
    <w:unhideWhenUsed/>
    <w:pPr>
      <w:pBdr/>
      <w:spacing w:after="100"/>
      <w:ind w:left="1540"/>
    </w:pPr>
  </w:style>
  <w:style w:type="paragraph" w:styleId="197">
    <w:name w:val="toc 9"/>
    <w:basedOn w:val="676"/>
    <w:next w:val="676"/>
    <w:uiPriority w:val="39"/>
    <w:unhideWhenUsed/>
    <w:pPr>
      <w:pBdr/>
      <w:spacing w:after="100"/>
      <w:ind w:left="1760"/>
    </w:pPr>
  </w:style>
  <w:style w:type="character" w:styleId="198">
    <w:name w:val="Placeholder Text"/>
    <w:basedOn w:val="68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6"/>
    <w:next w:val="676"/>
    <w:uiPriority w:val="99"/>
    <w:unhideWhenUsed/>
    <w:pPr>
      <w:pBdr/>
      <w:spacing w:after="0" w:afterAutospacing="0"/>
      <w:ind/>
    </w:pPr>
  </w:style>
  <w:style w:type="paragraph" w:styleId="676" w:default="1">
    <w:name w:val="Normal"/>
    <w:qFormat/>
    <w:pPr>
      <w:pBdr/>
      <w:spacing/>
      <w:ind/>
    </w:pPr>
  </w:style>
  <w:style w:type="paragraph" w:styleId="677">
    <w:name w:val="Heading 1"/>
    <w:basedOn w:val="676"/>
    <w:next w:val="676"/>
    <w:link w:val="686"/>
    <w:uiPriority w:val="9"/>
    <w:qFormat/>
    <w:pPr>
      <w:keepNext w:val="true"/>
      <w:keepLines w:val="true"/>
      <w:pBdr/>
      <w:spacing w:after="80" w:before="360"/>
      <w:ind/>
      <w:outlineLvl w:val="0"/>
    </w:pPr>
    <w:rPr>
      <w:rFonts w:asciiTheme="majorHAnsi" w:hAnsiTheme="majorHAnsi" w:eastAsiaTheme="majorEastAsia" w:cstheme="majorBidi"/>
      <w:color w:val="2e74b5" w:themeColor="accent1" w:themeShade="BF"/>
      <w:sz w:val="40"/>
      <w:szCs w:val="40"/>
    </w:rPr>
  </w:style>
  <w:style w:type="paragraph" w:styleId="678">
    <w:name w:val="Heading 2"/>
    <w:basedOn w:val="676"/>
    <w:next w:val="676"/>
    <w:link w:val="690"/>
    <w:uiPriority w:val="9"/>
    <w:unhideWhenUsed/>
    <w:qFormat/>
    <w:pPr>
      <w:keepNext w:val="true"/>
      <w:keepLines w:val="true"/>
      <w:pBdr/>
      <w:spacing w:after="0" w:before="40"/>
      <w:ind/>
      <w:outlineLvl w:val="1"/>
    </w:pPr>
    <w:rPr>
      <w:rFonts w:asciiTheme="majorHAnsi" w:hAnsiTheme="majorHAnsi" w:eastAsiaTheme="majorEastAsia" w:cstheme="majorBidi"/>
      <w:color w:val="2e74b5" w:themeColor="accent1" w:themeShade="BF"/>
      <w:sz w:val="26"/>
      <w:szCs w:val="26"/>
    </w:rPr>
  </w:style>
  <w:style w:type="paragraph" w:styleId="679">
    <w:name w:val="Heading 3"/>
    <w:basedOn w:val="676"/>
    <w:next w:val="676"/>
    <w:link w:val="691"/>
    <w:uiPriority w:val="9"/>
    <w:unhideWhenUsed/>
    <w:qFormat/>
    <w:pPr>
      <w:keepNext w:val="true"/>
      <w:keepLines w:val="true"/>
      <w:pBdr/>
      <w:spacing w:after="0" w:before="40"/>
      <w:ind/>
      <w:outlineLvl w:val="2"/>
    </w:pPr>
    <w:rPr>
      <w:rFonts w:asciiTheme="majorHAnsi" w:hAnsiTheme="majorHAnsi" w:eastAsiaTheme="majorEastAsia" w:cstheme="majorBidi"/>
      <w:color w:val="1f4d78" w:themeColor="accent1" w:themeShade="7F"/>
      <w:sz w:val="24"/>
      <w:szCs w:val="24"/>
    </w:rPr>
  </w:style>
  <w:style w:type="character" w:styleId="680" w:default="1">
    <w:name w:val="Default Paragraph Font"/>
    <w:uiPriority w:val="1"/>
    <w:semiHidden/>
    <w:unhideWhenUsed/>
    <w:pPr>
      <w:pBdr/>
      <w:spacing/>
      <w:ind/>
    </w:pPr>
  </w:style>
  <w:style w:type="table" w:styleId="68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82" w:default="1">
    <w:name w:val="No List"/>
    <w:uiPriority w:val="99"/>
    <w:semiHidden/>
    <w:unhideWhenUsed/>
    <w:pPr>
      <w:pBdr/>
      <w:spacing/>
      <w:ind/>
    </w:pPr>
  </w:style>
  <w:style w:type="paragraph" w:styleId="683">
    <w:name w:val="List Paragraph"/>
    <w:basedOn w:val="676"/>
    <w:uiPriority w:val="34"/>
    <w:qFormat/>
    <w:pPr>
      <w:numPr>
        <w:numId w:val="2"/>
      </w:numPr>
      <w:pBdr/>
      <w:spacing w:line="360" w:lineRule="auto"/>
      <w:ind/>
      <w:jc w:val="both"/>
    </w:pPr>
    <w:rPr>
      <w:rFonts w:ascii="Calibri" w:hAnsi="Calibri" w:eastAsia="Calibri" w:cs="F"/>
    </w:rPr>
  </w:style>
  <w:style w:type="numbering" w:styleId="684" w:customStyle="1">
    <w:name w:val="WWNum1"/>
    <w:basedOn w:val="682"/>
    <w:pPr>
      <w:numPr>
        <w:numId w:val="1"/>
      </w:numPr>
      <w:pBdr/>
      <w:spacing/>
      <w:ind/>
    </w:pPr>
  </w:style>
  <w:style w:type="numbering" w:styleId="685" w:customStyle="1">
    <w:name w:val="WWNum2"/>
    <w:basedOn w:val="682"/>
    <w:pPr>
      <w:numPr>
        <w:numId w:val="2"/>
      </w:numPr>
      <w:pBdr/>
      <w:spacing/>
      <w:ind/>
    </w:pPr>
  </w:style>
  <w:style w:type="character" w:styleId="686" w:customStyle="1">
    <w:name w:val="Titre 1 Car"/>
    <w:basedOn w:val="680"/>
    <w:link w:val="677"/>
    <w:uiPriority w:val="9"/>
    <w:pPr>
      <w:pBdr/>
      <w:spacing/>
      <w:ind/>
    </w:pPr>
    <w:rPr>
      <w:rFonts w:asciiTheme="majorHAnsi" w:hAnsiTheme="majorHAnsi" w:eastAsiaTheme="majorEastAsia" w:cstheme="majorBidi"/>
      <w:color w:val="2e74b5" w:themeColor="accent1" w:themeShade="BF"/>
      <w:sz w:val="40"/>
      <w:szCs w:val="40"/>
    </w:rPr>
  </w:style>
  <w:style w:type="paragraph" w:styleId="687" w:customStyle="1">
    <w:name w:val="p1"/>
    <w:basedOn w:val="676"/>
    <w:pPr>
      <w:pBdr/>
      <w:spacing w:after="0" w:line="240" w:lineRule="auto"/>
      <w:ind/>
    </w:pPr>
    <w:rPr>
      <w:rFonts w:ascii="Times New Roman" w:hAnsi="Times New Roman" w:cs="Times New Roman" w:eastAsiaTheme="minorEastAsia"/>
      <w:color w:val="000000"/>
      <w:sz w:val="15"/>
      <w:szCs w:val="15"/>
      <w:lang w:eastAsia="fr-FR"/>
    </w:rPr>
  </w:style>
  <w:style w:type="character" w:styleId="688" w:customStyle="1">
    <w:name w:val="s1"/>
    <w:basedOn w:val="680"/>
    <w:pPr>
      <w:pBdr/>
      <w:spacing/>
      <w:ind/>
    </w:pPr>
    <w:rPr>
      <w:rFonts w:hint="default" w:ascii="Times New Roman" w:hAnsi="Times New Roman" w:cs="Times New Roman"/>
      <w:b w:val="0"/>
      <w:bCs w:val="0"/>
      <w:i w:val="0"/>
      <w:iCs w:val="0"/>
      <w:sz w:val="15"/>
      <w:szCs w:val="15"/>
    </w:rPr>
  </w:style>
  <w:style w:type="character" w:styleId="689" w:customStyle="1">
    <w:name w:val="apple-converted-space"/>
    <w:basedOn w:val="680"/>
    <w:pPr>
      <w:pBdr/>
      <w:spacing/>
      <w:ind/>
    </w:pPr>
  </w:style>
  <w:style w:type="character" w:styleId="690" w:customStyle="1">
    <w:name w:val="Titre 2 Car"/>
    <w:basedOn w:val="680"/>
    <w:link w:val="678"/>
    <w:uiPriority w:val="9"/>
    <w:pPr>
      <w:pBdr/>
      <w:spacing/>
      <w:ind/>
    </w:pPr>
    <w:rPr>
      <w:rFonts w:asciiTheme="majorHAnsi" w:hAnsiTheme="majorHAnsi" w:eastAsiaTheme="majorEastAsia" w:cstheme="majorBidi"/>
      <w:color w:val="2e74b5" w:themeColor="accent1" w:themeShade="BF"/>
      <w:sz w:val="26"/>
      <w:szCs w:val="26"/>
    </w:rPr>
  </w:style>
  <w:style w:type="character" w:styleId="691" w:customStyle="1">
    <w:name w:val="Titre 3 Car"/>
    <w:basedOn w:val="680"/>
    <w:link w:val="679"/>
    <w:uiPriority w:val="9"/>
    <w:pPr>
      <w:pBdr/>
      <w:spacing/>
      <w:ind/>
    </w:pPr>
    <w:rPr>
      <w:rFonts w:asciiTheme="majorHAnsi" w:hAnsiTheme="majorHAnsi" w:eastAsiaTheme="majorEastAsia" w:cstheme="majorBidi"/>
      <w:color w:val="1f4d78" w:themeColor="accent1" w:themeShade="7F"/>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30</cp:revision>
  <dcterms:created xsi:type="dcterms:W3CDTF">2026-05-19T11:01:00Z</dcterms:created>
  <dcterms:modified xsi:type="dcterms:W3CDTF">2026-07-30T20:38:47Z</dcterms:modified>
</cp:coreProperties>
</file>